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41A8" w14:textId="584029B5" w:rsidR="0062127C" w:rsidRDefault="0062127C"/>
    <w:p w14:paraId="308CF320" w14:textId="2A57DB75" w:rsidR="008938F9" w:rsidRDefault="008938F9"/>
    <w:p w14:paraId="078AE043" w14:textId="75CA2C20" w:rsidR="008938F9" w:rsidRDefault="008938F9"/>
    <w:p w14:paraId="680BB3E5" w14:textId="10AEEC85" w:rsidR="008938F9" w:rsidRDefault="008938F9" w:rsidP="008938F9">
      <w:pPr>
        <w:jc w:val="center"/>
        <w:rPr>
          <w:b/>
          <w:bCs/>
          <w:sz w:val="36"/>
          <w:szCs w:val="36"/>
        </w:rPr>
      </w:pPr>
      <w:r w:rsidRPr="008938F9">
        <w:rPr>
          <w:b/>
          <w:bCs/>
          <w:sz w:val="36"/>
          <w:szCs w:val="36"/>
        </w:rPr>
        <w:t>PRESUPUESTO CNO 2022</w:t>
      </w:r>
    </w:p>
    <w:p w14:paraId="21B45DA5" w14:textId="77777777" w:rsidR="009C21F0" w:rsidRDefault="009C21F0" w:rsidP="008938F9">
      <w:pPr>
        <w:jc w:val="center"/>
        <w:rPr>
          <w:b/>
          <w:bCs/>
          <w:sz w:val="36"/>
          <w:szCs w:val="36"/>
        </w:rPr>
      </w:pPr>
    </w:p>
    <w:p w14:paraId="119951E9" w14:textId="5A09F837" w:rsidR="008938F9" w:rsidRPr="000663F6" w:rsidRDefault="009C21F0" w:rsidP="000663F6">
      <w:pPr>
        <w:ind w:left="360"/>
        <w:rPr>
          <w:rFonts w:ascii="Montserrat" w:hAnsi="Montserrat"/>
          <w:sz w:val="28"/>
          <w:szCs w:val="28"/>
        </w:rPr>
      </w:pPr>
      <w:r w:rsidRPr="000663F6">
        <w:rPr>
          <w:rFonts w:ascii="Montserrat" w:hAnsi="Montserrat"/>
          <w:sz w:val="28"/>
          <w:szCs w:val="28"/>
        </w:rPr>
        <w:t>SUPUESTOS PRINCIPALES</w:t>
      </w:r>
    </w:p>
    <w:p w14:paraId="6B950316" w14:textId="77777777" w:rsidR="009C21F0" w:rsidRPr="00F34CB9" w:rsidRDefault="009C21F0" w:rsidP="009C21F0">
      <w:pPr>
        <w:rPr>
          <w:rFonts w:ascii="Montserrat" w:hAnsi="Montserrat"/>
          <w:b/>
          <w:bCs/>
          <w:sz w:val="28"/>
          <w:szCs w:val="28"/>
        </w:rPr>
      </w:pPr>
    </w:p>
    <w:p w14:paraId="201280FF" w14:textId="77777777" w:rsidR="00C41092" w:rsidRPr="00F34CB9" w:rsidRDefault="00C41092" w:rsidP="00F34CB9">
      <w:pPr>
        <w:pStyle w:val="Prrafodelista"/>
        <w:numPr>
          <w:ilvl w:val="0"/>
          <w:numId w:val="4"/>
        </w:numPr>
        <w:contextualSpacing/>
        <w:jc w:val="both"/>
        <w:rPr>
          <w:rFonts w:ascii="Montserrat" w:hAnsi="Montserrat" w:cstheme="minorHAnsi"/>
          <w:bCs/>
          <w:szCs w:val="28"/>
        </w:rPr>
      </w:pPr>
      <w:r w:rsidRPr="00F34CB9">
        <w:rPr>
          <w:rFonts w:ascii="Montserrat" w:hAnsi="Montserrat" w:cstheme="minorHAnsi"/>
          <w:bCs/>
          <w:szCs w:val="28"/>
        </w:rPr>
        <w:t>Migración de la página a Drupal 9.</w:t>
      </w:r>
    </w:p>
    <w:p w14:paraId="00EB7C5D" w14:textId="63C6C216" w:rsidR="00C41092" w:rsidRPr="00F34CB9" w:rsidRDefault="00C41092" w:rsidP="00F34CB9">
      <w:pPr>
        <w:pStyle w:val="Prrafodelista"/>
        <w:numPr>
          <w:ilvl w:val="0"/>
          <w:numId w:val="4"/>
        </w:numPr>
        <w:contextualSpacing/>
        <w:jc w:val="both"/>
        <w:rPr>
          <w:rFonts w:ascii="Montserrat" w:hAnsi="Montserrat" w:cstheme="minorHAnsi"/>
          <w:bCs/>
          <w:szCs w:val="28"/>
        </w:rPr>
      </w:pPr>
      <w:r w:rsidRPr="00F34CB9">
        <w:rPr>
          <w:rFonts w:ascii="Montserrat" w:hAnsi="Montserrat" w:cstheme="minorHAnsi"/>
          <w:bCs/>
          <w:szCs w:val="28"/>
        </w:rPr>
        <w:t>Incremento salario mínimo</w:t>
      </w:r>
      <w:r w:rsidR="009C21F0" w:rsidRPr="00F34CB9">
        <w:rPr>
          <w:rFonts w:ascii="Montserrat" w:hAnsi="Montserrat" w:cstheme="minorHAnsi"/>
          <w:bCs/>
          <w:szCs w:val="28"/>
        </w:rPr>
        <w:t xml:space="preserve"> 10.07 </w:t>
      </w:r>
      <w:r w:rsidRPr="00F34CB9">
        <w:rPr>
          <w:rFonts w:ascii="Montserrat" w:hAnsi="Montserrat" w:cstheme="minorHAnsi"/>
          <w:bCs/>
          <w:szCs w:val="28"/>
        </w:rPr>
        <w:t>%.</w:t>
      </w:r>
    </w:p>
    <w:p w14:paraId="650E9CB7" w14:textId="77777777" w:rsidR="00C41092" w:rsidRPr="00F34CB9" w:rsidRDefault="00C41092" w:rsidP="00F34CB9">
      <w:pPr>
        <w:pStyle w:val="Prrafodelista"/>
        <w:numPr>
          <w:ilvl w:val="0"/>
          <w:numId w:val="4"/>
        </w:numPr>
        <w:contextualSpacing/>
        <w:jc w:val="both"/>
        <w:rPr>
          <w:rFonts w:ascii="Montserrat" w:hAnsi="Montserrat" w:cstheme="minorHAnsi"/>
          <w:bCs/>
          <w:szCs w:val="28"/>
        </w:rPr>
      </w:pPr>
      <w:r w:rsidRPr="00F34CB9">
        <w:rPr>
          <w:rFonts w:ascii="Montserrat" w:hAnsi="Montserrat" w:cstheme="minorHAnsi"/>
          <w:bCs/>
          <w:szCs w:val="28"/>
        </w:rPr>
        <w:t>Reuniones presenciales intercaladas con reuniones virtuales.</w:t>
      </w:r>
    </w:p>
    <w:p w14:paraId="7C9EFF05" w14:textId="43FC1F79" w:rsidR="00C41092" w:rsidRPr="00F34CB9" w:rsidRDefault="00C41092" w:rsidP="00F34CB9">
      <w:pPr>
        <w:pStyle w:val="Prrafodelista"/>
        <w:numPr>
          <w:ilvl w:val="0"/>
          <w:numId w:val="4"/>
        </w:numPr>
        <w:contextualSpacing/>
        <w:jc w:val="both"/>
        <w:rPr>
          <w:rFonts w:ascii="Montserrat" w:hAnsi="Montserrat" w:cstheme="minorHAnsi"/>
          <w:bCs/>
          <w:szCs w:val="28"/>
        </w:rPr>
      </w:pPr>
      <w:r w:rsidRPr="00F34CB9">
        <w:rPr>
          <w:rFonts w:ascii="Montserrat" w:hAnsi="Montserrat" w:cstheme="minorHAnsi"/>
          <w:bCs/>
          <w:szCs w:val="28"/>
        </w:rPr>
        <w:t>Distribución del presupuesto de funcionamiento</w:t>
      </w:r>
      <w:r w:rsidR="009C21F0" w:rsidRPr="00F34CB9">
        <w:rPr>
          <w:rFonts w:ascii="Montserrat" w:hAnsi="Montserrat" w:cstheme="minorHAnsi"/>
          <w:bCs/>
          <w:szCs w:val="28"/>
        </w:rPr>
        <w:t xml:space="preserve"> anual: </w:t>
      </w:r>
      <w:r w:rsidRPr="00F34CB9">
        <w:rPr>
          <w:rFonts w:ascii="Montserrat" w:hAnsi="Montserrat" w:cstheme="minorHAnsi"/>
          <w:bCs/>
          <w:szCs w:val="28"/>
        </w:rPr>
        <w:t xml:space="preserve"> entre los 17 miembros previstos para la conformación del Consejo.</w:t>
      </w:r>
    </w:p>
    <w:p w14:paraId="3A5031C2" w14:textId="3DB9D6CA" w:rsidR="009C21F0" w:rsidRPr="00F34CB9" w:rsidRDefault="00F34CB9" w:rsidP="00F34CB9">
      <w:pPr>
        <w:pStyle w:val="Prrafodelista"/>
        <w:numPr>
          <w:ilvl w:val="0"/>
          <w:numId w:val="4"/>
        </w:numPr>
        <w:contextualSpacing/>
        <w:jc w:val="both"/>
        <w:rPr>
          <w:rFonts w:ascii="Montserrat" w:hAnsi="Montserrat" w:cstheme="minorHAnsi"/>
          <w:bCs/>
          <w:szCs w:val="28"/>
        </w:rPr>
      </w:pPr>
      <w:r w:rsidRPr="00F34CB9">
        <w:rPr>
          <w:rFonts w:ascii="Montserrat" w:hAnsi="Montserrat" w:cstheme="minorHAnsi"/>
          <w:bCs/>
          <w:szCs w:val="28"/>
        </w:rPr>
        <w:t>Distribución</w:t>
      </w:r>
      <w:r w:rsidR="009C21F0" w:rsidRPr="00F34CB9">
        <w:rPr>
          <w:rFonts w:ascii="Montserrat" w:hAnsi="Montserrat" w:cstheme="minorHAnsi"/>
          <w:bCs/>
          <w:szCs w:val="28"/>
        </w:rPr>
        <w:t xml:space="preserve"> del presupuesto de funcionamiento de los primeros cuatro meses entre los qui</w:t>
      </w:r>
      <w:r w:rsidRPr="00F34CB9">
        <w:rPr>
          <w:rFonts w:ascii="Montserrat" w:hAnsi="Montserrat" w:cstheme="minorHAnsi"/>
          <w:bCs/>
          <w:szCs w:val="28"/>
        </w:rPr>
        <w:t>n</w:t>
      </w:r>
      <w:r w:rsidR="009C21F0" w:rsidRPr="00F34CB9">
        <w:rPr>
          <w:rFonts w:ascii="Montserrat" w:hAnsi="Montserrat" w:cstheme="minorHAnsi"/>
          <w:bCs/>
          <w:szCs w:val="28"/>
        </w:rPr>
        <w:t>ce miembros por la</w:t>
      </w:r>
      <w:r w:rsidRPr="00F34CB9">
        <w:rPr>
          <w:rFonts w:ascii="Montserrat" w:hAnsi="Montserrat" w:cstheme="minorHAnsi"/>
          <w:bCs/>
          <w:szCs w:val="28"/>
        </w:rPr>
        <w:t xml:space="preserve"> </w:t>
      </w:r>
      <w:r w:rsidR="009C21F0" w:rsidRPr="00F34CB9">
        <w:rPr>
          <w:rFonts w:ascii="Montserrat" w:hAnsi="Montserrat" w:cstheme="minorHAnsi"/>
          <w:bCs/>
          <w:szCs w:val="28"/>
        </w:rPr>
        <w:t>vacancia de un representante de Transmisi</w:t>
      </w:r>
      <w:r w:rsidRPr="00F34CB9">
        <w:rPr>
          <w:rFonts w:ascii="Montserrat" w:hAnsi="Montserrat" w:cstheme="minorHAnsi"/>
          <w:bCs/>
          <w:szCs w:val="28"/>
        </w:rPr>
        <w:t>ó</w:t>
      </w:r>
      <w:r w:rsidR="009C21F0" w:rsidRPr="00F34CB9">
        <w:rPr>
          <w:rFonts w:ascii="Montserrat" w:hAnsi="Montserrat" w:cstheme="minorHAnsi"/>
          <w:bCs/>
          <w:szCs w:val="28"/>
        </w:rPr>
        <w:t>n y uno de la Demanda Regulada.</w:t>
      </w:r>
    </w:p>
    <w:p w14:paraId="7AAA4B0A" w14:textId="7A26CB83" w:rsidR="00C41092" w:rsidRPr="00F34CB9" w:rsidRDefault="00C41092" w:rsidP="00F34CB9">
      <w:pPr>
        <w:pStyle w:val="Prrafodelista"/>
        <w:numPr>
          <w:ilvl w:val="0"/>
          <w:numId w:val="4"/>
        </w:numPr>
        <w:contextualSpacing/>
        <w:jc w:val="both"/>
        <w:rPr>
          <w:rFonts w:ascii="Montserrat" w:hAnsi="Montserrat" w:cstheme="minorHAnsi"/>
          <w:bCs/>
          <w:szCs w:val="28"/>
        </w:rPr>
      </w:pPr>
      <w:r w:rsidRPr="00F34CB9">
        <w:rPr>
          <w:rFonts w:ascii="Montserrat" w:hAnsi="Montserrat" w:cstheme="minorHAnsi"/>
          <w:bCs/>
          <w:szCs w:val="28"/>
        </w:rPr>
        <w:t xml:space="preserve">Consultoría externa para tareas </w:t>
      </w:r>
      <w:r w:rsidR="00F34CB9" w:rsidRPr="00F34CB9">
        <w:rPr>
          <w:rFonts w:ascii="Montserrat" w:hAnsi="Montserrat" w:cstheme="minorHAnsi"/>
          <w:bCs/>
          <w:szCs w:val="28"/>
        </w:rPr>
        <w:t>de las Resoluciones</w:t>
      </w:r>
      <w:r w:rsidRPr="00F34CB9">
        <w:rPr>
          <w:rFonts w:ascii="Montserrat" w:hAnsi="Montserrat" w:cstheme="minorHAnsi"/>
          <w:bCs/>
          <w:szCs w:val="28"/>
        </w:rPr>
        <w:t xml:space="preserve"> CREG 148</w:t>
      </w:r>
      <w:r w:rsidR="00F34CB9" w:rsidRPr="00F34CB9">
        <w:rPr>
          <w:rFonts w:ascii="Montserrat" w:hAnsi="Montserrat" w:cstheme="minorHAnsi"/>
          <w:bCs/>
          <w:szCs w:val="28"/>
        </w:rPr>
        <w:t>, 173 y 174</w:t>
      </w:r>
      <w:r w:rsidRPr="00F34CB9">
        <w:rPr>
          <w:rFonts w:ascii="Montserrat" w:hAnsi="Montserrat" w:cstheme="minorHAnsi"/>
          <w:bCs/>
          <w:szCs w:val="28"/>
        </w:rPr>
        <w:t>.</w:t>
      </w:r>
    </w:p>
    <w:p w14:paraId="720DB1F2" w14:textId="4232F0E6" w:rsidR="00C41092" w:rsidRDefault="00C41092" w:rsidP="00F34CB9">
      <w:pPr>
        <w:pStyle w:val="Prrafodelista"/>
        <w:numPr>
          <w:ilvl w:val="0"/>
          <w:numId w:val="4"/>
        </w:numPr>
        <w:contextualSpacing/>
        <w:jc w:val="both"/>
        <w:rPr>
          <w:rFonts w:ascii="Montserrat" w:hAnsi="Montserrat" w:cstheme="minorHAnsi"/>
          <w:bCs/>
          <w:szCs w:val="28"/>
        </w:rPr>
      </w:pPr>
      <w:r w:rsidRPr="00F34CB9">
        <w:rPr>
          <w:rFonts w:ascii="Montserrat" w:hAnsi="Montserrat" w:cstheme="minorHAnsi"/>
          <w:bCs/>
          <w:szCs w:val="28"/>
        </w:rPr>
        <w:t>Compensación anual por productividad del Consejo para sus funcionarios</w:t>
      </w:r>
      <w:r w:rsidR="000663F6">
        <w:rPr>
          <w:rFonts w:ascii="Montserrat" w:hAnsi="Montserrat" w:cstheme="minorHAnsi"/>
          <w:bCs/>
          <w:szCs w:val="28"/>
        </w:rPr>
        <w:t xml:space="preserve"> basado en los indicadores de desempeño</w:t>
      </w:r>
      <w:r w:rsidR="00474A59">
        <w:rPr>
          <w:rFonts w:ascii="Montserrat" w:hAnsi="Montserrat" w:cstheme="minorHAnsi"/>
          <w:bCs/>
          <w:szCs w:val="28"/>
        </w:rPr>
        <w:t xml:space="preserve"> del C N O</w:t>
      </w:r>
      <w:r w:rsidR="000663F6">
        <w:rPr>
          <w:rFonts w:ascii="Montserrat" w:hAnsi="Montserrat" w:cstheme="minorHAnsi"/>
          <w:bCs/>
          <w:szCs w:val="28"/>
        </w:rPr>
        <w:t xml:space="preserve"> aprobados en el plan estratégico</w:t>
      </w:r>
      <w:r w:rsidR="00474A59">
        <w:rPr>
          <w:rFonts w:ascii="Montserrat" w:hAnsi="Montserrat" w:cstheme="minorHAnsi"/>
          <w:bCs/>
          <w:szCs w:val="28"/>
        </w:rPr>
        <w:t>.</w:t>
      </w:r>
      <w:r w:rsidR="000663F6">
        <w:rPr>
          <w:rFonts w:ascii="Montserrat" w:hAnsi="Montserrat" w:cstheme="minorHAnsi"/>
          <w:bCs/>
          <w:szCs w:val="28"/>
        </w:rPr>
        <w:t xml:space="preserve"> </w:t>
      </w:r>
    </w:p>
    <w:p w14:paraId="07B3F07B" w14:textId="77777777" w:rsidR="00F34CB9" w:rsidRPr="00F34CB9" w:rsidRDefault="00F34CB9" w:rsidP="00F34CB9">
      <w:pPr>
        <w:contextualSpacing/>
        <w:jc w:val="both"/>
        <w:rPr>
          <w:rFonts w:ascii="Montserrat" w:hAnsi="Montserrat" w:cstheme="minorHAnsi"/>
          <w:bCs/>
          <w:szCs w:val="28"/>
        </w:rPr>
      </w:pPr>
    </w:p>
    <w:p w14:paraId="712A2BBA" w14:textId="0AD03EF4" w:rsidR="000663F6" w:rsidRPr="00F34CB9" w:rsidRDefault="000663F6" w:rsidP="00F34CB9">
      <w:pPr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E</w:t>
      </w:r>
      <w:r w:rsidRPr="000663F6">
        <w:rPr>
          <w:rFonts w:ascii="Montserrat" w:hAnsi="Montserrat"/>
          <w:sz w:val="28"/>
          <w:szCs w:val="28"/>
        </w:rPr>
        <w:t xml:space="preserve">l valor del presupuesto para el primer cuatrimestre es de $ 785.838.249 el cual se distribuye en una cuota de $ 52.389.217 </w:t>
      </w:r>
      <w:r>
        <w:rPr>
          <w:rFonts w:ascii="Montserrat" w:hAnsi="Montserrat"/>
          <w:sz w:val="28"/>
          <w:szCs w:val="28"/>
        </w:rPr>
        <w:t xml:space="preserve">      para</w:t>
      </w:r>
      <w:r w:rsidRPr="000663F6">
        <w:rPr>
          <w:rFonts w:ascii="Montserrat" w:hAnsi="Montserrat"/>
          <w:sz w:val="28"/>
          <w:szCs w:val="28"/>
        </w:rPr>
        <w:t xml:space="preserve"> cada uno de los 15 miembros que conformaran </w:t>
      </w:r>
      <w:r>
        <w:rPr>
          <w:rFonts w:ascii="Montserrat" w:hAnsi="Montserrat"/>
          <w:sz w:val="28"/>
          <w:szCs w:val="28"/>
        </w:rPr>
        <w:t>el C N O</w:t>
      </w:r>
      <w:r w:rsidRPr="000663F6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 xml:space="preserve">según Acuerdo C N O 1505 </w:t>
      </w:r>
      <w:r w:rsidRPr="000663F6">
        <w:rPr>
          <w:rFonts w:ascii="Montserrat" w:hAnsi="Montserrat"/>
          <w:sz w:val="28"/>
          <w:szCs w:val="28"/>
        </w:rPr>
        <w:t xml:space="preserve">mientras se define el otro miembro </w:t>
      </w:r>
      <w:r w:rsidR="00F21D0C">
        <w:rPr>
          <w:rFonts w:ascii="Montserrat" w:hAnsi="Montserrat"/>
          <w:sz w:val="28"/>
          <w:szCs w:val="28"/>
        </w:rPr>
        <w:t>representante de la</w:t>
      </w:r>
      <w:r w:rsidRPr="000663F6">
        <w:rPr>
          <w:rFonts w:ascii="Montserrat" w:hAnsi="Montserrat"/>
          <w:sz w:val="28"/>
          <w:szCs w:val="28"/>
        </w:rPr>
        <w:t xml:space="preserve"> demanda regulada.</w:t>
      </w:r>
      <w:r>
        <w:rPr>
          <w:rFonts w:ascii="Montserrat" w:hAnsi="Montserrat"/>
          <w:sz w:val="28"/>
          <w:szCs w:val="28"/>
        </w:rPr>
        <w:t xml:space="preserve"> Esto es necesario para </w:t>
      </w:r>
      <w:r w:rsidR="00F21D0C">
        <w:rPr>
          <w:rFonts w:ascii="Montserrat" w:hAnsi="Montserrat"/>
          <w:sz w:val="28"/>
          <w:szCs w:val="28"/>
        </w:rPr>
        <w:t>el envío de</w:t>
      </w:r>
      <w:r>
        <w:rPr>
          <w:rFonts w:ascii="Montserrat" w:hAnsi="Montserrat"/>
          <w:sz w:val="28"/>
          <w:szCs w:val="28"/>
        </w:rPr>
        <w:t xml:space="preserve"> las cuentas de cobro de la Fiduciaria en la primera semana de enero 2022.</w:t>
      </w:r>
    </w:p>
    <w:sectPr w:rsidR="000663F6" w:rsidRPr="00F34C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CF7"/>
    <w:multiLevelType w:val="hybridMultilevel"/>
    <w:tmpl w:val="7D78CE5E"/>
    <w:lvl w:ilvl="0" w:tplc="24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9926E2F0">
      <w:numFmt w:val="bullet"/>
      <w:lvlText w:val="-"/>
      <w:lvlJc w:val="left"/>
      <w:pPr>
        <w:ind w:left="2934" w:hanging="360"/>
      </w:pPr>
      <w:rPr>
        <w:rFonts w:ascii="Montserrat" w:eastAsia="Times New Roman" w:hAnsi="Montserrat" w:cstheme="minorHAnsi" w:hint="default"/>
      </w:rPr>
    </w:lvl>
    <w:lvl w:ilvl="2" w:tplc="24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07C83ED5"/>
    <w:multiLevelType w:val="hybridMultilevel"/>
    <w:tmpl w:val="59C8E8C6"/>
    <w:lvl w:ilvl="0" w:tplc="FFFFFFFF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293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25DC26E1"/>
    <w:multiLevelType w:val="hybridMultilevel"/>
    <w:tmpl w:val="99D4C0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326B8"/>
    <w:multiLevelType w:val="hybridMultilevel"/>
    <w:tmpl w:val="0BC839C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F9"/>
    <w:rsid w:val="000663F6"/>
    <w:rsid w:val="00474A59"/>
    <w:rsid w:val="0062127C"/>
    <w:rsid w:val="008938F9"/>
    <w:rsid w:val="009C21F0"/>
    <w:rsid w:val="00BE223E"/>
    <w:rsid w:val="00C41092"/>
    <w:rsid w:val="00F21D0C"/>
    <w:rsid w:val="00F3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BF44"/>
  <w15:chartTrackingRefBased/>
  <w15:docId w15:val="{0DA8ACDD-EE00-44CC-B8F8-1C9064B3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41092"/>
    <w:pPr>
      <w:spacing w:after="0" w:line="240" w:lineRule="auto"/>
      <w:ind w:left="708"/>
    </w:pPr>
    <w:rPr>
      <w:rFonts w:ascii="Arial" w:eastAsia="Times New Roman" w:hAnsi="Arial" w:cs="Times New Roman"/>
      <w:spacing w:val="-20"/>
      <w:sz w:val="28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rsid w:val="00C41092"/>
    <w:rPr>
      <w:rFonts w:ascii="Arial" w:eastAsia="Times New Roman" w:hAnsi="Arial" w:cs="Times New Roman"/>
      <w:spacing w:val="-20"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Olarte</dc:creator>
  <cp:keywords/>
  <dc:description/>
  <cp:lastModifiedBy>Alberto Olarte</cp:lastModifiedBy>
  <cp:revision>2</cp:revision>
  <dcterms:created xsi:type="dcterms:W3CDTF">2022-01-12T20:19:00Z</dcterms:created>
  <dcterms:modified xsi:type="dcterms:W3CDTF">2022-01-12T20:19:00Z</dcterms:modified>
</cp:coreProperties>
</file>