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4F4988C8" w:rsidR="00CF0B30" w:rsidRPr="00487E56" w:rsidRDefault="00CF0B30" w:rsidP="000A66C1">
      <w:pPr>
        <w:pStyle w:val="Ttulo"/>
        <w:jc w:val="center"/>
        <w:rPr>
          <w:rFonts w:ascii="Verdana" w:hAnsi="Verdana"/>
          <w:b/>
          <w:color w:val="000000"/>
          <w:sz w:val="32"/>
          <w:szCs w:val="22"/>
        </w:rPr>
      </w:pPr>
      <w:r w:rsidRPr="00487E56">
        <w:rPr>
          <w:rFonts w:ascii="Verdana" w:hAnsi="Verdana"/>
          <w:b/>
          <w:sz w:val="32"/>
          <w:szCs w:val="22"/>
        </w:rPr>
        <w:t xml:space="preserve">INFORME </w:t>
      </w:r>
      <w:r w:rsidR="003B26E1" w:rsidRPr="00487E56">
        <w:rPr>
          <w:rFonts w:ascii="Verdana" w:hAnsi="Verdana"/>
          <w:b/>
          <w:sz w:val="32"/>
          <w:szCs w:val="22"/>
        </w:rPr>
        <w:t>CNO 5</w:t>
      </w:r>
      <w:r w:rsidR="00BE33F5">
        <w:rPr>
          <w:rFonts w:ascii="Verdana" w:hAnsi="Verdana"/>
          <w:b/>
          <w:sz w:val="32"/>
          <w:szCs w:val="22"/>
        </w:rPr>
        <w:t>5</w:t>
      </w:r>
      <w:r w:rsidR="005C2779">
        <w:rPr>
          <w:rFonts w:ascii="Verdana" w:hAnsi="Verdana"/>
          <w:b/>
          <w:sz w:val="32"/>
          <w:szCs w:val="22"/>
        </w:rPr>
        <w:t>6</w:t>
      </w:r>
    </w:p>
    <w:p w14:paraId="42873F87" w14:textId="06012E84" w:rsidR="00CF0B30" w:rsidRPr="00487E56" w:rsidRDefault="00CF0B30" w:rsidP="0018416B">
      <w:pPr>
        <w:jc w:val="both"/>
        <w:rPr>
          <w:rFonts w:ascii="Verdana" w:hAnsi="Verdana" w:cs="Cambria"/>
          <w:color w:val="000000"/>
          <w:sz w:val="22"/>
          <w:szCs w:val="22"/>
        </w:rPr>
      </w:pPr>
    </w:p>
    <w:p w14:paraId="434E003A" w14:textId="77777777" w:rsidR="005C2779" w:rsidRDefault="005C2779">
      <w:pPr>
        <w:jc w:val="both"/>
        <w:rPr>
          <w:rFonts w:ascii="Verdana" w:hAnsi="Verdana" w:cs="Cambria"/>
          <w:color w:val="000000"/>
          <w:sz w:val="22"/>
          <w:szCs w:val="22"/>
        </w:rPr>
      </w:pPr>
    </w:p>
    <w:p w14:paraId="6BA34F1B" w14:textId="2443422A" w:rsidR="007F2666" w:rsidRPr="00DF0794" w:rsidRDefault="0006427E">
      <w:pPr>
        <w:jc w:val="both"/>
        <w:rPr>
          <w:rFonts w:ascii="Verdana" w:hAnsi="Verdana" w:cs="Cambria"/>
          <w:color w:val="000000"/>
          <w:sz w:val="22"/>
          <w:szCs w:val="22"/>
        </w:rPr>
      </w:pPr>
      <w:r w:rsidRPr="00DF0794">
        <w:rPr>
          <w:rFonts w:ascii="Verdana" w:hAnsi="Verdana" w:cs="Cambria"/>
          <w:color w:val="000000"/>
          <w:sz w:val="22"/>
          <w:szCs w:val="22"/>
        </w:rPr>
        <w:t>Fecha:</w:t>
      </w:r>
      <w:r w:rsidR="008339F8" w:rsidRPr="00DF0794">
        <w:rPr>
          <w:rFonts w:ascii="Verdana" w:hAnsi="Verdana" w:cs="Cambria"/>
          <w:color w:val="000000"/>
          <w:sz w:val="22"/>
          <w:szCs w:val="22"/>
        </w:rPr>
        <w:t xml:space="preserve"> </w:t>
      </w:r>
      <w:r w:rsidR="005C2779">
        <w:rPr>
          <w:rFonts w:ascii="Verdana" w:hAnsi="Verdana" w:cs="Cambria"/>
          <w:color w:val="000000"/>
          <w:sz w:val="22"/>
          <w:szCs w:val="22"/>
        </w:rPr>
        <w:t>marzo</w:t>
      </w:r>
      <w:r w:rsidR="00436141">
        <w:rPr>
          <w:rFonts w:ascii="Verdana" w:hAnsi="Verdana" w:cs="Cambria"/>
          <w:color w:val="000000"/>
          <w:sz w:val="22"/>
          <w:szCs w:val="22"/>
        </w:rPr>
        <w:t xml:space="preserve"> 7</w:t>
      </w:r>
      <w:r w:rsidR="00AA5BF4" w:rsidRPr="00DF0794">
        <w:rPr>
          <w:rFonts w:ascii="Verdana" w:hAnsi="Verdana" w:cs="Cambria"/>
          <w:color w:val="000000"/>
          <w:sz w:val="22"/>
          <w:szCs w:val="22"/>
        </w:rPr>
        <w:t xml:space="preserve"> </w:t>
      </w:r>
      <w:r w:rsidR="001A2B49" w:rsidRPr="00DF0794">
        <w:rPr>
          <w:rFonts w:ascii="Verdana" w:hAnsi="Verdana" w:cs="Cambria"/>
          <w:color w:val="000000"/>
          <w:sz w:val="22"/>
          <w:szCs w:val="22"/>
        </w:rPr>
        <w:t>de 201</w:t>
      </w:r>
      <w:r w:rsidR="00436141">
        <w:rPr>
          <w:rFonts w:ascii="Verdana" w:hAnsi="Verdana" w:cs="Cambria"/>
          <w:color w:val="000000"/>
          <w:sz w:val="22"/>
          <w:szCs w:val="22"/>
        </w:rPr>
        <w:t>9</w:t>
      </w:r>
    </w:p>
    <w:p w14:paraId="564951D9" w14:textId="5C69CE2A" w:rsidR="00601475" w:rsidRPr="00DF0794" w:rsidRDefault="008D5A46">
      <w:pPr>
        <w:tabs>
          <w:tab w:val="left" w:pos="8134"/>
        </w:tabs>
        <w:jc w:val="both"/>
        <w:rPr>
          <w:rFonts w:ascii="Verdana" w:hAnsi="Verdana" w:cs="Cambria"/>
          <w:color w:val="000000"/>
          <w:sz w:val="22"/>
          <w:szCs w:val="22"/>
        </w:rPr>
      </w:pPr>
      <w:r w:rsidRPr="00DF0794">
        <w:rPr>
          <w:rFonts w:ascii="Verdana" w:hAnsi="Verdana" w:cs="Cambria"/>
          <w:color w:val="000000"/>
          <w:sz w:val="22"/>
          <w:szCs w:val="22"/>
        </w:rPr>
        <w:tab/>
      </w:r>
    </w:p>
    <w:p w14:paraId="7C1CF8A5" w14:textId="1850AA8B" w:rsidR="007F2666" w:rsidRPr="00487E56" w:rsidRDefault="00580C1C" w:rsidP="00DC1C6A">
      <w:pPr>
        <w:jc w:val="both"/>
        <w:rPr>
          <w:rFonts w:ascii="Verdana" w:hAnsi="Verdana" w:cs="PTSans-Regular"/>
          <w:b/>
          <w:color w:val="000000" w:themeColor="text1"/>
          <w:sz w:val="22"/>
          <w:szCs w:val="22"/>
          <w:u w:val="single"/>
          <w:lang w:eastAsia="en-CA"/>
        </w:rPr>
      </w:pPr>
      <w:r w:rsidRPr="00487E56">
        <w:rPr>
          <w:rFonts w:ascii="Verdana" w:hAnsi="Verdana" w:cs="PTSans-Regular"/>
          <w:b/>
          <w:color w:val="000000" w:themeColor="text1"/>
          <w:sz w:val="22"/>
          <w:szCs w:val="22"/>
          <w:u w:val="single"/>
          <w:lang w:eastAsia="en-CA"/>
        </w:rPr>
        <w:t>ASPECTOS ADMINISTRATIVOS:</w:t>
      </w:r>
    </w:p>
    <w:p w14:paraId="613C599A" w14:textId="77777777" w:rsidR="00D60A54" w:rsidRPr="00487E56" w:rsidRDefault="00D60A54" w:rsidP="00D60A54">
      <w:pPr>
        <w:contextualSpacing/>
        <w:jc w:val="both"/>
        <w:rPr>
          <w:rFonts w:ascii="Verdana" w:hAnsi="Verdana" w:cs="Cambria"/>
          <w:color w:val="000000" w:themeColor="text1"/>
          <w:sz w:val="22"/>
          <w:szCs w:val="22"/>
        </w:rPr>
      </w:pPr>
    </w:p>
    <w:p w14:paraId="7326AAC8" w14:textId="77777777" w:rsidR="0023532A" w:rsidRPr="0023532A" w:rsidRDefault="0023532A" w:rsidP="0023532A">
      <w:pPr>
        <w:contextualSpacing/>
        <w:jc w:val="both"/>
        <w:rPr>
          <w:rFonts w:ascii="Verdana" w:hAnsi="Verdana" w:cs="PTSans-Regular"/>
          <w:color w:val="000000" w:themeColor="text1"/>
          <w:sz w:val="22"/>
          <w:szCs w:val="22"/>
          <w:lang w:eastAsia="en-CA"/>
        </w:rPr>
      </w:pPr>
    </w:p>
    <w:p w14:paraId="3AB3989B" w14:textId="6F9D24EC" w:rsidR="00A31B42" w:rsidRDefault="005C2779" w:rsidP="00763EEA">
      <w:pPr>
        <w:pStyle w:val="Prrafodelista"/>
        <w:numPr>
          <w:ilvl w:val="0"/>
          <w:numId w:val="42"/>
        </w:numPr>
        <w:contextualSpacing/>
        <w:jc w:val="both"/>
        <w:rPr>
          <w:rFonts w:ascii="Verdana" w:hAnsi="Verdana" w:cs="PTSans-Regular"/>
          <w:color w:val="000000" w:themeColor="text1"/>
          <w:sz w:val="22"/>
          <w:szCs w:val="22"/>
          <w:lang w:eastAsia="en-CA"/>
        </w:rPr>
      </w:pPr>
      <w:r w:rsidRPr="00AA599C">
        <w:rPr>
          <w:rFonts w:ascii="Verdana" w:hAnsi="Verdana" w:cs="PTSans-Regular"/>
          <w:b/>
          <w:color w:val="000000" w:themeColor="text1"/>
          <w:sz w:val="22"/>
          <w:szCs w:val="22"/>
          <w:lang w:eastAsia="en-CA"/>
        </w:rPr>
        <w:t>FUNCIONES ESPECÍFICAS</w:t>
      </w:r>
      <w:r w:rsidR="00AA599C" w:rsidRPr="00AA599C">
        <w:rPr>
          <w:rFonts w:ascii="Verdana" w:hAnsi="Verdana" w:cs="PTSans-Regular"/>
          <w:b/>
          <w:color w:val="000000" w:themeColor="text1"/>
          <w:sz w:val="22"/>
          <w:szCs w:val="22"/>
          <w:lang w:eastAsia="en-CA"/>
        </w:rPr>
        <w:t xml:space="preserve"> COMITÉ DE SUPERVISIÓN Y CIBERSEGURIDAD</w:t>
      </w:r>
      <w:r w:rsidR="00AA599C" w:rsidRPr="00763EEA">
        <w:rPr>
          <w:rFonts w:ascii="Verdana" w:hAnsi="Verdana" w:cs="PTSans-Regular"/>
          <w:color w:val="000000" w:themeColor="text1"/>
          <w:sz w:val="22"/>
          <w:szCs w:val="22"/>
          <w:lang w:eastAsia="en-CA"/>
        </w:rPr>
        <w:t>:</w:t>
      </w:r>
    </w:p>
    <w:p w14:paraId="7A9E6CB0" w14:textId="7AE9B825" w:rsidR="006A78B4" w:rsidRDefault="006A78B4" w:rsidP="006A78B4">
      <w:pPr>
        <w:contextualSpacing/>
        <w:jc w:val="both"/>
        <w:rPr>
          <w:rFonts w:ascii="Verdana" w:hAnsi="Verdana" w:cs="PTSans-Regular"/>
          <w:color w:val="000000" w:themeColor="text1"/>
          <w:sz w:val="22"/>
          <w:szCs w:val="22"/>
          <w:lang w:eastAsia="en-CA"/>
        </w:rPr>
      </w:pPr>
    </w:p>
    <w:p w14:paraId="7FC52060" w14:textId="487811FD" w:rsidR="006A78B4" w:rsidRDefault="006A78B4" w:rsidP="006A78B4">
      <w:pPr>
        <w:contextualSpacing/>
        <w:jc w:val="both"/>
        <w:rPr>
          <w:rFonts w:ascii="Verdana" w:hAnsi="Verdana" w:cs="PTSans-Regular"/>
          <w:color w:val="000000" w:themeColor="text1"/>
          <w:sz w:val="22"/>
          <w:szCs w:val="22"/>
          <w:lang w:eastAsia="en-CA"/>
        </w:rPr>
      </w:pPr>
    </w:p>
    <w:tbl>
      <w:tblPr>
        <w:tblStyle w:val="Tablaconcuadrcula"/>
        <w:tblW w:w="0" w:type="auto"/>
        <w:jc w:val="center"/>
        <w:tblLook w:val="04A0" w:firstRow="1" w:lastRow="0" w:firstColumn="1" w:lastColumn="0" w:noHBand="0" w:noVBand="1"/>
      </w:tblPr>
      <w:tblGrid>
        <w:gridCol w:w="8080"/>
      </w:tblGrid>
      <w:tr w:rsidR="006A78B4" w:rsidRPr="006A78B4" w14:paraId="74C3F550" w14:textId="77777777" w:rsidTr="00353A7B">
        <w:trPr>
          <w:trHeight w:val="540"/>
          <w:jc w:val="center"/>
        </w:trPr>
        <w:tc>
          <w:tcPr>
            <w:tcW w:w="8080" w:type="dxa"/>
            <w:noWrap/>
            <w:hideMark/>
          </w:tcPr>
          <w:p w14:paraId="7E935229" w14:textId="73A97C16" w:rsidR="006A78B4" w:rsidRPr="006A78B4" w:rsidRDefault="006A78B4" w:rsidP="006A78B4">
            <w:pPr>
              <w:pStyle w:val="Prrafodelista"/>
              <w:numPr>
                <w:ilvl w:val="0"/>
                <w:numId w:val="43"/>
              </w:numPr>
              <w:contextualSpacing/>
              <w:jc w:val="both"/>
              <w:rPr>
                <w:rFonts w:ascii="Verdana" w:hAnsi="Verdana" w:cs="PTSans-Regular"/>
                <w:color w:val="000000" w:themeColor="text1"/>
                <w:sz w:val="22"/>
                <w:szCs w:val="22"/>
                <w:lang w:eastAsia="en-CA"/>
              </w:rPr>
            </w:pPr>
            <w:r w:rsidRPr="006A78B4">
              <w:rPr>
                <w:rFonts w:ascii="Verdana" w:hAnsi="Verdana" w:cs="PTSans-Regular"/>
                <w:color w:val="000000" w:themeColor="text1"/>
                <w:sz w:val="22"/>
                <w:szCs w:val="22"/>
                <w:lang w:eastAsia="en-CA"/>
              </w:rPr>
              <w:t>Analizar y hacer recomendaciones al CNO de los proyectos de Acuerdos, comunicaciones y demás documentos encaminad</w:t>
            </w:r>
            <w:r w:rsidR="00667B82">
              <w:rPr>
                <w:rFonts w:ascii="Verdana" w:hAnsi="Verdana" w:cs="PTSans-Regular"/>
                <w:color w:val="000000" w:themeColor="text1"/>
                <w:sz w:val="22"/>
                <w:szCs w:val="22"/>
                <w:lang w:eastAsia="en-CA"/>
              </w:rPr>
              <w:t>o</w:t>
            </w:r>
            <w:r w:rsidRPr="006A78B4">
              <w:rPr>
                <w:rFonts w:ascii="Verdana" w:hAnsi="Verdana" w:cs="PTSans-Regular"/>
                <w:color w:val="000000" w:themeColor="text1"/>
                <w:sz w:val="22"/>
                <w:szCs w:val="22"/>
                <w:lang w:eastAsia="en-CA"/>
              </w:rPr>
              <w:t>s a garantizar una operación segura, confiable y económica.</w:t>
            </w:r>
          </w:p>
        </w:tc>
      </w:tr>
      <w:tr w:rsidR="006A78B4" w:rsidRPr="006A78B4" w14:paraId="4CB1D13E" w14:textId="77777777" w:rsidTr="00353A7B">
        <w:trPr>
          <w:trHeight w:val="810"/>
          <w:jc w:val="center"/>
        </w:trPr>
        <w:tc>
          <w:tcPr>
            <w:tcW w:w="8080" w:type="dxa"/>
            <w:noWrap/>
            <w:hideMark/>
          </w:tcPr>
          <w:p w14:paraId="1CA6F92C" w14:textId="7F6B05E2" w:rsidR="006A78B4" w:rsidRPr="006A78B4" w:rsidRDefault="006A78B4" w:rsidP="006A78B4">
            <w:pPr>
              <w:pStyle w:val="Prrafodelista"/>
              <w:numPr>
                <w:ilvl w:val="0"/>
                <w:numId w:val="43"/>
              </w:numPr>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I</w:t>
            </w:r>
            <w:r w:rsidRPr="006A78B4">
              <w:rPr>
                <w:rFonts w:ascii="Verdana" w:hAnsi="Verdana" w:cs="PTSans-Regular"/>
                <w:color w:val="000000" w:themeColor="text1"/>
                <w:sz w:val="22"/>
                <w:szCs w:val="22"/>
                <w:lang w:eastAsia="en-CA"/>
              </w:rPr>
              <w:t>dentificar las necesidades y hacer las recomendaciones al CNO sobre aspectos tecnológicos relacionados con la supervisión de la operación del SIN (incluye la supervisión de las plantas menores, fuentes renovables no convencionales, nuevas tecnologías de operación, etc.)</w:t>
            </w:r>
            <w:r w:rsidR="003B0D16">
              <w:rPr>
                <w:rFonts w:ascii="Verdana" w:hAnsi="Verdana" w:cs="PTSans-Regular"/>
                <w:color w:val="000000" w:themeColor="text1"/>
                <w:sz w:val="22"/>
                <w:szCs w:val="22"/>
                <w:lang w:eastAsia="en-CA"/>
              </w:rPr>
              <w:t xml:space="preserve"> y ciberseguridad.</w:t>
            </w:r>
            <w:r w:rsidRPr="006A78B4">
              <w:rPr>
                <w:rFonts w:ascii="Verdana" w:hAnsi="Verdana" w:cs="PTSans-Regular"/>
                <w:color w:val="000000" w:themeColor="text1"/>
                <w:sz w:val="22"/>
                <w:szCs w:val="22"/>
                <w:lang w:eastAsia="en-CA"/>
              </w:rPr>
              <w:t xml:space="preserve"> </w:t>
            </w:r>
          </w:p>
        </w:tc>
      </w:tr>
      <w:tr w:rsidR="006A78B4" w:rsidRPr="006A78B4" w14:paraId="2C226F08" w14:textId="77777777" w:rsidTr="00353A7B">
        <w:trPr>
          <w:trHeight w:val="540"/>
          <w:jc w:val="center"/>
        </w:trPr>
        <w:tc>
          <w:tcPr>
            <w:tcW w:w="8080" w:type="dxa"/>
            <w:noWrap/>
            <w:hideMark/>
          </w:tcPr>
          <w:p w14:paraId="5CB52392" w14:textId="1BBDA818" w:rsidR="006A78B4" w:rsidRPr="006A78B4" w:rsidRDefault="006A78B4" w:rsidP="006A78B4">
            <w:pPr>
              <w:pStyle w:val="Prrafodelista"/>
              <w:numPr>
                <w:ilvl w:val="0"/>
                <w:numId w:val="43"/>
              </w:numPr>
              <w:contextualSpacing/>
              <w:jc w:val="both"/>
              <w:rPr>
                <w:rFonts w:ascii="Verdana" w:hAnsi="Verdana" w:cs="PTSans-Regular"/>
                <w:color w:val="000000" w:themeColor="text1"/>
                <w:sz w:val="22"/>
                <w:szCs w:val="22"/>
                <w:lang w:eastAsia="en-CA"/>
              </w:rPr>
            </w:pPr>
            <w:r w:rsidRPr="006A78B4">
              <w:rPr>
                <w:rFonts w:ascii="Verdana" w:hAnsi="Verdana" w:cs="PTSans-Regular"/>
                <w:color w:val="000000" w:themeColor="text1"/>
                <w:sz w:val="22"/>
                <w:szCs w:val="22"/>
                <w:lang w:eastAsia="en-CA"/>
              </w:rPr>
              <w:t>Analizar, proponer y promover la estandarización de iniciativas y procedimientos técnicos para la confiabilidad de la supervisión de la operación del SIN</w:t>
            </w:r>
            <w:r w:rsidR="00E820BF">
              <w:rPr>
                <w:rFonts w:ascii="Verdana" w:hAnsi="Verdana" w:cs="PTSans-Regular"/>
                <w:color w:val="000000" w:themeColor="text1"/>
                <w:sz w:val="22"/>
                <w:szCs w:val="22"/>
                <w:lang w:eastAsia="en-CA"/>
              </w:rPr>
              <w:t xml:space="preserve"> y asegurar la interoperabilidad.</w:t>
            </w:r>
          </w:p>
        </w:tc>
      </w:tr>
      <w:tr w:rsidR="006A78B4" w:rsidRPr="006A78B4" w14:paraId="685E5BB0" w14:textId="77777777" w:rsidTr="00353A7B">
        <w:trPr>
          <w:trHeight w:val="540"/>
          <w:jc w:val="center"/>
        </w:trPr>
        <w:tc>
          <w:tcPr>
            <w:tcW w:w="8080" w:type="dxa"/>
            <w:noWrap/>
            <w:hideMark/>
          </w:tcPr>
          <w:p w14:paraId="400A5B53" w14:textId="4FBCE51A" w:rsidR="006A78B4" w:rsidRPr="006A78B4" w:rsidRDefault="006A78B4" w:rsidP="006A78B4">
            <w:pPr>
              <w:pStyle w:val="Prrafodelista"/>
              <w:numPr>
                <w:ilvl w:val="0"/>
                <w:numId w:val="43"/>
              </w:numPr>
              <w:contextualSpacing/>
              <w:jc w:val="both"/>
              <w:rPr>
                <w:rFonts w:ascii="Verdana" w:hAnsi="Verdana" w:cs="PTSans-Regular"/>
                <w:color w:val="000000" w:themeColor="text1"/>
                <w:sz w:val="22"/>
                <w:szCs w:val="22"/>
                <w:lang w:eastAsia="en-CA"/>
              </w:rPr>
            </w:pPr>
            <w:r w:rsidRPr="006A78B4">
              <w:rPr>
                <w:rFonts w:ascii="Verdana" w:hAnsi="Verdana" w:cs="PTSans-Regular"/>
                <w:color w:val="000000" w:themeColor="text1"/>
                <w:sz w:val="22"/>
                <w:szCs w:val="22"/>
                <w:lang w:eastAsia="en-CA"/>
              </w:rPr>
              <w:t xml:space="preserve">Identificar riesgos y proponer planes de acción para la mejora de las comunicaciones operativas de voz, y la red de intercambio de datos entre los centros de control y las subestaciones con el CND. </w:t>
            </w:r>
          </w:p>
        </w:tc>
      </w:tr>
      <w:tr w:rsidR="006A78B4" w:rsidRPr="006A78B4" w14:paraId="4D04D65E" w14:textId="77777777" w:rsidTr="00353A7B">
        <w:trPr>
          <w:trHeight w:val="810"/>
          <w:jc w:val="center"/>
        </w:trPr>
        <w:tc>
          <w:tcPr>
            <w:tcW w:w="8080" w:type="dxa"/>
            <w:noWrap/>
            <w:hideMark/>
          </w:tcPr>
          <w:p w14:paraId="06F0554B" w14:textId="026D1FEC" w:rsidR="006A78B4" w:rsidRPr="006A78B4" w:rsidRDefault="001E7479" w:rsidP="006A78B4">
            <w:pPr>
              <w:pStyle w:val="Prrafodelista"/>
              <w:numPr>
                <w:ilvl w:val="0"/>
                <w:numId w:val="43"/>
              </w:numPr>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Proponer </w:t>
            </w:r>
            <w:r w:rsidR="00E820BF">
              <w:rPr>
                <w:rFonts w:ascii="Verdana" w:hAnsi="Verdana" w:cs="PTSans-Regular"/>
                <w:color w:val="000000" w:themeColor="text1"/>
                <w:sz w:val="22"/>
                <w:szCs w:val="22"/>
                <w:lang w:eastAsia="en-CA"/>
              </w:rPr>
              <w:t xml:space="preserve"> al C N O acciones </w:t>
            </w:r>
            <w:r w:rsidR="006A78B4" w:rsidRPr="006A78B4">
              <w:rPr>
                <w:rFonts w:ascii="Verdana" w:hAnsi="Verdana" w:cs="PTSans-Regular"/>
                <w:color w:val="000000" w:themeColor="text1"/>
                <w:sz w:val="22"/>
                <w:szCs w:val="22"/>
                <w:lang w:eastAsia="en-CA"/>
              </w:rPr>
              <w:t xml:space="preserve"> con respecto a la integridad, confiabilidad y seguridad de la operación dentro del alcance de los sistemas de control, supervisión, monitoreo y comunicaciones</w:t>
            </w:r>
            <w:r w:rsidR="006A78B4">
              <w:rPr>
                <w:rFonts w:ascii="Verdana" w:hAnsi="Verdana" w:cs="PTSans-Regular"/>
                <w:color w:val="000000" w:themeColor="text1"/>
                <w:sz w:val="22"/>
                <w:szCs w:val="22"/>
                <w:lang w:eastAsia="en-CA"/>
              </w:rPr>
              <w:t xml:space="preserve"> </w:t>
            </w:r>
            <w:r w:rsidR="006A78B4" w:rsidRPr="006A78B4">
              <w:rPr>
                <w:rFonts w:ascii="Verdana" w:hAnsi="Verdana" w:cs="PTSans-Regular"/>
                <w:color w:val="000000" w:themeColor="text1"/>
                <w:sz w:val="22"/>
                <w:szCs w:val="22"/>
                <w:lang w:eastAsia="en-CA"/>
              </w:rPr>
              <w:t>(plan de continuidad, esquemas de redundancia, ciberseguridad, CSIR</w:t>
            </w:r>
            <w:r>
              <w:rPr>
                <w:rFonts w:ascii="Verdana" w:hAnsi="Verdana" w:cs="PTSans-Regular"/>
                <w:color w:val="000000" w:themeColor="text1"/>
                <w:sz w:val="22"/>
                <w:szCs w:val="22"/>
                <w:lang w:eastAsia="en-CA"/>
              </w:rPr>
              <w:t>T</w:t>
            </w:r>
            <w:r w:rsidR="006A78B4" w:rsidRPr="006A78B4">
              <w:rPr>
                <w:rFonts w:ascii="Verdana" w:hAnsi="Verdana" w:cs="PTSans-Regular"/>
                <w:color w:val="000000" w:themeColor="text1"/>
                <w:sz w:val="22"/>
                <w:szCs w:val="22"/>
                <w:lang w:eastAsia="en-CA"/>
              </w:rPr>
              <w:t>, etc</w:t>
            </w:r>
            <w:r w:rsidR="006A78B4">
              <w:rPr>
                <w:rFonts w:ascii="Verdana" w:hAnsi="Verdana" w:cs="PTSans-Regular"/>
                <w:color w:val="000000" w:themeColor="text1"/>
                <w:sz w:val="22"/>
                <w:szCs w:val="22"/>
                <w:lang w:eastAsia="en-CA"/>
              </w:rPr>
              <w:t>.</w:t>
            </w:r>
            <w:r w:rsidR="006A78B4" w:rsidRPr="006A78B4">
              <w:rPr>
                <w:rFonts w:ascii="Verdana" w:hAnsi="Verdana" w:cs="PTSans-Regular"/>
                <w:color w:val="000000" w:themeColor="text1"/>
                <w:sz w:val="22"/>
                <w:szCs w:val="22"/>
                <w:lang w:eastAsia="en-CA"/>
              </w:rPr>
              <w:t>).</w:t>
            </w:r>
          </w:p>
        </w:tc>
      </w:tr>
      <w:tr w:rsidR="006A78B4" w:rsidRPr="006A78B4" w14:paraId="2887715A" w14:textId="77777777" w:rsidTr="00353A7B">
        <w:trPr>
          <w:trHeight w:val="540"/>
          <w:jc w:val="center"/>
        </w:trPr>
        <w:tc>
          <w:tcPr>
            <w:tcW w:w="8080" w:type="dxa"/>
            <w:noWrap/>
            <w:hideMark/>
          </w:tcPr>
          <w:p w14:paraId="4DA0AFDC" w14:textId="45C27C72" w:rsidR="006A78B4" w:rsidRPr="006A78B4" w:rsidRDefault="006A78B4" w:rsidP="006A78B4">
            <w:pPr>
              <w:pStyle w:val="Prrafodelista"/>
              <w:numPr>
                <w:ilvl w:val="0"/>
                <w:numId w:val="43"/>
              </w:numPr>
              <w:contextualSpacing/>
              <w:jc w:val="both"/>
              <w:rPr>
                <w:rFonts w:ascii="Verdana" w:hAnsi="Verdana" w:cs="PTSans-Regular"/>
                <w:color w:val="000000" w:themeColor="text1"/>
                <w:sz w:val="22"/>
                <w:szCs w:val="22"/>
                <w:lang w:eastAsia="en-CA"/>
              </w:rPr>
            </w:pPr>
            <w:r w:rsidRPr="006A78B4">
              <w:rPr>
                <w:rFonts w:ascii="Verdana" w:hAnsi="Verdana" w:cs="PTSans-Regular"/>
                <w:color w:val="000000" w:themeColor="text1"/>
                <w:sz w:val="22"/>
                <w:szCs w:val="22"/>
                <w:lang w:eastAsia="en-CA"/>
              </w:rPr>
              <w:t>Analizar y hacer recomendaciones al Consejo sobre los riesgos en la operación real y esperada del Sistema</w:t>
            </w:r>
            <w:r w:rsidR="001E7479">
              <w:rPr>
                <w:rFonts w:ascii="Verdana" w:hAnsi="Verdana" w:cs="PTSans-Regular"/>
                <w:color w:val="000000" w:themeColor="text1"/>
                <w:sz w:val="22"/>
                <w:szCs w:val="22"/>
                <w:lang w:eastAsia="en-CA"/>
              </w:rPr>
              <w:t>.</w:t>
            </w:r>
          </w:p>
        </w:tc>
      </w:tr>
      <w:tr w:rsidR="006A78B4" w:rsidRPr="006A78B4" w14:paraId="78391E9C" w14:textId="77777777" w:rsidTr="00353A7B">
        <w:trPr>
          <w:trHeight w:val="310"/>
          <w:jc w:val="center"/>
        </w:trPr>
        <w:tc>
          <w:tcPr>
            <w:tcW w:w="8080" w:type="dxa"/>
            <w:noWrap/>
            <w:hideMark/>
          </w:tcPr>
          <w:p w14:paraId="6F1448C8" w14:textId="512CFCC0" w:rsidR="006A78B4" w:rsidRPr="006A78B4" w:rsidRDefault="006A78B4" w:rsidP="006A78B4">
            <w:pPr>
              <w:pStyle w:val="Prrafodelista"/>
              <w:numPr>
                <w:ilvl w:val="0"/>
                <w:numId w:val="43"/>
              </w:numPr>
              <w:contextualSpacing/>
              <w:jc w:val="both"/>
              <w:rPr>
                <w:rFonts w:ascii="Verdana" w:hAnsi="Verdana" w:cs="PTSans-Regular"/>
                <w:color w:val="000000" w:themeColor="text1"/>
                <w:sz w:val="22"/>
                <w:szCs w:val="22"/>
                <w:lang w:eastAsia="en-CA"/>
              </w:rPr>
            </w:pPr>
            <w:r w:rsidRPr="006A78B4">
              <w:rPr>
                <w:rFonts w:ascii="Verdana" w:hAnsi="Verdana" w:cs="PTSans-Regular"/>
                <w:color w:val="000000" w:themeColor="text1"/>
                <w:sz w:val="22"/>
                <w:szCs w:val="22"/>
                <w:lang w:eastAsia="en-CA"/>
              </w:rPr>
              <w:t>Coordinar con los demás Comités el desarrollo de Acuerdos, comunicaciones y demás documentos, cuando se requiera.</w:t>
            </w:r>
          </w:p>
        </w:tc>
      </w:tr>
      <w:tr w:rsidR="006A78B4" w:rsidRPr="006A78B4" w14:paraId="4BD83CD5" w14:textId="77777777" w:rsidTr="00353A7B">
        <w:trPr>
          <w:trHeight w:val="310"/>
          <w:jc w:val="center"/>
        </w:trPr>
        <w:tc>
          <w:tcPr>
            <w:tcW w:w="8080" w:type="dxa"/>
            <w:noWrap/>
            <w:hideMark/>
          </w:tcPr>
          <w:p w14:paraId="42582D8C" w14:textId="21BAD90D" w:rsidR="006A78B4" w:rsidRPr="006A78B4" w:rsidRDefault="006A78B4" w:rsidP="006A78B4">
            <w:pPr>
              <w:pStyle w:val="Prrafodelista"/>
              <w:numPr>
                <w:ilvl w:val="0"/>
                <w:numId w:val="43"/>
              </w:numPr>
              <w:contextualSpacing/>
              <w:jc w:val="both"/>
              <w:rPr>
                <w:rFonts w:ascii="Verdana" w:hAnsi="Verdana" w:cs="PTSans-Regular"/>
                <w:color w:val="000000" w:themeColor="text1"/>
                <w:sz w:val="22"/>
                <w:szCs w:val="22"/>
                <w:lang w:eastAsia="en-CA"/>
              </w:rPr>
            </w:pPr>
            <w:r w:rsidRPr="006A78B4">
              <w:rPr>
                <w:rFonts w:ascii="Verdana" w:hAnsi="Verdana" w:cs="PTSans-Regular"/>
                <w:color w:val="000000" w:themeColor="text1"/>
                <w:sz w:val="22"/>
                <w:szCs w:val="22"/>
                <w:lang w:eastAsia="en-CA"/>
              </w:rPr>
              <w:t xml:space="preserve">Definir y proponer al CNO, en caso de ser necesario, la conformación de Comisiones Temporales de Trabajo </w:t>
            </w:r>
          </w:p>
        </w:tc>
      </w:tr>
      <w:tr w:rsidR="006A78B4" w:rsidRPr="006A78B4" w14:paraId="176A2355" w14:textId="77777777" w:rsidTr="00353A7B">
        <w:trPr>
          <w:trHeight w:val="310"/>
          <w:jc w:val="center"/>
        </w:trPr>
        <w:tc>
          <w:tcPr>
            <w:tcW w:w="8080" w:type="dxa"/>
            <w:noWrap/>
            <w:hideMark/>
          </w:tcPr>
          <w:p w14:paraId="41A2A393" w14:textId="1BAFF906" w:rsidR="006A78B4" w:rsidRPr="006A78B4" w:rsidRDefault="006A78B4" w:rsidP="006A78B4">
            <w:pPr>
              <w:pStyle w:val="Prrafodelista"/>
              <w:numPr>
                <w:ilvl w:val="0"/>
                <w:numId w:val="43"/>
              </w:numPr>
              <w:contextualSpacing/>
              <w:jc w:val="both"/>
              <w:rPr>
                <w:rFonts w:ascii="Verdana" w:hAnsi="Verdana" w:cs="PTSans-Regular"/>
                <w:color w:val="000000" w:themeColor="text1"/>
                <w:sz w:val="22"/>
                <w:szCs w:val="22"/>
                <w:lang w:eastAsia="en-CA"/>
              </w:rPr>
            </w:pPr>
            <w:r w:rsidRPr="006A78B4">
              <w:rPr>
                <w:rFonts w:ascii="Verdana" w:hAnsi="Verdana" w:cs="PTSans-Regular"/>
                <w:color w:val="000000" w:themeColor="text1"/>
                <w:sz w:val="22"/>
                <w:szCs w:val="22"/>
                <w:lang w:eastAsia="en-CA"/>
              </w:rPr>
              <w:t>Desarrollar las demás funciones y tareas que el CNO le asigne.</w:t>
            </w:r>
          </w:p>
        </w:tc>
      </w:tr>
      <w:tr w:rsidR="006A78B4" w:rsidRPr="006A78B4" w14:paraId="34C77DB3" w14:textId="77777777" w:rsidTr="00353A7B">
        <w:trPr>
          <w:trHeight w:val="655"/>
          <w:jc w:val="center"/>
        </w:trPr>
        <w:tc>
          <w:tcPr>
            <w:tcW w:w="8080" w:type="dxa"/>
            <w:noWrap/>
            <w:hideMark/>
          </w:tcPr>
          <w:p w14:paraId="6375AF00" w14:textId="5D8C462E" w:rsidR="006A78B4" w:rsidRPr="006A78B4" w:rsidRDefault="00E820BF" w:rsidP="006A78B4">
            <w:pPr>
              <w:pStyle w:val="Prrafodelista"/>
              <w:numPr>
                <w:ilvl w:val="0"/>
                <w:numId w:val="43"/>
              </w:numPr>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Por delegación del Consejo participar en las mesas de infraestructuras críticas y en los esquemas de gobernanza del CSIRT del sector eléctrico.</w:t>
            </w:r>
          </w:p>
        </w:tc>
      </w:tr>
    </w:tbl>
    <w:p w14:paraId="6948171F" w14:textId="1CAA4FDB" w:rsidR="006A78B4" w:rsidRDefault="006A78B4" w:rsidP="006A78B4">
      <w:pPr>
        <w:contextualSpacing/>
        <w:jc w:val="both"/>
      </w:pPr>
    </w:p>
    <w:p w14:paraId="148C648A" w14:textId="68F9AC3E" w:rsidR="006A78B4" w:rsidRDefault="006A78B4" w:rsidP="006A78B4">
      <w:pPr>
        <w:contextualSpacing/>
        <w:jc w:val="both"/>
      </w:pPr>
    </w:p>
    <w:p w14:paraId="6527F6EC" w14:textId="54DDD3BF" w:rsidR="00667B82" w:rsidRPr="00667B82" w:rsidRDefault="00D9018E" w:rsidP="008D5797">
      <w:pPr>
        <w:pStyle w:val="Prrafodelista"/>
        <w:numPr>
          <w:ilvl w:val="0"/>
          <w:numId w:val="42"/>
        </w:numPr>
        <w:contextualSpacing/>
        <w:jc w:val="both"/>
        <w:rPr>
          <w:rFonts w:ascii="Verdana" w:hAnsi="Verdana" w:cs="PTSans-Regular"/>
          <w:color w:val="000000" w:themeColor="text1"/>
          <w:sz w:val="22"/>
          <w:szCs w:val="22"/>
          <w:lang w:eastAsia="en-CA"/>
        </w:rPr>
      </w:pPr>
      <w:r w:rsidRPr="00667B82">
        <w:rPr>
          <w:rFonts w:ascii="Verdana" w:hAnsi="Verdana" w:cs="PTSans-Regular"/>
          <w:b/>
          <w:color w:val="000000" w:themeColor="text1"/>
          <w:sz w:val="22"/>
          <w:szCs w:val="22"/>
          <w:lang w:eastAsia="en-CA"/>
        </w:rPr>
        <w:t>Plan Nacional de Desarrollo</w:t>
      </w:r>
      <w:r w:rsidR="007F0BC7" w:rsidRPr="00667B82">
        <w:rPr>
          <w:rFonts w:ascii="Verdana" w:hAnsi="Verdana" w:cs="PTSans-Regular"/>
          <w:b/>
          <w:color w:val="000000" w:themeColor="text1"/>
          <w:sz w:val="22"/>
          <w:szCs w:val="22"/>
          <w:lang w:eastAsia="en-CA"/>
        </w:rPr>
        <w:t>-Sector Energía</w:t>
      </w:r>
      <w:r w:rsidR="002F24BB" w:rsidRPr="00667B82">
        <w:rPr>
          <w:rFonts w:ascii="Verdana" w:hAnsi="Verdana" w:cs="PTSans-Regular"/>
          <w:b/>
          <w:color w:val="000000" w:themeColor="text1"/>
          <w:sz w:val="22"/>
          <w:szCs w:val="22"/>
          <w:lang w:eastAsia="en-CA"/>
        </w:rPr>
        <w:t xml:space="preserve">: </w:t>
      </w:r>
      <w:r w:rsidR="006A78B4" w:rsidRPr="00667B82">
        <w:rPr>
          <w:rFonts w:ascii="Verdana" w:hAnsi="Verdana" w:cs="PTSans-Regular"/>
          <w:color w:val="000000" w:themeColor="text1"/>
          <w:sz w:val="22"/>
          <w:szCs w:val="22"/>
          <w:lang w:eastAsia="en-CA"/>
        </w:rPr>
        <w:t>Se incluy</w:t>
      </w:r>
      <w:r w:rsidR="001E7479">
        <w:rPr>
          <w:rFonts w:ascii="Verdana" w:hAnsi="Verdana" w:cs="PTSans-Regular"/>
          <w:color w:val="000000" w:themeColor="text1"/>
          <w:sz w:val="22"/>
          <w:szCs w:val="22"/>
          <w:lang w:eastAsia="en-CA"/>
        </w:rPr>
        <w:t>ó</w:t>
      </w:r>
      <w:r w:rsidR="006A78B4" w:rsidRPr="00667B82">
        <w:rPr>
          <w:rFonts w:ascii="Verdana" w:hAnsi="Verdana" w:cs="PTSans-Regular"/>
          <w:color w:val="000000" w:themeColor="text1"/>
          <w:sz w:val="22"/>
          <w:szCs w:val="22"/>
          <w:lang w:eastAsia="en-CA"/>
        </w:rPr>
        <w:t xml:space="preserve"> en una versión reciente de la</w:t>
      </w:r>
      <w:r w:rsidR="001E7479">
        <w:rPr>
          <w:rFonts w:ascii="Verdana" w:hAnsi="Verdana" w:cs="PTSans-Regular"/>
          <w:color w:val="000000" w:themeColor="text1"/>
          <w:sz w:val="22"/>
          <w:szCs w:val="22"/>
          <w:lang w:eastAsia="en-CA"/>
        </w:rPr>
        <w:t>s Bases de la</w:t>
      </w:r>
      <w:r w:rsidR="006A78B4" w:rsidRPr="00667B82">
        <w:rPr>
          <w:rFonts w:ascii="Verdana" w:hAnsi="Verdana" w:cs="PTSans-Regular"/>
          <w:color w:val="000000" w:themeColor="text1"/>
          <w:sz w:val="22"/>
          <w:szCs w:val="22"/>
          <w:lang w:eastAsia="en-CA"/>
        </w:rPr>
        <w:t xml:space="preserve"> Ley del Plan </w:t>
      </w:r>
      <w:r w:rsidR="001E7479">
        <w:rPr>
          <w:rFonts w:ascii="Verdana" w:hAnsi="Verdana" w:cs="PTSans-Regular"/>
          <w:color w:val="000000" w:themeColor="text1"/>
          <w:sz w:val="22"/>
          <w:szCs w:val="22"/>
          <w:lang w:eastAsia="en-CA"/>
        </w:rPr>
        <w:t>2018</w:t>
      </w:r>
      <w:r w:rsidR="006D12EA">
        <w:rPr>
          <w:rFonts w:ascii="Verdana" w:hAnsi="Verdana" w:cs="PTSans-Regular"/>
          <w:color w:val="000000" w:themeColor="text1"/>
          <w:sz w:val="22"/>
          <w:szCs w:val="22"/>
          <w:lang w:eastAsia="en-CA"/>
        </w:rPr>
        <w:t>-</w:t>
      </w:r>
      <w:r w:rsidR="001E7479">
        <w:rPr>
          <w:rFonts w:ascii="Verdana" w:hAnsi="Verdana" w:cs="PTSans-Regular"/>
          <w:color w:val="000000" w:themeColor="text1"/>
          <w:sz w:val="22"/>
          <w:szCs w:val="22"/>
          <w:lang w:eastAsia="en-CA"/>
        </w:rPr>
        <w:t>2022</w:t>
      </w:r>
      <w:r w:rsidR="006D12EA">
        <w:rPr>
          <w:rFonts w:ascii="Verdana" w:hAnsi="Verdana" w:cs="PTSans-Regular"/>
          <w:color w:val="000000" w:themeColor="text1"/>
          <w:sz w:val="22"/>
          <w:szCs w:val="22"/>
          <w:lang w:eastAsia="en-CA"/>
        </w:rPr>
        <w:t>,</w:t>
      </w:r>
      <w:r w:rsidR="001E7479">
        <w:rPr>
          <w:rFonts w:ascii="Verdana" w:hAnsi="Verdana" w:cs="PTSans-Regular"/>
          <w:color w:val="000000" w:themeColor="text1"/>
          <w:sz w:val="22"/>
          <w:szCs w:val="22"/>
          <w:lang w:eastAsia="en-CA"/>
        </w:rPr>
        <w:t xml:space="preserve"> que se convocará una m</w:t>
      </w:r>
      <w:r w:rsidR="001E7479" w:rsidRPr="001E7479">
        <w:rPr>
          <w:rFonts w:ascii="Verdana" w:hAnsi="Verdana" w:cs="PTSans-Regular"/>
          <w:color w:val="000000" w:themeColor="text1"/>
          <w:sz w:val="22"/>
          <w:szCs w:val="22"/>
          <w:lang w:eastAsia="en-CA"/>
        </w:rPr>
        <w:t>isión para consolidar la diversificación de la matriz energética y la modernización del sector</w:t>
      </w:r>
      <w:r w:rsidR="006D12EA">
        <w:rPr>
          <w:rFonts w:ascii="Verdana" w:hAnsi="Verdana" w:cs="PTSans-Regular"/>
          <w:color w:val="000000" w:themeColor="text1"/>
          <w:sz w:val="22"/>
          <w:szCs w:val="22"/>
          <w:lang w:eastAsia="en-CA"/>
        </w:rPr>
        <w:t>. Asimismo,</w:t>
      </w:r>
      <w:r w:rsidR="001E7479">
        <w:rPr>
          <w:rFonts w:ascii="Verdana" w:hAnsi="Verdana" w:cs="PTSans-Regular"/>
          <w:color w:val="000000" w:themeColor="text1"/>
          <w:sz w:val="22"/>
          <w:szCs w:val="22"/>
          <w:lang w:eastAsia="en-CA"/>
        </w:rPr>
        <w:t xml:space="preserve"> paralelam</w:t>
      </w:r>
      <w:r w:rsidR="00A456B5">
        <w:rPr>
          <w:rFonts w:ascii="Verdana" w:hAnsi="Verdana" w:cs="PTSans-Regular"/>
          <w:color w:val="000000" w:themeColor="text1"/>
          <w:sz w:val="22"/>
          <w:szCs w:val="22"/>
          <w:lang w:eastAsia="en-CA"/>
        </w:rPr>
        <w:t>ente se avanzará entre otros temas, en la m</w:t>
      </w:r>
      <w:r w:rsidR="00A456B5" w:rsidRPr="00A456B5">
        <w:rPr>
          <w:rFonts w:ascii="Verdana" w:hAnsi="Verdana" w:cs="PTSans-Regular"/>
          <w:color w:val="000000" w:themeColor="text1"/>
          <w:sz w:val="22"/>
          <w:szCs w:val="22"/>
          <w:lang w:eastAsia="en-CA"/>
        </w:rPr>
        <w:t>odernización de la institucionalidad hacia una regul</w:t>
      </w:r>
      <w:bookmarkStart w:id="0" w:name="_GoBack"/>
      <w:bookmarkEnd w:id="0"/>
      <w:r w:rsidR="00A456B5" w:rsidRPr="00A456B5">
        <w:rPr>
          <w:rFonts w:ascii="Verdana" w:hAnsi="Verdana" w:cs="PTSans-Regular"/>
          <w:color w:val="000000" w:themeColor="text1"/>
          <w:sz w:val="22"/>
          <w:szCs w:val="22"/>
          <w:lang w:eastAsia="en-CA"/>
        </w:rPr>
        <w:t>ación y vigilancia acorde a los nuevos servicios</w:t>
      </w:r>
      <w:r w:rsidR="006D12EA">
        <w:rPr>
          <w:rFonts w:ascii="Verdana" w:hAnsi="Verdana" w:cs="PTSans-Regular"/>
          <w:color w:val="000000" w:themeColor="text1"/>
          <w:sz w:val="22"/>
          <w:szCs w:val="22"/>
          <w:lang w:eastAsia="en-CA"/>
        </w:rPr>
        <w:t>,</w:t>
      </w:r>
      <w:r w:rsidR="00A456B5">
        <w:rPr>
          <w:rFonts w:ascii="Verdana" w:hAnsi="Verdana" w:cs="PTSans-Regular"/>
          <w:color w:val="000000" w:themeColor="text1"/>
          <w:sz w:val="22"/>
          <w:szCs w:val="22"/>
          <w:lang w:eastAsia="en-CA"/>
        </w:rPr>
        <w:t xml:space="preserve"> y de manera específica</w:t>
      </w:r>
      <w:r w:rsidR="006D12EA">
        <w:rPr>
          <w:rFonts w:ascii="Verdana" w:hAnsi="Verdana" w:cs="PTSans-Regular"/>
          <w:color w:val="000000" w:themeColor="text1"/>
          <w:sz w:val="22"/>
          <w:szCs w:val="22"/>
          <w:lang w:eastAsia="en-CA"/>
        </w:rPr>
        <w:t>,</w:t>
      </w:r>
      <w:r w:rsidR="00A456B5">
        <w:rPr>
          <w:rFonts w:ascii="Verdana" w:hAnsi="Verdana" w:cs="PTSans-Regular"/>
          <w:color w:val="000000" w:themeColor="text1"/>
          <w:sz w:val="22"/>
          <w:szCs w:val="22"/>
          <w:lang w:eastAsia="en-CA"/>
        </w:rPr>
        <w:t xml:space="preserve"> se prevé </w:t>
      </w:r>
      <w:r w:rsidR="006A78B4" w:rsidRPr="00667B82">
        <w:rPr>
          <w:rFonts w:ascii="Verdana" w:hAnsi="Verdana" w:cs="PTSans-Regular"/>
          <w:color w:val="000000" w:themeColor="text1"/>
          <w:sz w:val="22"/>
          <w:szCs w:val="22"/>
          <w:lang w:eastAsia="en-CA"/>
        </w:rPr>
        <w:t xml:space="preserve">lo </w:t>
      </w:r>
      <w:r w:rsidR="006A78B4" w:rsidRPr="00667B82">
        <w:rPr>
          <w:rFonts w:ascii="Verdana" w:hAnsi="Verdana" w:cs="PTSans-Regular"/>
          <w:color w:val="000000" w:themeColor="text1"/>
          <w:sz w:val="22"/>
          <w:szCs w:val="22"/>
          <w:lang w:eastAsia="en-CA"/>
        </w:rPr>
        <w:lastRenderedPageBreak/>
        <w:t xml:space="preserve">siguiente: </w:t>
      </w:r>
      <w:r w:rsidR="006A78B4" w:rsidRPr="00667B82">
        <w:rPr>
          <w:rFonts w:ascii="Verdana" w:hAnsi="Verdana" w:cs="PTSans-Regular"/>
          <w:i/>
          <w:color w:val="000000" w:themeColor="text1"/>
          <w:sz w:val="22"/>
          <w:szCs w:val="22"/>
          <w:lang w:eastAsia="en-CA"/>
        </w:rPr>
        <w:t>“…Se fortalecerán y articularán las instancias que apoyan el ejercicio regulatorio como el Comité Asesor de Comercialización del Sector Eléctrico (CAC), el Consejo Nacional de Operación del sector eléctrico (CNO) y el Consejo Nacional de Operación del sector de gas (CNO-Gas), entre otros.”</w:t>
      </w:r>
      <w:r w:rsidR="001E7479">
        <w:rPr>
          <w:rFonts w:ascii="Verdana" w:hAnsi="Verdana" w:cs="PTSans-Regular"/>
          <w:color w:val="000000" w:themeColor="text1"/>
          <w:sz w:val="22"/>
          <w:szCs w:val="22"/>
          <w:lang w:eastAsia="en-CA"/>
        </w:rPr>
        <w:t xml:space="preserve"> De acuerdo con lo previsto en el </w:t>
      </w:r>
      <w:r w:rsidR="00A456B5">
        <w:rPr>
          <w:rFonts w:ascii="Verdana" w:hAnsi="Verdana" w:cs="PTSans-Regular"/>
          <w:color w:val="000000" w:themeColor="text1"/>
          <w:sz w:val="22"/>
          <w:szCs w:val="22"/>
          <w:lang w:eastAsia="en-CA"/>
        </w:rPr>
        <w:t xml:space="preserve">Objetivo 2 del </w:t>
      </w:r>
      <w:r w:rsidR="001E7479">
        <w:rPr>
          <w:rFonts w:ascii="Verdana" w:hAnsi="Verdana" w:cs="PTSans-Regular"/>
          <w:color w:val="000000" w:themeColor="text1"/>
          <w:sz w:val="22"/>
          <w:szCs w:val="22"/>
          <w:lang w:eastAsia="en-CA"/>
        </w:rPr>
        <w:t>Plan Estratégico del Consejo</w:t>
      </w:r>
      <w:r w:rsidR="00A456B5">
        <w:rPr>
          <w:rFonts w:ascii="Verdana" w:hAnsi="Verdana" w:cs="PTSans-Regular"/>
          <w:color w:val="000000" w:themeColor="text1"/>
          <w:sz w:val="22"/>
          <w:szCs w:val="22"/>
          <w:lang w:eastAsia="en-CA"/>
        </w:rPr>
        <w:t>, de “</w:t>
      </w:r>
      <w:r w:rsidR="00A456B5" w:rsidRPr="00A456B5">
        <w:rPr>
          <w:rFonts w:ascii="Verdana" w:hAnsi="Verdana" w:cs="PTSans-Regular"/>
          <w:color w:val="000000" w:themeColor="text1"/>
          <w:sz w:val="22"/>
          <w:szCs w:val="22"/>
          <w:lang w:eastAsia="en-CA"/>
        </w:rPr>
        <w:t>Promover cambios institucionales que permitan mejorar la eficiencia y adaptación del sistema</w:t>
      </w:r>
      <w:r w:rsidR="00A456B5">
        <w:rPr>
          <w:rFonts w:ascii="Verdana" w:hAnsi="Verdana" w:cs="PTSans-Regular"/>
          <w:color w:val="000000" w:themeColor="text1"/>
          <w:sz w:val="22"/>
          <w:szCs w:val="22"/>
          <w:lang w:eastAsia="en-CA"/>
        </w:rPr>
        <w:t>”, e</w:t>
      </w:r>
      <w:r w:rsidR="001E7479">
        <w:rPr>
          <w:rFonts w:ascii="Verdana" w:hAnsi="Verdana" w:cs="PTSans-Regular"/>
          <w:color w:val="000000" w:themeColor="text1"/>
          <w:sz w:val="22"/>
          <w:szCs w:val="22"/>
          <w:lang w:eastAsia="en-CA"/>
        </w:rPr>
        <w:t xml:space="preserve">l Comité Legal está trabajando en el referenciamiento nacional e internacional,  </w:t>
      </w:r>
      <w:r w:rsidR="00A456B5">
        <w:rPr>
          <w:rFonts w:ascii="Verdana" w:hAnsi="Verdana" w:cs="PTSans-Regular"/>
          <w:color w:val="000000" w:themeColor="text1"/>
          <w:sz w:val="22"/>
          <w:szCs w:val="22"/>
          <w:lang w:eastAsia="en-CA"/>
        </w:rPr>
        <w:t>con el objetivo de hacer una propuesta de adaptación del CNO.</w:t>
      </w:r>
    </w:p>
    <w:p w14:paraId="1DC5D7EF" w14:textId="77777777" w:rsidR="00667B82" w:rsidRPr="00667B82" w:rsidRDefault="00667B82" w:rsidP="00667B82">
      <w:pPr>
        <w:contextualSpacing/>
        <w:jc w:val="both"/>
        <w:rPr>
          <w:rFonts w:ascii="Verdana" w:hAnsi="Verdana" w:cs="PTSans-Regular"/>
          <w:color w:val="000000" w:themeColor="text1"/>
          <w:sz w:val="22"/>
          <w:szCs w:val="22"/>
          <w:lang w:eastAsia="en-CA"/>
        </w:rPr>
      </w:pPr>
    </w:p>
    <w:p w14:paraId="15BFA625" w14:textId="09F761C3" w:rsidR="00763EEA" w:rsidRDefault="00AA599C" w:rsidP="008D5797">
      <w:pPr>
        <w:pStyle w:val="Prrafodelista"/>
        <w:numPr>
          <w:ilvl w:val="0"/>
          <w:numId w:val="42"/>
        </w:numPr>
        <w:contextualSpacing/>
        <w:jc w:val="both"/>
        <w:rPr>
          <w:rFonts w:ascii="Verdana" w:hAnsi="Verdana" w:cs="PTSans-Regular"/>
          <w:color w:val="000000" w:themeColor="text1"/>
          <w:sz w:val="22"/>
          <w:szCs w:val="22"/>
          <w:lang w:eastAsia="en-CA"/>
        </w:rPr>
      </w:pPr>
      <w:r w:rsidRPr="00667B82">
        <w:rPr>
          <w:rFonts w:ascii="Verdana" w:hAnsi="Verdana" w:cs="PTSans-Regular"/>
          <w:b/>
          <w:color w:val="000000" w:themeColor="text1"/>
          <w:sz w:val="22"/>
          <w:szCs w:val="22"/>
          <w:lang w:eastAsia="en-CA"/>
        </w:rPr>
        <w:t>PROYECTO CAMBIO DE OFICINA</w:t>
      </w:r>
      <w:r w:rsidR="00E64AFE" w:rsidRPr="00667B82">
        <w:rPr>
          <w:rFonts w:ascii="Verdana" w:hAnsi="Verdana" w:cs="PTSans-Regular"/>
          <w:color w:val="000000" w:themeColor="text1"/>
          <w:sz w:val="22"/>
          <w:szCs w:val="22"/>
          <w:lang w:eastAsia="en-CA"/>
        </w:rPr>
        <w:t xml:space="preserve">: Los precios de arriendo de oficinas en la zona del </w:t>
      </w:r>
      <w:r w:rsidR="00A45C79" w:rsidRPr="00667B82">
        <w:rPr>
          <w:rFonts w:ascii="Verdana" w:hAnsi="Verdana" w:cs="PTSans-Regular"/>
          <w:color w:val="000000" w:themeColor="text1"/>
          <w:sz w:val="22"/>
          <w:szCs w:val="22"/>
          <w:lang w:eastAsia="en-CA"/>
        </w:rPr>
        <w:t>S</w:t>
      </w:r>
      <w:r w:rsidR="00E64AFE" w:rsidRPr="00667B82">
        <w:rPr>
          <w:rFonts w:ascii="Verdana" w:hAnsi="Verdana" w:cs="PTSans-Regular"/>
          <w:color w:val="000000" w:themeColor="text1"/>
          <w:sz w:val="22"/>
          <w:szCs w:val="22"/>
          <w:lang w:eastAsia="en-CA"/>
        </w:rPr>
        <w:t xml:space="preserve">alitre han disminuido por </w:t>
      </w:r>
      <w:r w:rsidR="00A45C79" w:rsidRPr="00667B82">
        <w:rPr>
          <w:rFonts w:ascii="Verdana" w:hAnsi="Verdana" w:cs="PTSans-Regular"/>
          <w:color w:val="000000" w:themeColor="text1"/>
          <w:sz w:val="22"/>
          <w:szCs w:val="22"/>
          <w:lang w:eastAsia="en-CA"/>
        </w:rPr>
        <w:t xml:space="preserve">el desarrollo de edificaciones con esa dedicación. Actualmente la oficina del Consejo ocupa un espacio de 124 metros cuadrados y el valor mensual del arriendo es </w:t>
      </w:r>
      <w:r w:rsidRPr="00667B82">
        <w:rPr>
          <w:rFonts w:ascii="Verdana" w:hAnsi="Verdana" w:cs="PTSans-Regular"/>
          <w:color w:val="000000" w:themeColor="text1"/>
          <w:sz w:val="22"/>
          <w:szCs w:val="22"/>
          <w:lang w:eastAsia="en-CA"/>
        </w:rPr>
        <w:t>de 8.5</w:t>
      </w:r>
      <w:r w:rsidR="00092B72" w:rsidRPr="00667B82">
        <w:rPr>
          <w:rFonts w:ascii="Verdana" w:hAnsi="Verdana" w:cs="PTSans-Regular"/>
          <w:color w:val="000000" w:themeColor="text1"/>
          <w:sz w:val="22"/>
          <w:szCs w:val="22"/>
          <w:lang w:eastAsia="en-CA"/>
        </w:rPr>
        <w:t xml:space="preserve"> millones de pesos</w:t>
      </w:r>
      <w:r w:rsidR="006D12EA">
        <w:rPr>
          <w:rFonts w:ascii="Verdana" w:hAnsi="Verdana" w:cs="PTSans-Regular"/>
          <w:color w:val="000000" w:themeColor="text1"/>
          <w:sz w:val="22"/>
          <w:szCs w:val="22"/>
          <w:lang w:eastAsia="en-CA"/>
        </w:rPr>
        <w:t>, es decir</w:t>
      </w:r>
      <w:r w:rsidR="00092B72" w:rsidRPr="00667B82">
        <w:rPr>
          <w:rFonts w:ascii="Verdana" w:hAnsi="Verdana" w:cs="PTSans-Regular"/>
          <w:color w:val="000000" w:themeColor="text1"/>
          <w:sz w:val="22"/>
          <w:szCs w:val="22"/>
          <w:lang w:eastAsia="en-CA"/>
        </w:rPr>
        <w:t xml:space="preserve"> un valor de 6</w:t>
      </w:r>
      <w:r w:rsidRPr="00667B82">
        <w:rPr>
          <w:rFonts w:ascii="Verdana" w:hAnsi="Verdana" w:cs="PTSans-Regular"/>
          <w:color w:val="000000" w:themeColor="text1"/>
          <w:sz w:val="22"/>
          <w:szCs w:val="22"/>
          <w:lang w:eastAsia="en-CA"/>
        </w:rPr>
        <w:t>8</w:t>
      </w:r>
      <w:r w:rsidR="00A456B5">
        <w:rPr>
          <w:rFonts w:ascii="Verdana" w:hAnsi="Verdana" w:cs="PTSans-Regular"/>
          <w:color w:val="000000" w:themeColor="text1"/>
          <w:sz w:val="22"/>
          <w:szCs w:val="22"/>
          <w:lang w:eastAsia="en-CA"/>
        </w:rPr>
        <w:t>,</w:t>
      </w:r>
      <w:r w:rsidRPr="00667B82">
        <w:rPr>
          <w:rFonts w:ascii="Verdana" w:hAnsi="Verdana" w:cs="PTSans-Regular"/>
          <w:color w:val="000000" w:themeColor="text1"/>
          <w:sz w:val="22"/>
          <w:szCs w:val="22"/>
          <w:lang w:eastAsia="en-CA"/>
        </w:rPr>
        <w:t>55</w:t>
      </w:r>
      <w:r w:rsidR="00092B72" w:rsidRPr="00667B82">
        <w:rPr>
          <w:rFonts w:ascii="Verdana" w:hAnsi="Verdana" w:cs="PTSans-Regular"/>
          <w:color w:val="000000" w:themeColor="text1"/>
          <w:sz w:val="22"/>
          <w:szCs w:val="22"/>
          <w:lang w:eastAsia="en-CA"/>
        </w:rPr>
        <w:t xml:space="preserve">0 pesos por metro cuadrado. En el </w:t>
      </w:r>
      <w:r w:rsidR="00A456B5">
        <w:rPr>
          <w:rFonts w:ascii="Verdana" w:hAnsi="Verdana" w:cs="PTSans-Regular"/>
          <w:color w:val="000000" w:themeColor="text1"/>
          <w:sz w:val="22"/>
          <w:szCs w:val="22"/>
          <w:lang w:eastAsia="en-CA"/>
        </w:rPr>
        <w:t>C</w:t>
      </w:r>
      <w:r w:rsidR="00092B72" w:rsidRPr="00667B82">
        <w:rPr>
          <w:rFonts w:ascii="Verdana" w:hAnsi="Verdana" w:cs="PTSans-Regular"/>
          <w:color w:val="000000" w:themeColor="text1"/>
          <w:sz w:val="22"/>
          <w:szCs w:val="22"/>
          <w:lang w:eastAsia="en-CA"/>
        </w:rPr>
        <w:t xml:space="preserve">entro </w:t>
      </w:r>
      <w:r w:rsidR="00A456B5">
        <w:rPr>
          <w:rFonts w:ascii="Verdana" w:hAnsi="Verdana" w:cs="PTSans-Regular"/>
          <w:color w:val="000000" w:themeColor="text1"/>
          <w:sz w:val="22"/>
          <w:szCs w:val="22"/>
          <w:lang w:eastAsia="en-CA"/>
        </w:rPr>
        <w:t>E</w:t>
      </w:r>
      <w:r w:rsidR="00092B72" w:rsidRPr="00667B82">
        <w:rPr>
          <w:rFonts w:ascii="Verdana" w:hAnsi="Verdana" w:cs="PTSans-Regular"/>
          <w:color w:val="000000" w:themeColor="text1"/>
          <w:sz w:val="22"/>
          <w:szCs w:val="22"/>
          <w:lang w:eastAsia="en-CA"/>
        </w:rPr>
        <w:t xml:space="preserve">mpresarial Elemento se ofrecen oficinas de 205 metros </w:t>
      </w:r>
      <w:r w:rsidR="006D12EA">
        <w:rPr>
          <w:rFonts w:ascii="Verdana" w:hAnsi="Verdana" w:cs="PTSans-Regular"/>
          <w:color w:val="000000" w:themeColor="text1"/>
          <w:sz w:val="22"/>
          <w:szCs w:val="22"/>
          <w:lang w:eastAsia="en-CA"/>
        </w:rPr>
        <w:t>por</w:t>
      </w:r>
      <w:r w:rsidR="00092B72" w:rsidRPr="00667B82">
        <w:rPr>
          <w:rFonts w:ascii="Verdana" w:hAnsi="Verdana" w:cs="PTSans-Regular"/>
          <w:color w:val="000000" w:themeColor="text1"/>
          <w:sz w:val="22"/>
          <w:szCs w:val="22"/>
          <w:lang w:eastAsia="en-CA"/>
        </w:rPr>
        <w:t xml:space="preserve"> 58</w:t>
      </w:r>
      <w:r w:rsidR="00A456B5">
        <w:rPr>
          <w:rFonts w:ascii="Verdana" w:hAnsi="Verdana" w:cs="PTSans-Regular"/>
          <w:color w:val="000000" w:themeColor="text1"/>
          <w:sz w:val="22"/>
          <w:szCs w:val="22"/>
          <w:lang w:eastAsia="en-CA"/>
        </w:rPr>
        <w:t>,</w:t>
      </w:r>
      <w:r w:rsidR="00092B72" w:rsidRPr="00667B82">
        <w:rPr>
          <w:rFonts w:ascii="Verdana" w:hAnsi="Verdana" w:cs="PTSans-Regular"/>
          <w:color w:val="000000" w:themeColor="text1"/>
          <w:sz w:val="22"/>
          <w:szCs w:val="22"/>
          <w:lang w:eastAsia="en-CA"/>
        </w:rPr>
        <w:t xml:space="preserve">000 </w:t>
      </w:r>
      <w:r w:rsidR="00A456B5">
        <w:rPr>
          <w:rFonts w:ascii="Verdana" w:hAnsi="Verdana" w:cs="PTSans-Regular"/>
          <w:color w:val="000000" w:themeColor="text1"/>
          <w:sz w:val="22"/>
          <w:szCs w:val="22"/>
          <w:lang w:eastAsia="en-CA"/>
        </w:rPr>
        <w:t xml:space="preserve">pesos por </w:t>
      </w:r>
      <w:r w:rsidR="00092B72" w:rsidRPr="00667B82">
        <w:rPr>
          <w:rFonts w:ascii="Verdana" w:hAnsi="Verdana" w:cs="PTSans-Regular"/>
          <w:color w:val="000000" w:themeColor="text1"/>
          <w:sz w:val="22"/>
          <w:szCs w:val="22"/>
          <w:lang w:eastAsia="en-CA"/>
        </w:rPr>
        <w:t>metro cuadrado</w:t>
      </w:r>
      <w:r w:rsidRPr="00667B82">
        <w:rPr>
          <w:rFonts w:ascii="Verdana" w:hAnsi="Verdana" w:cs="PTSans-Regular"/>
          <w:color w:val="000000" w:themeColor="text1"/>
          <w:sz w:val="22"/>
          <w:szCs w:val="22"/>
          <w:lang w:eastAsia="en-CA"/>
        </w:rPr>
        <w:t xml:space="preserve"> negociables</w:t>
      </w:r>
      <w:r w:rsidR="00092B72" w:rsidRPr="00667B82">
        <w:rPr>
          <w:rFonts w:ascii="Verdana" w:hAnsi="Verdana" w:cs="PTSans-Regular"/>
          <w:color w:val="000000" w:themeColor="text1"/>
          <w:sz w:val="22"/>
          <w:szCs w:val="22"/>
          <w:lang w:eastAsia="en-CA"/>
        </w:rPr>
        <w:t xml:space="preserve">. La ventaja de este aumento de </w:t>
      </w:r>
      <w:r w:rsidR="006D12EA">
        <w:rPr>
          <w:rFonts w:ascii="Verdana" w:hAnsi="Verdana" w:cs="PTSans-Regular"/>
          <w:color w:val="000000" w:themeColor="text1"/>
          <w:sz w:val="22"/>
          <w:szCs w:val="22"/>
          <w:lang w:eastAsia="en-CA"/>
        </w:rPr>
        <w:t>área</w:t>
      </w:r>
      <w:r w:rsidR="006D12EA" w:rsidRPr="00667B82">
        <w:rPr>
          <w:rFonts w:ascii="Verdana" w:hAnsi="Verdana" w:cs="PTSans-Regular"/>
          <w:color w:val="000000" w:themeColor="text1"/>
          <w:sz w:val="22"/>
          <w:szCs w:val="22"/>
          <w:lang w:eastAsia="en-CA"/>
        </w:rPr>
        <w:t xml:space="preserve"> </w:t>
      </w:r>
      <w:r w:rsidR="006D12EA">
        <w:rPr>
          <w:rFonts w:ascii="Verdana" w:hAnsi="Verdana" w:cs="PTSans-Regular"/>
          <w:color w:val="000000" w:themeColor="text1"/>
          <w:sz w:val="22"/>
          <w:szCs w:val="22"/>
          <w:lang w:eastAsia="en-CA"/>
        </w:rPr>
        <w:t>radica en la posibilidad de</w:t>
      </w:r>
      <w:r w:rsidR="00092B72" w:rsidRPr="00667B82">
        <w:rPr>
          <w:rFonts w:ascii="Verdana" w:hAnsi="Verdana" w:cs="PTSans-Regular"/>
          <w:color w:val="000000" w:themeColor="text1"/>
          <w:sz w:val="22"/>
          <w:szCs w:val="22"/>
          <w:lang w:eastAsia="en-CA"/>
        </w:rPr>
        <w:t xml:space="preserve"> instalar una sala de reuniones lo suficientemente grande para el Consejo y se evita el pago de alquiler del salón</w:t>
      </w:r>
      <w:r w:rsidR="006D12EA">
        <w:rPr>
          <w:rFonts w:ascii="Verdana" w:hAnsi="Verdana" w:cs="PTSans-Regular"/>
          <w:color w:val="000000" w:themeColor="text1"/>
          <w:sz w:val="22"/>
          <w:szCs w:val="22"/>
          <w:lang w:eastAsia="en-CA"/>
        </w:rPr>
        <w:t>,</w:t>
      </w:r>
      <w:r w:rsidR="00092B72" w:rsidRPr="00667B82">
        <w:rPr>
          <w:rFonts w:ascii="Verdana" w:hAnsi="Verdana" w:cs="PTSans-Regular"/>
          <w:color w:val="000000" w:themeColor="text1"/>
          <w:sz w:val="22"/>
          <w:szCs w:val="22"/>
          <w:lang w:eastAsia="en-CA"/>
        </w:rPr>
        <w:t xml:space="preserve"> que es de </w:t>
      </w:r>
      <w:r w:rsidRPr="00667B82">
        <w:rPr>
          <w:rFonts w:ascii="Verdana" w:hAnsi="Verdana" w:cs="PTSans-Regular"/>
          <w:color w:val="000000" w:themeColor="text1"/>
          <w:sz w:val="22"/>
          <w:szCs w:val="22"/>
          <w:lang w:eastAsia="en-CA"/>
        </w:rPr>
        <w:t>700</w:t>
      </w:r>
      <w:r w:rsidR="00A456B5">
        <w:rPr>
          <w:rFonts w:ascii="Verdana" w:hAnsi="Verdana" w:cs="PTSans-Regular"/>
          <w:color w:val="000000" w:themeColor="text1"/>
          <w:sz w:val="22"/>
          <w:szCs w:val="22"/>
          <w:lang w:eastAsia="en-CA"/>
        </w:rPr>
        <w:t>,</w:t>
      </w:r>
      <w:r w:rsidRPr="00667B82">
        <w:rPr>
          <w:rFonts w:ascii="Verdana" w:hAnsi="Verdana" w:cs="PTSans-Regular"/>
          <w:color w:val="000000" w:themeColor="text1"/>
          <w:sz w:val="22"/>
          <w:szCs w:val="22"/>
          <w:lang w:eastAsia="en-CA"/>
        </w:rPr>
        <w:t>000 pesos por cada reunión mensual</w:t>
      </w:r>
      <w:r w:rsidR="00A456B5">
        <w:rPr>
          <w:rFonts w:ascii="Verdana" w:hAnsi="Verdana" w:cs="PTSans-Regular"/>
          <w:color w:val="000000" w:themeColor="text1"/>
          <w:sz w:val="22"/>
          <w:szCs w:val="22"/>
          <w:lang w:eastAsia="en-CA"/>
        </w:rPr>
        <w:t>,</w:t>
      </w:r>
      <w:r w:rsidRPr="00667B82">
        <w:rPr>
          <w:rFonts w:ascii="Verdana" w:hAnsi="Verdana" w:cs="PTSans-Regular"/>
          <w:color w:val="000000" w:themeColor="text1"/>
          <w:sz w:val="22"/>
          <w:szCs w:val="22"/>
          <w:lang w:eastAsia="en-CA"/>
        </w:rPr>
        <w:t xml:space="preserve"> además de los beneficios adicionales de tener un mayor espacio. Se solicita al Consejo su autorización para proceder con el presidente del Consejo a negociar el valor del arriendo mensual</w:t>
      </w:r>
      <w:r w:rsidR="00A456B5">
        <w:rPr>
          <w:rFonts w:ascii="Verdana" w:hAnsi="Verdana" w:cs="PTSans-Regular"/>
          <w:color w:val="000000" w:themeColor="text1"/>
          <w:sz w:val="22"/>
          <w:szCs w:val="22"/>
          <w:lang w:eastAsia="en-CA"/>
        </w:rPr>
        <w:t>, e</w:t>
      </w:r>
      <w:r w:rsidRPr="00667B82">
        <w:rPr>
          <w:rFonts w:ascii="Verdana" w:hAnsi="Verdana" w:cs="PTSans-Regular"/>
          <w:color w:val="000000" w:themeColor="text1"/>
          <w:sz w:val="22"/>
          <w:szCs w:val="22"/>
          <w:lang w:eastAsia="en-CA"/>
        </w:rPr>
        <w:t xml:space="preserve"> iniciar conversaciones con la Fiduciaria</w:t>
      </w:r>
      <w:r w:rsidR="006D12EA">
        <w:rPr>
          <w:rFonts w:ascii="Verdana" w:hAnsi="Verdana" w:cs="PTSans-Regular"/>
          <w:color w:val="000000" w:themeColor="text1"/>
          <w:sz w:val="22"/>
          <w:szCs w:val="22"/>
          <w:lang w:eastAsia="en-CA"/>
        </w:rPr>
        <w:t>,</w:t>
      </w:r>
      <w:r w:rsidRPr="00667B82">
        <w:rPr>
          <w:rFonts w:ascii="Verdana" w:hAnsi="Verdana" w:cs="PTSans-Regular"/>
          <w:color w:val="000000" w:themeColor="text1"/>
          <w:sz w:val="22"/>
          <w:szCs w:val="22"/>
          <w:lang w:eastAsia="en-CA"/>
        </w:rPr>
        <w:t xml:space="preserve"> para que</w:t>
      </w:r>
      <w:r w:rsidR="00AC51BB">
        <w:rPr>
          <w:rFonts w:ascii="Verdana" w:hAnsi="Verdana" w:cs="PTSans-Regular"/>
          <w:color w:val="000000" w:themeColor="text1"/>
          <w:sz w:val="22"/>
          <w:szCs w:val="22"/>
          <w:lang w:eastAsia="en-CA"/>
        </w:rPr>
        <w:t>,</w:t>
      </w:r>
      <w:r w:rsidRPr="00667B82">
        <w:rPr>
          <w:rFonts w:ascii="Verdana" w:hAnsi="Verdana" w:cs="PTSans-Regular"/>
          <w:color w:val="000000" w:themeColor="text1"/>
          <w:sz w:val="22"/>
          <w:szCs w:val="22"/>
          <w:lang w:eastAsia="en-CA"/>
        </w:rPr>
        <w:t xml:space="preserve"> a través de un préstamo</w:t>
      </w:r>
      <w:r w:rsidR="006D12EA">
        <w:rPr>
          <w:rFonts w:ascii="Verdana" w:hAnsi="Verdana" w:cs="PTSans-Regular"/>
          <w:color w:val="000000" w:themeColor="text1"/>
          <w:sz w:val="22"/>
          <w:szCs w:val="22"/>
          <w:lang w:eastAsia="en-CA"/>
        </w:rPr>
        <w:t>,</w:t>
      </w:r>
      <w:r w:rsidRPr="00667B82">
        <w:rPr>
          <w:rFonts w:ascii="Verdana" w:hAnsi="Verdana" w:cs="PTSans-Regular"/>
          <w:color w:val="000000" w:themeColor="text1"/>
          <w:sz w:val="22"/>
          <w:szCs w:val="22"/>
          <w:lang w:eastAsia="en-CA"/>
        </w:rPr>
        <w:t xml:space="preserve"> se financie el valor de la adecuación.</w:t>
      </w:r>
    </w:p>
    <w:p w14:paraId="56F64BB9" w14:textId="77777777" w:rsidR="00CF589D" w:rsidRPr="002404E2" w:rsidRDefault="00CF589D" w:rsidP="002404E2">
      <w:pPr>
        <w:pStyle w:val="Prrafodelista"/>
        <w:rPr>
          <w:rFonts w:ascii="Verdana" w:hAnsi="Verdana" w:cs="PTSans-Regular"/>
          <w:color w:val="000000" w:themeColor="text1"/>
          <w:sz w:val="22"/>
          <w:szCs w:val="22"/>
          <w:lang w:eastAsia="en-CA"/>
        </w:rPr>
      </w:pPr>
    </w:p>
    <w:p w14:paraId="1AAFC4ED" w14:textId="52178728" w:rsidR="00CF589D" w:rsidRPr="00A52C7E" w:rsidRDefault="00CF589D" w:rsidP="00CF589D">
      <w:pPr>
        <w:pStyle w:val="Prrafodelista"/>
        <w:numPr>
          <w:ilvl w:val="0"/>
          <w:numId w:val="42"/>
        </w:numPr>
        <w:contextualSpacing/>
        <w:jc w:val="both"/>
        <w:rPr>
          <w:rFonts w:ascii="Verdana" w:hAnsi="Verdana" w:cs="PTSans-Regular"/>
          <w:b/>
          <w:i/>
          <w:color w:val="000000" w:themeColor="text1"/>
          <w:sz w:val="22"/>
          <w:szCs w:val="22"/>
          <w:lang w:eastAsia="en-CA"/>
        </w:rPr>
      </w:pPr>
      <w:r w:rsidRPr="00A52C7E">
        <w:rPr>
          <w:rFonts w:ascii="Verdana" w:hAnsi="Verdana" w:cs="PTSans-Regular"/>
          <w:b/>
          <w:color w:val="000000" w:themeColor="text1"/>
          <w:sz w:val="22"/>
          <w:szCs w:val="22"/>
          <w:lang w:eastAsia="en-CA"/>
        </w:rPr>
        <w:t xml:space="preserve">CONGRESO MEM 25 CNO-CAC: </w:t>
      </w:r>
      <w:r w:rsidR="00AC51BB">
        <w:rPr>
          <w:rFonts w:ascii="Verdana" w:hAnsi="Verdana" w:cs="PTSans-Regular"/>
          <w:color w:val="000000" w:themeColor="text1"/>
          <w:sz w:val="22"/>
          <w:szCs w:val="22"/>
          <w:lang w:eastAsia="en-CA"/>
        </w:rPr>
        <w:t>A</w:t>
      </w:r>
      <w:r w:rsidRPr="00A52C7E">
        <w:rPr>
          <w:rFonts w:ascii="Verdana" w:hAnsi="Verdana" w:cs="PTSans-Regular"/>
          <w:color w:val="000000" w:themeColor="text1"/>
          <w:sz w:val="22"/>
          <w:szCs w:val="22"/>
          <w:lang w:eastAsia="en-CA"/>
        </w:rPr>
        <w:t xml:space="preserve"> partir de los resultados, entrevistas y las encuestas del pasado Congreso MEM 24</w:t>
      </w:r>
      <w:r w:rsidR="00AC51BB">
        <w:rPr>
          <w:rFonts w:ascii="Verdana" w:hAnsi="Verdana" w:cs="PTSans-Regular"/>
          <w:color w:val="000000" w:themeColor="text1"/>
          <w:sz w:val="22"/>
          <w:szCs w:val="22"/>
          <w:lang w:eastAsia="en-CA"/>
        </w:rPr>
        <w:t>,</w:t>
      </w:r>
      <w:r w:rsidRPr="00A52C7E">
        <w:rPr>
          <w:rFonts w:ascii="Verdana" w:hAnsi="Verdana" w:cs="PTSans-Regular"/>
          <w:color w:val="000000" w:themeColor="text1"/>
          <w:sz w:val="22"/>
          <w:szCs w:val="22"/>
          <w:lang w:eastAsia="en-CA"/>
        </w:rPr>
        <w:t xml:space="preserve"> en el cual XM participó como coorganizador del evento</w:t>
      </w:r>
      <w:r w:rsidR="00AC51BB">
        <w:rPr>
          <w:rFonts w:ascii="Verdana" w:hAnsi="Verdana" w:cs="PTSans-Regular"/>
          <w:color w:val="000000" w:themeColor="text1"/>
          <w:sz w:val="22"/>
          <w:szCs w:val="22"/>
          <w:lang w:eastAsia="en-CA"/>
        </w:rPr>
        <w:t>,</w:t>
      </w:r>
      <w:r w:rsidRPr="00A52C7E">
        <w:rPr>
          <w:rFonts w:ascii="Verdana" w:hAnsi="Verdana" w:cs="PTSans-Regular"/>
          <w:color w:val="000000" w:themeColor="text1"/>
          <w:sz w:val="22"/>
          <w:szCs w:val="22"/>
          <w:lang w:eastAsia="en-CA"/>
        </w:rPr>
        <w:t xml:space="preserve"> se recomienda continuar </w:t>
      </w:r>
      <w:proofErr w:type="gramStart"/>
      <w:r w:rsidR="00AC51BB">
        <w:rPr>
          <w:rFonts w:ascii="Verdana" w:hAnsi="Verdana" w:cs="PTSans-Regular"/>
          <w:color w:val="000000" w:themeColor="text1"/>
          <w:sz w:val="22"/>
          <w:szCs w:val="22"/>
          <w:lang w:eastAsia="en-CA"/>
        </w:rPr>
        <w:t>co</w:t>
      </w:r>
      <w:r w:rsidR="002578D0">
        <w:rPr>
          <w:rFonts w:ascii="Verdana" w:hAnsi="Verdana" w:cs="PTSans-Regular"/>
          <w:color w:val="000000" w:themeColor="text1"/>
          <w:sz w:val="22"/>
          <w:szCs w:val="22"/>
          <w:lang w:eastAsia="en-CA"/>
        </w:rPr>
        <w:t>mo</w:t>
      </w:r>
      <w:r w:rsidR="00AC51BB">
        <w:rPr>
          <w:rFonts w:ascii="Verdana" w:hAnsi="Verdana" w:cs="PTSans-Regular"/>
          <w:color w:val="000000" w:themeColor="text1"/>
          <w:sz w:val="22"/>
          <w:szCs w:val="22"/>
          <w:lang w:eastAsia="en-CA"/>
        </w:rPr>
        <w:t xml:space="preserve">  CNO</w:t>
      </w:r>
      <w:proofErr w:type="gramEnd"/>
      <w:r w:rsidR="002578D0">
        <w:rPr>
          <w:rFonts w:ascii="Verdana" w:hAnsi="Verdana" w:cs="PTSans-Regular"/>
          <w:color w:val="000000" w:themeColor="text1"/>
          <w:sz w:val="22"/>
          <w:szCs w:val="22"/>
          <w:lang w:eastAsia="en-CA"/>
        </w:rPr>
        <w:t>-</w:t>
      </w:r>
      <w:r w:rsidR="00AC51BB">
        <w:rPr>
          <w:rFonts w:ascii="Verdana" w:hAnsi="Verdana" w:cs="PTSans-Regular"/>
          <w:color w:val="000000" w:themeColor="text1"/>
          <w:sz w:val="22"/>
          <w:szCs w:val="22"/>
          <w:lang w:eastAsia="en-CA"/>
        </w:rPr>
        <w:t xml:space="preserve"> CAC </w:t>
      </w:r>
      <w:r>
        <w:rPr>
          <w:rFonts w:ascii="Verdana" w:hAnsi="Verdana" w:cs="PTSans-Regular"/>
          <w:color w:val="000000" w:themeColor="text1"/>
          <w:sz w:val="22"/>
          <w:szCs w:val="22"/>
          <w:lang w:eastAsia="en-CA"/>
        </w:rPr>
        <w:t>como organizadores del Congreso MEM 25</w:t>
      </w:r>
      <w:r w:rsidR="00D01D05">
        <w:rPr>
          <w:rFonts w:ascii="Verdana" w:hAnsi="Verdana" w:cs="PTSans-Regular"/>
          <w:color w:val="000000" w:themeColor="text1"/>
          <w:sz w:val="22"/>
          <w:szCs w:val="22"/>
          <w:lang w:eastAsia="en-CA"/>
        </w:rPr>
        <w:t xml:space="preserve">. </w:t>
      </w:r>
      <w:r>
        <w:rPr>
          <w:rFonts w:ascii="Verdana" w:hAnsi="Verdana" w:cs="PTSans-Regular"/>
          <w:color w:val="000000" w:themeColor="text1"/>
          <w:sz w:val="22"/>
          <w:szCs w:val="22"/>
          <w:lang w:eastAsia="en-CA"/>
        </w:rPr>
        <w:t xml:space="preserve"> </w:t>
      </w:r>
    </w:p>
    <w:p w14:paraId="07F951A6" w14:textId="67EE16CD" w:rsidR="00763EEA" w:rsidRDefault="00763EEA" w:rsidP="00763EEA">
      <w:pPr>
        <w:contextualSpacing/>
        <w:jc w:val="both"/>
        <w:rPr>
          <w:rFonts w:ascii="Verdana" w:hAnsi="Verdana" w:cs="PTSans-Regular"/>
          <w:i/>
          <w:color w:val="000000" w:themeColor="text1"/>
          <w:sz w:val="22"/>
          <w:szCs w:val="22"/>
          <w:lang w:eastAsia="en-CA"/>
        </w:rPr>
      </w:pPr>
    </w:p>
    <w:p w14:paraId="71E33ABD" w14:textId="038BFAB7" w:rsidR="00CF0B30" w:rsidRPr="00487E56" w:rsidRDefault="00580C1C" w:rsidP="002578D0">
      <w:pPr>
        <w:jc w:val="both"/>
        <w:rPr>
          <w:rFonts w:ascii="Verdana" w:hAnsi="Verdana" w:cs="Cambria"/>
          <w:bCs/>
          <w:color w:val="000000" w:themeColor="text1"/>
          <w:sz w:val="22"/>
          <w:szCs w:val="22"/>
        </w:rPr>
      </w:pPr>
      <w:r w:rsidRPr="00487E56">
        <w:rPr>
          <w:rFonts w:ascii="Verdana" w:hAnsi="Verdana" w:cs="Cambria"/>
          <w:b/>
          <w:color w:val="000000" w:themeColor="text1"/>
          <w:sz w:val="22"/>
          <w:szCs w:val="22"/>
          <w:u w:val="single"/>
        </w:rPr>
        <w:t>ASPECTOS TÉCNICOS:</w:t>
      </w:r>
    </w:p>
    <w:p w14:paraId="2EEE28F3" w14:textId="77777777" w:rsidR="00586512" w:rsidRPr="00534DBD" w:rsidRDefault="00586512" w:rsidP="00534DBD">
      <w:pPr>
        <w:jc w:val="both"/>
        <w:rPr>
          <w:rFonts w:ascii="Verdana" w:hAnsi="Verdana" w:cs="PTSans-Regular"/>
          <w:color w:val="000000" w:themeColor="text1"/>
          <w:sz w:val="22"/>
          <w:szCs w:val="22"/>
          <w:lang w:eastAsia="en-CA"/>
        </w:rPr>
      </w:pPr>
    </w:p>
    <w:p w14:paraId="0CF63AAD" w14:textId="77777777" w:rsidR="00D01D05" w:rsidRDefault="00D01D05" w:rsidP="00D01D05">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E</w:t>
      </w:r>
      <w:r w:rsidRPr="00534DBD">
        <w:rPr>
          <w:rFonts w:ascii="Verdana" w:hAnsi="Verdana" w:cs="PTSans-Regular"/>
          <w:color w:val="000000" w:themeColor="text1"/>
          <w:sz w:val="22"/>
          <w:szCs w:val="22"/>
          <w:lang w:eastAsia="en-CA"/>
        </w:rPr>
        <w:t>l documento de las pruebas requeridas durante el proceso de conexión de la Generación Distribuida-GD y la Autogeneración a pequeña y gran escala con capacidad menor a 5 MW, tarea asignada por la CREG en su Resolución 030 de 2018</w:t>
      </w:r>
      <w:r>
        <w:rPr>
          <w:rFonts w:ascii="Verdana" w:hAnsi="Verdana" w:cs="PTSans-Regular"/>
          <w:color w:val="000000" w:themeColor="text1"/>
          <w:sz w:val="22"/>
          <w:szCs w:val="22"/>
          <w:lang w:eastAsia="en-CA"/>
        </w:rPr>
        <w:t>,</w:t>
      </w:r>
      <w:r w:rsidRPr="00534DBD">
        <w:rPr>
          <w:rFonts w:ascii="Verdana" w:hAnsi="Verdana" w:cs="PTSans-Regular"/>
          <w:color w:val="000000" w:themeColor="text1"/>
          <w:sz w:val="22"/>
          <w:szCs w:val="22"/>
          <w:lang w:eastAsia="en-CA"/>
        </w:rPr>
        <w:t xml:space="preserve"> </w:t>
      </w:r>
      <w:r>
        <w:rPr>
          <w:rFonts w:ascii="Verdana" w:hAnsi="Verdana" w:cs="PTSans-Regular"/>
          <w:color w:val="000000" w:themeColor="text1"/>
          <w:sz w:val="22"/>
          <w:szCs w:val="22"/>
          <w:lang w:eastAsia="en-CA"/>
        </w:rPr>
        <w:t>fue</w:t>
      </w:r>
      <w:r w:rsidRPr="00534DBD">
        <w:rPr>
          <w:rFonts w:ascii="Verdana" w:hAnsi="Verdana" w:cs="PTSans-Regular"/>
          <w:color w:val="000000" w:themeColor="text1"/>
          <w:sz w:val="22"/>
          <w:szCs w:val="22"/>
          <w:lang w:eastAsia="en-CA"/>
        </w:rPr>
        <w:t xml:space="preserve"> </w:t>
      </w:r>
      <w:r>
        <w:rPr>
          <w:rFonts w:ascii="Verdana" w:hAnsi="Verdana" w:cs="PTSans-Regular"/>
          <w:color w:val="000000" w:themeColor="text1"/>
          <w:sz w:val="22"/>
          <w:szCs w:val="22"/>
          <w:lang w:eastAsia="en-CA"/>
        </w:rPr>
        <w:t xml:space="preserve">socializado </w:t>
      </w:r>
      <w:r w:rsidRPr="00534DBD">
        <w:rPr>
          <w:rFonts w:ascii="Verdana" w:hAnsi="Verdana" w:cs="PTSans-Regular"/>
          <w:color w:val="000000" w:themeColor="text1"/>
          <w:sz w:val="22"/>
          <w:szCs w:val="22"/>
          <w:lang w:eastAsia="en-CA"/>
        </w:rPr>
        <w:t xml:space="preserve">para observaciones del público en general </w:t>
      </w:r>
      <w:r>
        <w:rPr>
          <w:rFonts w:ascii="Verdana" w:hAnsi="Verdana" w:cs="PTSans-Regular"/>
          <w:color w:val="000000" w:themeColor="text1"/>
          <w:sz w:val="22"/>
          <w:szCs w:val="22"/>
          <w:lang w:eastAsia="en-CA"/>
        </w:rPr>
        <w:t>y ya se envió a la CREG. Se espera retroalimentación por parte de la Comisión de este producto.</w:t>
      </w:r>
    </w:p>
    <w:p w14:paraId="5D35C3B5" w14:textId="77777777" w:rsidR="00D01D05" w:rsidRDefault="00D01D05" w:rsidP="00D01D05">
      <w:pPr>
        <w:pStyle w:val="Prrafodelista"/>
        <w:ind w:left="720"/>
        <w:jc w:val="both"/>
        <w:rPr>
          <w:rFonts w:ascii="Verdana" w:hAnsi="Verdana" w:cs="PTSans-Regular"/>
          <w:color w:val="000000" w:themeColor="text1"/>
          <w:sz w:val="22"/>
          <w:szCs w:val="22"/>
          <w:lang w:eastAsia="en-CA"/>
        </w:rPr>
      </w:pPr>
    </w:p>
    <w:p w14:paraId="72A1CDD1" w14:textId="2C1DEAB1" w:rsidR="00D01D05" w:rsidRPr="00556EB0" w:rsidRDefault="00D01D05" w:rsidP="00D01D05">
      <w:pPr>
        <w:pStyle w:val="Prrafodelista"/>
        <w:ind w:left="72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Por otro lado, se llevó a cabo reunión con la CREG para recibir observaciones al documento de lineamientos y contenido de los estudios de conexión simplificados. Básicamente la Comisión solicita un documento tipo “cartilla”, donde sea muy fácil para los usuarios interesados en conectarse el procedimiento para solicitar </w:t>
      </w:r>
      <w:r w:rsidR="00AC51BB">
        <w:rPr>
          <w:rFonts w:ascii="Verdana" w:hAnsi="Verdana" w:cs="PTSans-Regular"/>
          <w:color w:val="000000" w:themeColor="text1"/>
          <w:sz w:val="22"/>
          <w:szCs w:val="22"/>
          <w:lang w:eastAsia="en-CA"/>
        </w:rPr>
        <w:t xml:space="preserve">un </w:t>
      </w:r>
      <w:r>
        <w:rPr>
          <w:rFonts w:ascii="Verdana" w:hAnsi="Verdana" w:cs="PTSans-Regular"/>
          <w:color w:val="000000" w:themeColor="text1"/>
          <w:sz w:val="22"/>
          <w:szCs w:val="22"/>
          <w:lang w:eastAsia="en-CA"/>
        </w:rPr>
        <w:t xml:space="preserve">punto de conexión a los Operadores de red en el SDL o STR.  </w:t>
      </w:r>
    </w:p>
    <w:p w14:paraId="4461CDAD" w14:textId="77777777" w:rsidR="00D01D05" w:rsidRPr="00534DBD" w:rsidRDefault="00D01D05" w:rsidP="00D01D05">
      <w:pPr>
        <w:jc w:val="both"/>
        <w:rPr>
          <w:rFonts w:ascii="Verdana" w:hAnsi="Verdana" w:cs="PTSans-Regular"/>
          <w:color w:val="000000" w:themeColor="text1"/>
          <w:sz w:val="22"/>
          <w:szCs w:val="22"/>
          <w:lang w:eastAsia="en-CA"/>
        </w:rPr>
      </w:pPr>
    </w:p>
    <w:p w14:paraId="771C3E56" w14:textId="77777777" w:rsidR="00D01D05" w:rsidRDefault="00D01D05" w:rsidP="00D01D05">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Respecto a la segunda evaluación de impacto de la versión dos de la Guía de Cálculo para la Estimación del Caudal Ambiental, aún no se tiene retroalimentación de la UPME respecto a la formulación de un nuevo escenario de largo plazo, punto de referencia para llevar a cabo los respectivos análisis. En este sentido, y teniendo en cuenta la reciente asignación de Obligaciones de Energía en Firme, el Consejo recomienda al grupo de trabajo UPME-XM-CNO la reformulación de la estrategia de largo plazo.</w:t>
      </w:r>
    </w:p>
    <w:p w14:paraId="119056F1" w14:textId="77777777" w:rsidR="00D01D05" w:rsidRDefault="00D01D05" w:rsidP="00D01D05">
      <w:pPr>
        <w:pStyle w:val="Prrafodelista"/>
        <w:ind w:left="720"/>
        <w:jc w:val="both"/>
        <w:rPr>
          <w:rFonts w:ascii="Verdana" w:hAnsi="Verdana" w:cs="PTSans-Regular"/>
          <w:color w:val="000000" w:themeColor="text1"/>
          <w:sz w:val="22"/>
          <w:szCs w:val="22"/>
          <w:lang w:eastAsia="en-CA"/>
        </w:rPr>
      </w:pPr>
    </w:p>
    <w:p w14:paraId="69640C07" w14:textId="12C14239" w:rsidR="00D01D05" w:rsidRPr="00556EB0" w:rsidRDefault="00D01D05" w:rsidP="00D01D05">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lastRenderedPageBreak/>
        <w:t xml:space="preserve">Los resultados de la pasada asignación de Obligaciones de Energía en Firme-OEF para nuevas plantas muestran una participación importante de los recursos térmicos para garantizar la confiabilidad energética del SIN en el periodo 2022-2023. </w:t>
      </w:r>
      <w:r w:rsidRPr="00556EB0">
        <w:rPr>
          <w:rFonts w:ascii="Verdana" w:hAnsi="Verdana" w:cs="PTSans-Regular"/>
          <w:color w:val="000000" w:themeColor="text1"/>
          <w:sz w:val="22"/>
          <w:szCs w:val="22"/>
          <w:lang w:eastAsia="en-CA"/>
        </w:rPr>
        <w:t>Respecto a las unidades 3, 4 y 5 de Termoyopal, se debe garantizar que la expansión definida en la subárea Casanare, particularmente la subestación Acaravan 230/115 kV, esté en servicio para dicha fecha. Con relación a Termoebr y Termoproyectos (estación Rubiales), hay que considerar que la capacidad asociada a dichas plantas podría incrementar la restricción Chivor-Guavio 230 kV si el proyecto Norte 230 kV</w:t>
      </w:r>
      <w:r w:rsidR="00AC51BB">
        <w:rPr>
          <w:rFonts w:ascii="Verdana" w:hAnsi="Verdana" w:cs="PTSans-Regular"/>
          <w:color w:val="000000" w:themeColor="text1"/>
          <w:sz w:val="22"/>
          <w:szCs w:val="22"/>
          <w:lang w:eastAsia="en-CA"/>
        </w:rPr>
        <w:t xml:space="preserve"> y su red asociada</w:t>
      </w:r>
      <w:r w:rsidRPr="00556EB0">
        <w:rPr>
          <w:rFonts w:ascii="Verdana" w:hAnsi="Verdana" w:cs="PTSans-Regular"/>
          <w:color w:val="000000" w:themeColor="text1"/>
          <w:sz w:val="22"/>
          <w:szCs w:val="22"/>
          <w:lang w:eastAsia="en-CA"/>
        </w:rPr>
        <w:t xml:space="preserve"> no está en servicio. Adicionalmente, no es claro si con la expansión definida para la subárea Bolívar el cierre de ciclo de Candelaria, es decir, 241 MW adicionales, se pueden evacuar. </w:t>
      </w:r>
    </w:p>
    <w:p w14:paraId="3E2E5663" w14:textId="77777777" w:rsidR="00D01D05" w:rsidRPr="00556EB0" w:rsidRDefault="00D01D05" w:rsidP="00D01D05">
      <w:pPr>
        <w:pStyle w:val="Prrafodelista"/>
        <w:rPr>
          <w:rFonts w:ascii="Verdana" w:hAnsi="Verdana" w:cs="PTSans-Regular"/>
          <w:color w:val="000000" w:themeColor="text1"/>
          <w:sz w:val="22"/>
          <w:szCs w:val="22"/>
          <w:lang w:eastAsia="en-CA"/>
        </w:rPr>
      </w:pPr>
    </w:p>
    <w:p w14:paraId="12B4F8BF" w14:textId="77777777" w:rsidR="00D01D05" w:rsidRDefault="00D01D05" w:rsidP="00D01D05">
      <w:pPr>
        <w:pStyle w:val="Prrafodelista"/>
        <w:ind w:left="72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Asimismo, no es clara si la red definida para la incorporación del recurso eólico en la Guajira (Colectora y red asociada) estará y es suficiente para albergar los proyectos asociados a dicha obra (garantías de conexión) y las nuevas plantas con OEF.</w:t>
      </w:r>
    </w:p>
    <w:p w14:paraId="43B776A0" w14:textId="77777777" w:rsidR="00D01D05" w:rsidRPr="00556EB0" w:rsidRDefault="00D01D05" w:rsidP="00D01D05">
      <w:pPr>
        <w:pStyle w:val="Prrafodelista"/>
        <w:rPr>
          <w:rFonts w:ascii="Verdana" w:hAnsi="Verdana" w:cs="PTSans-Regular"/>
          <w:color w:val="000000" w:themeColor="text1"/>
          <w:sz w:val="22"/>
          <w:szCs w:val="22"/>
          <w:lang w:eastAsia="en-CA"/>
        </w:rPr>
      </w:pPr>
    </w:p>
    <w:p w14:paraId="704EBDA6" w14:textId="77777777" w:rsidR="00D01D05" w:rsidRDefault="00D01D05" w:rsidP="00D01D05">
      <w:pPr>
        <w:pStyle w:val="Prrafodelista"/>
        <w:ind w:left="72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En general, recomendamos a XM y la UPME analizar prontamente la conexión de cada una de las nuevas plantas, dando prioridad a la definición de su red, teniendo en cuenta también el incentivo regulatorio para su incorporarse antes del 2022.    </w:t>
      </w:r>
    </w:p>
    <w:p w14:paraId="17CE8E3B" w14:textId="77777777" w:rsidR="00D01D05" w:rsidRPr="00556EB0" w:rsidRDefault="00D01D05" w:rsidP="00D01D05">
      <w:pPr>
        <w:pStyle w:val="Prrafodelista"/>
        <w:rPr>
          <w:rFonts w:ascii="Verdana" w:hAnsi="Verdana" w:cs="PTSans-Regular"/>
          <w:color w:val="000000" w:themeColor="text1"/>
          <w:sz w:val="22"/>
          <w:szCs w:val="22"/>
          <w:lang w:eastAsia="en-CA"/>
        </w:rPr>
      </w:pPr>
    </w:p>
    <w:p w14:paraId="7340DF53" w14:textId="1B1647D8" w:rsidR="00D01D05" w:rsidRPr="00D01D05" w:rsidRDefault="00D01D05" w:rsidP="00D01D05">
      <w:pPr>
        <w:pStyle w:val="Prrafodelista"/>
        <w:numPr>
          <w:ilvl w:val="0"/>
          <w:numId w:val="24"/>
        </w:numPr>
        <w:jc w:val="both"/>
        <w:rPr>
          <w:rFonts w:ascii="Verdana" w:hAnsi="Verdana" w:cs="PTSans-Regular"/>
          <w:color w:val="000000" w:themeColor="text1"/>
          <w:sz w:val="22"/>
          <w:szCs w:val="22"/>
          <w:lang w:eastAsia="en-CA"/>
        </w:rPr>
      </w:pPr>
      <w:r w:rsidRPr="00D01D05">
        <w:rPr>
          <w:rFonts w:ascii="Verdana" w:hAnsi="Verdana" w:cs="PTSans-Regular"/>
          <w:color w:val="000000" w:themeColor="text1"/>
          <w:sz w:val="22"/>
          <w:szCs w:val="22"/>
          <w:lang w:eastAsia="en-CA"/>
        </w:rPr>
        <w:t xml:space="preserve">Se llevó a cabo una reunión CNO-XM-UPME-CAC donde se analizó nuevamente el diagnóstico de la situación actual del SIN respecto a restricciones, según la visión del consultor Pablo Corredor-PHC. A partir de </w:t>
      </w:r>
      <w:r w:rsidR="00AC51BB">
        <w:rPr>
          <w:rFonts w:ascii="Verdana" w:hAnsi="Verdana" w:cs="PTSans-Regular"/>
          <w:color w:val="000000" w:themeColor="text1"/>
          <w:sz w:val="22"/>
          <w:szCs w:val="22"/>
          <w:lang w:eastAsia="en-CA"/>
        </w:rPr>
        <w:t>las recomendaciones</w:t>
      </w:r>
      <w:r w:rsidRPr="00D01D05">
        <w:rPr>
          <w:rFonts w:ascii="Verdana" w:hAnsi="Verdana" w:cs="PTSans-Regular"/>
          <w:color w:val="000000" w:themeColor="text1"/>
          <w:sz w:val="22"/>
          <w:szCs w:val="22"/>
          <w:lang w:eastAsia="en-CA"/>
        </w:rPr>
        <w:t xml:space="preserve"> de PHC, el grupo de trabajo definió el planteamiento de nuevas líneas de acción, ello con el fin de mitigar el sobre costo operativo que está asumiendo el usuario en el corto plazo. Dicha reunión se llevará a cabo la próxima semana. </w:t>
      </w:r>
    </w:p>
    <w:p w14:paraId="75540BEA" w14:textId="77777777" w:rsidR="00D01D05" w:rsidRDefault="00D01D05" w:rsidP="00386555">
      <w:pPr>
        <w:pStyle w:val="Prrafodelista"/>
        <w:ind w:left="360"/>
        <w:jc w:val="both"/>
        <w:rPr>
          <w:rFonts w:ascii="Verdana" w:hAnsi="Verdana" w:cs="PTSans-Regular"/>
          <w:color w:val="000000" w:themeColor="text1"/>
          <w:sz w:val="22"/>
          <w:szCs w:val="22"/>
          <w:lang w:eastAsia="en-CA"/>
        </w:rPr>
      </w:pPr>
    </w:p>
    <w:p w14:paraId="73DBC48B" w14:textId="77777777" w:rsidR="002578D0" w:rsidRDefault="002F10F9" w:rsidP="002578D0">
      <w:pPr>
        <w:pStyle w:val="Prrafodelista"/>
        <w:jc w:val="both"/>
        <w:rPr>
          <w:rFonts w:ascii="Verdana" w:hAnsi="Verdana"/>
          <w:sz w:val="22"/>
          <w:szCs w:val="22"/>
        </w:rPr>
      </w:pPr>
      <w:r w:rsidRPr="002578D0">
        <w:rPr>
          <w:rFonts w:ascii="Verdana" w:hAnsi="Verdana" w:cs="PTSans-Regular"/>
          <w:color w:val="000000" w:themeColor="text1"/>
          <w:sz w:val="22"/>
          <w:szCs w:val="22"/>
          <w:lang w:eastAsia="en-CA"/>
        </w:rPr>
        <w:t xml:space="preserve">Se llevó a cabo la reunión </w:t>
      </w:r>
      <w:r w:rsidR="00AC51BB" w:rsidRPr="002578D0">
        <w:rPr>
          <w:rFonts w:ascii="Verdana" w:hAnsi="Verdana" w:cs="PTSans-Regular"/>
          <w:color w:val="000000" w:themeColor="text1"/>
          <w:sz w:val="22"/>
          <w:szCs w:val="22"/>
          <w:lang w:eastAsia="en-CA"/>
        </w:rPr>
        <w:t xml:space="preserve">140 </w:t>
      </w:r>
      <w:r w:rsidRPr="002578D0">
        <w:rPr>
          <w:rFonts w:ascii="Verdana" w:hAnsi="Verdana" w:cs="PTSans-Regular"/>
          <w:color w:val="000000" w:themeColor="text1"/>
          <w:sz w:val="22"/>
          <w:szCs w:val="22"/>
          <w:lang w:eastAsia="en-CA"/>
        </w:rPr>
        <w:t>del CACS</w:t>
      </w:r>
      <w:r w:rsidR="00754EBB" w:rsidRPr="002578D0">
        <w:rPr>
          <w:rFonts w:ascii="Verdana" w:hAnsi="Verdana" w:cs="PTSans-Regular"/>
          <w:color w:val="000000" w:themeColor="text1"/>
          <w:sz w:val="22"/>
          <w:szCs w:val="22"/>
          <w:lang w:eastAsia="en-CA"/>
        </w:rPr>
        <w:t>S</w:t>
      </w:r>
      <w:r w:rsidRPr="002578D0">
        <w:rPr>
          <w:rFonts w:ascii="Verdana" w:hAnsi="Verdana" w:cs="PTSans-Regular"/>
          <w:color w:val="000000" w:themeColor="text1"/>
          <w:sz w:val="22"/>
          <w:szCs w:val="22"/>
          <w:lang w:eastAsia="en-CA"/>
        </w:rPr>
        <w:t xml:space="preserve">E. </w:t>
      </w:r>
      <w:r w:rsidR="004A0F6A" w:rsidRPr="002578D0">
        <w:rPr>
          <w:rFonts w:ascii="Verdana" w:hAnsi="Verdana" w:cs="PTSans-Regular"/>
          <w:color w:val="000000" w:themeColor="text1"/>
          <w:sz w:val="22"/>
          <w:szCs w:val="22"/>
          <w:lang w:eastAsia="en-CA"/>
        </w:rPr>
        <w:t>Por parte del CNO se recordó la problemática de</w:t>
      </w:r>
      <w:r w:rsidR="00AC51BB" w:rsidRPr="002578D0">
        <w:rPr>
          <w:rFonts w:ascii="Verdana" w:hAnsi="Verdana" w:cs="PTSans-Regular"/>
          <w:color w:val="000000" w:themeColor="text1"/>
          <w:sz w:val="22"/>
          <w:szCs w:val="22"/>
          <w:lang w:eastAsia="en-CA"/>
        </w:rPr>
        <w:t>l</w:t>
      </w:r>
      <w:r w:rsidR="004A0F6A" w:rsidRPr="002578D0">
        <w:rPr>
          <w:rFonts w:ascii="Verdana" w:hAnsi="Verdana" w:cs="PTSans-Regular"/>
          <w:color w:val="000000" w:themeColor="text1"/>
          <w:sz w:val="22"/>
          <w:szCs w:val="22"/>
          <w:lang w:eastAsia="en-CA"/>
        </w:rPr>
        <w:t xml:space="preserve"> carbón </w:t>
      </w:r>
      <w:r w:rsidR="00AC51BB" w:rsidRPr="002578D0">
        <w:rPr>
          <w:rFonts w:ascii="Verdana" w:hAnsi="Verdana" w:cs="PTSans-Regular"/>
          <w:color w:val="000000" w:themeColor="text1"/>
          <w:sz w:val="22"/>
          <w:szCs w:val="22"/>
          <w:lang w:eastAsia="en-CA"/>
        </w:rPr>
        <w:t xml:space="preserve">de la </w:t>
      </w:r>
      <w:r w:rsidR="004A0F6A" w:rsidRPr="002578D0">
        <w:rPr>
          <w:rFonts w:ascii="Verdana" w:hAnsi="Verdana" w:cs="PTSans-Regular"/>
          <w:color w:val="000000" w:themeColor="text1"/>
          <w:sz w:val="22"/>
          <w:szCs w:val="22"/>
          <w:lang w:eastAsia="en-CA"/>
        </w:rPr>
        <w:t>ZONA CENTRAL</w:t>
      </w:r>
      <w:r w:rsidR="00AC51BB" w:rsidRPr="002578D0">
        <w:rPr>
          <w:rFonts w:ascii="Verdana" w:hAnsi="Verdana" w:cs="PTSans-Regular"/>
          <w:color w:val="000000" w:themeColor="text1"/>
          <w:sz w:val="22"/>
          <w:szCs w:val="22"/>
          <w:lang w:eastAsia="en-CA"/>
        </w:rPr>
        <w:t>,</w:t>
      </w:r>
      <w:r w:rsidR="004A0F6A" w:rsidRPr="002578D0">
        <w:rPr>
          <w:rFonts w:ascii="Verdana" w:hAnsi="Verdana" w:cs="PTSans-Regular"/>
          <w:color w:val="000000" w:themeColor="text1"/>
          <w:sz w:val="22"/>
          <w:szCs w:val="22"/>
          <w:lang w:eastAsia="en-CA"/>
        </w:rPr>
        <w:t xml:space="preserve"> expuesta en la comunicación enviada a MINENERGIA</w:t>
      </w:r>
      <w:r w:rsidR="00AC51BB" w:rsidRPr="002578D0">
        <w:rPr>
          <w:rFonts w:ascii="Verdana" w:hAnsi="Verdana" w:cs="PTSans-Regular"/>
          <w:color w:val="000000" w:themeColor="text1"/>
          <w:sz w:val="22"/>
          <w:szCs w:val="22"/>
          <w:lang w:eastAsia="en-CA"/>
        </w:rPr>
        <w:t>,</w:t>
      </w:r>
      <w:r w:rsidR="004A0F6A" w:rsidRPr="002578D0">
        <w:rPr>
          <w:rFonts w:ascii="Verdana" w:hAnsi="Verdana" w:cs="PTSans-Regular"/>
          <w:color w:val="000000" w:themeColor="text1"/>
          <w:sz w:val="22"/>
          <w:szCs w:val="22"/>
          <w:lang w:eastAsia="en-CA"/>
        </w:rPr>
        <w:t xml:space="preserve"> y el estado de la evaluación de la guía de caudal ambiental</w:t>
      </w:r>
      <w:r w:rsidR="00AC51BB" w:rsidRPr="002578D0">
        <w:rPr>
          <w:rFonts w:ascii="Verdana" w:hAnsi="Verdana" w:cs="PTSans-Regular"/>
          <w:color w:val="000000" w:themeColor="text1"/>
          <w:sz w:val="22"/>
          <w:szCs w:val="22"/>
          <w:lang w:eastAsia="en-CA"/>
        </w:rPr>
        <w:t xml:space="preserve">. Respecto a este último punto, se tiene </w:t>
      </w:r>
      <w:r w:rsidR="004A0F6A" w:rsidRPr="002578D0">
        <w:rPr>
          <w:rFonts w:ascii="Verdana" w:hAnsi="Verdana" w:cs="PTSans-Regular"/>
          <w:color w:val="000000" w:themeColor="text1"/>
          <w:sz w:val="22"/>
          <w:szCs w:val="22"/>
          <w:lang w:eastAsia="en-CA"/>
        </w:rPr>
        <w:t xml:space="preserve"> información adicional que el MADS </w:t>
      </w:r>
      <w:r w:rsidR="00AC51BB" w:rsidRPr="002578D0">
        <w:rPr>
          <w:rFonts w:ascii="Verdana" w:hAnsi="Verdana" w:cs="PTSans-Regular"/>
          <w:color w:val="000000" w:themeColor="text1"/>
          <w:sz w:val="22"/>
          <w:szCs w:val="22"/>
          <w:lang w:eastAsia="en-CA"/>
        </w:rPr>
        <w:t xml:space="preserve">próximamente </w:t>
      </w:r>
      <w:r w:rsidR="004A0F6A" w:rsidRPr="002578D0">
        <w:rPr>
          <w:rFonts w:ascii="Verdana" w:hAnsi="Verdana" w:cs="PTSans-Regular"/>
          <w:color w:val="000000" w:themeColor="text1"/>
          <w:sz w:val="22"/>
          <w:szCs w:val="22"/>
          <w:lang w:eastAsia="en-CA"/>
        </w:rPr>
        <w:t>publica</w:t>
      </w:r>
      <w:r w:rsidR="00AC51BB" w:rsidRPr="002578D0">
        <w:rPr>
          <w:rFonts w:ascii="Verdana" w:hAnsi="Verdana" w:cs="PTSans-Regular"/>
          <w:color w:val="000000" w:themeColor="text1"/>
          <w:sz w:val="22"/>
          <w:szCs w:val="22"/>
          <w:lang w:eastAsia="en-CA"/>
        </w:rPr>
        <w:t>rá</w:t>
      </w:r>
      <w:r w:rsidR="004A0F6A" w:rsidRPr="002578D0">
        <w:rPr>
          <w:rFonts w:ascii="Verdana" w:hAnsi="Verdana" w:cs="PTSans-Regular"/>
          <w:color w:val="000000" w:themeColor="text1"/>
          <w:sz w:val="22"/>
          <w:szCs w:val="22"/>
          <w:lang w:eastAsia="en-CA"/>
        </w:rPr>
        <w:t xml:space="preserve"> la </w:t>
      </w:r>
      <w:r w:rsidR="00AC51BB" w:rsidRPr="002578D0">
        <w:rPr>
          <w:rFonts w:ascii="Verdana" w:hAnsi="Verdana" w:cs="PTSans-Regular"/>
          <w:color w:val="000000" w:themeColor="text1"/>
          <w:sz w:val="22"/>
          <w:szCs w:val="22"/>
          <w:lang w:eastAsia="en-CA"/>
        </w:rPr>
        <w:t>G</w:t>
      </w:r>
      <w:r w:rsidR="004A0F6A" w:rsidRPr="002578D0">
        <w:rPr>
          <w:rFonts w:ascii="Verdana" w:hAnsi="Verdana" w:cs="PTSans-Regular"/>
          <w:color w:val="000000" w:themeColor="text1"/>
          <w:sz w:val="22"/>
          <w:szCs w:val="22"/>
          <w:lang w:eastAsia="en-CA"/>
        </w:rPr>
        <w:t xml:space="preserve">uía </w:t>
      </w:r>
      <w:r w:rsidR="002578D0" w:rsidRPr="002578D0">
        <w:rPr>
          <w:rFonts w:ascii="Verdana" w:hAnsi="Verdana" w:cs="PTSans-Regular"/>
          <w:color w:val="000000" w:themeColor="text1"/>
          <w:sz w:val="22"/>
          <w:szCs w:val="22"/>
          <w:lang w:eastAsia="en-CA"/>
        </w:rPr>
        <w:t>D</w:t>
      </w:r>
      <w:r w:rsidR="004A0F6A" w:rsidRPr="002578D0">
        <w:rPr>
          <w:rFonts w:ascii="Verdana" w:hAnsi="Verdana" w:cs="PTSans-Regular"/>
          <w:color w:val="000000" w:themeColor="text1"/>
          <w:sz w:val="22"/>
          <w:szCs w:val="22"/>
          <w:lang w:eastAsia="en-CA"/>
        </w:rPr>
        <w:t>efinitiva</w:t>
      </w:r>
      <w:r w:rsidR="002578D0" w:rsidRPr="002578D0">
        <w:rPr>
          <w:rFonts w:ascii="Verdana" w:hAnsi="Verdana" w:cs="PTSans-Regular"/>
          <w:color w:val="000000" w:themeColor="text1"/>
          <w:sz w:val="22"/>
          <w:szCs w:val="22"/>
          <w:lang w:eastAsia="en-CA"/>
        </w:rPr>
        <w:t xml:space="preserve">  </w:t>
      </w:r>
      <w:r w:rsidR="002578D0" w:rsidRPr="002578D0">
        <w:rPr>
          <w:rFonts w:ascii="Verdana" w:hAnsi="Verdana"/>
          <w:sz w:val="22"/>
          <w:szCs w:val="22"/>
        </w:rPr>
        <w:t xml:space="preserve">y la solicitud formal al MME para que se pronuncie de manera formal ante el MADS, frente a la inconveniencia de publicar la guía de caudales </w:t>
      </w:r>
      <w:proofErr w:type="spellStart"/>
      <w:r w:rsidR="002578D0" w:rsidRPr="002578D0">
        <w:rPr>
          <w:rFonts w:ascii="Verdana" w:hAnsi="Verdana"/>
          <w:sz w:val="22"/>
          <w:szCs w:val="22"/>
        </w:rPr>
        <w:t>ambientales.</w:t>
      </w:r>
      <w:r w:rsidR="002578D0" w:rsidRPr="002578D0">
        <w:rPr>
          <w:rFonts w:ascii="Verdana" w:hAnsi="Verdana" w:cs="PTSans-Regular"/>
          <w:color w:val="000000" w:themeColor="text1"/>
          <w:sz w:val="22"/>
          <w:szCs w:val="22"/>
          <w:lang w:eastAsia="en-CA"/>
        </w:rPr>
        <w:t>I</w:t>
      </w:r>
      <w:r w:rsidR="002578D0" w:rsidRPr="002578D0">
        <w:rPr>
          <w:rFonts w:ascii="Verdana" w:hAnsi="Verdana"/>
          <w:sz w:val="22"/>
          <w:szCs w:val="22"/>
        </w:rPr>
        <w:t>gualmente</w:t>
      </w:r>
      <w:proofErr w:type="spellEnd"/>
      <w:r w:rsidR="002578D0" w:rsidRPr="002578D0">
        <w:rPr>
          <w:rFonts w:ascii="Verdana" w:hAnsi="Verdana"/>
          <w:sz w:val="22"/>
          <w:szCs w:val="22"/>
        </w:rPr>
        <w:t xml:space="preserve"> se comentó la importancia de promover regulación ambiental que permita la gestión de sedimentos en embalses, la insistencia de solicitar la participación del CNO, en el grupo institucional que está revisando las restricciones</w:t>
      </w:r>
      <w:r w:rsidR="002578D0">
        <w:rPr>
          <w:rFonts w:ascii="Verdana" w:hAnsi="Verdana"/>
          <w:sz w:val="22"/>
          <w:szCs w:val="22"/>
        </w:rPr>
        <w:t>.</w:t>
      </w:r>
    </w:p>
    <w:p w14:paraId="7926AEFC" w14:textId="35756621" w:rsidR="00D01D05" w:rsidRPr="002578D0" w:rsidRDefault="002578D0" w:rsidP="002578D0">
      <w:pPr>
        <w:pStyle w:val="Prrafodelista"/>
        <w:jc w:val="both"/>
        <w:rPr>
          <w:rFonts w:ascii="Verdana" w:hAnsi="Verdana" w:cs="PTSans-Regular"/>
          <w:color w:val="000000" w:themeColor="text1"/>
          <w:sz w:val="22"/>
          <w:szCs w:val="22"/>
          <w:lang w:eastAsia="en-CA"/>
        </w:rPr>
      </w:pPr>
      <w:r w:rsidRPr="002578D0">
        <w:rPr>
          <w:rFonts w:ascii="Verdana" w:hAnsi="Verdana"/>
          <w:sz w:val="22"/>
          <w:szCs w:val="22"/>
        </w:rPr>
        <w:t xml:space="preserve"> </w:t>
      </w:r>
    </w:p>
    <w:p w14:paraId="159C7F89" w14:textId="6D794CA2" w:rsidR="00610D1D" w:rsidRPr="002578D0" w:rsidRDefault="00610D1D" w:rsidP="002578D0">
      <w:pPr>
        <w:pStyle w:val="Prrafodelista"/>
        <w:numPr>
          <w:ilvl w:val="0"/>
          <w:numId w:val="24"/>
        </w:numPr>
        <w:jc w:val="both"/>
        <w:rPr>
          <w:rFonts w:ascii="Verdana" w:hAnsi="Verdana" w:cs="PTSans-Regular"/>
          <w:color w:val="000000" w:themeColor="text1"/>
          <w:sz w:val="22"/>
          <w:szCs w:val="22"/>
          <w:lang w:eastAsia="en-CA"/>
        </w:rPr>
      </w:pPr>
      <w:r w:rsidRPr="00D01D05">
        <w:rPr>
          <w:rFonts w:ascii="Verdana" w:hAnsi="Verdana" w:cs="PTSans-Regular"/>
          <w:color w:val="000000" w:themeColor="text1"/>
          <w:sz w:val="22"/>
          <w:szCs w:val="22"/>
          <w:lang w:eastAsia="en-CA"/>
        </w:rPr>
        <w:t>Se adjunta como anexo del informe</w:t>
      </w:r>
      <w:r w:rsidR="00AC51BB">
        <w:rPr>
          <w:rFonts w:ascii="Verdana" w:hAnsi="Verdana" w:cs="PTSans-Regular"/>
          <w:color w:val="000000" w:themeColor="text1"/>
          <w:sz w:val="22"/>
          <w:szCs w:val="22"/>
          <w:lang w:eastAsia="en-CA"/>
        </w:rPr>
        <w:t>,</w:t>
      </w:r>
      <w:r w:rsidRPr="00D01D05">
        <w:rPr>
          <w:rFonts w:ascii="Verdana" w:hAnsi="Verdana" w:cs="PTSans-Regular"/>
          <w:color w:val="000000" w:themeColor="text1"/>
          <w:sz w:val="22"/>
          <w:szCs w:val="22"/>
          <w:lang w:eastAsia="en-CA"/>
        </w:rPr>
        <w:t xml:space="preserve"> un resumen del contrato en tiempos y costos (Informe del </w:t>
      </w:r>
      <w:proofErr w:type="gramStart"/>
      <w:r w:rsidRPr="00D01D05">
        <w:rPr>
          <w:rFonts w:ascii="Verdana" w:hAnsi="Verdana" w:cs="PTSans-Regular"/>
          <w:color w:val="000000" w:themeColor="text1"/>
          <w:sz w:val="22"/>
          <w:szCs w:val="22"/>
          <w:lang w:eastAsia="en-CA"/>
        </w:rPr>
        <w:t>Presidente</w:t>
      </w:r>
      <w:proofErr w:type="gramEnd"/>
      <w:r w:rsidRPr="00D01D05">
        <w:rPr>
          <w:rFonts w:ascii="Verdana" w:hAnsi="Verdana" w:cs="PTSans-Regular"/>
          <w:color w:val="000000" w:themeColor="text1"/>
          <w:sz w:val="22"/>
          <w:szCs w:val="22"/>
          <w:lang w:eastAsia="en-CA"/>
        </w:rPr>
        <w:t xml:space="preserve"> del SH (SURER) del contrato de la UNAL con destino al Comité de Operación).</w:t>
      </w:r>
      <w:r w:rsidR="00B25D36">
        <w:rPr>
          <w:rFonts w:ascii="Verdana" w:hAnsi="Verdana" w:cs="PTSans-Regular"/>
          <w:color w:val="000000" w:themeColor="text1"/>
          <w:sz w:val="22"/>
          <w:szCs w:val="22"/>
          <w:lang w:eastAsia="en-CA"/>
        </w:rPr>
        <w:t xml:space="preserve"> </w:t>
      </w:r>
      <w:r w:rsidRPr="002578D0">
        <w:rPr>
          <w:rFonts w:ascii="Verdana" w:hAnsi="Verdana" w:cs="PTSans-Regular"/>
          <w:color w:val="000000" w:themeColor="text1"/>
          <w:sz w:val="22"/>
          <w:szCs w:val="22"/>
          <w:lang w:eastAsia="en-CA"/>
        </w:rPr>
        <w:t>La fecha de vencimiento de la prórroga del contrato es el 12 de marzo de 2019.</w:t>
      </w:r>
    </w:p>
    <w:p w14:paraId="54F4DFDE" w14:textId="77777777" w:rsidR="00B25D36" w:rsidRDefault="00B25D36" w:rsidP="00610D1D">
      <w:pPr>
        <w:pStyle w:val="Prrafodelista"/>
        <w:ind w:left="720"/>
        <w:jc w:val="both"/>
        <w:rPr>
          <w:rFonts w:ascii="Verdana" w:hAnsi="Verdana" w:cs="PTSans-Regular"/>
          <w:color w:val="000000" w:themeColor="text1"/>
          <w:sz w:val="22"/>
          <w:szCs w:val="22"/>
          <w:lang w:eastAsia="en-CA"/>
        </w:rPr>
      </w:pPr>
    </w:p>
    <w:p w14:paraId="1B5893B1" w14:textId="617DD185" w:rsidR="00351F5C" w:rsidRPr="002578D0" w:rsidRDefault="00351F5C" w:rsidP="002578D0">
      <w:pPr>
        <w:pStyle w:val="Prrafodelista"/>
        <w:numPr>
          <w:ilvl w:val="0"/>
          <w:numId w:val="24"/>
        </w:numPr>
        <w:jc w:val="both"/>
        <w:rPr>
          <w:rFonts w:ascii="Verdana" w:hAnsi="Verdana" w:cs="PTSans-Regular"/>
          <w:color w:val="000000" w:themeColor="text1"/>
          <w:sz w:val="22"/>
          <w:szCs w:val="22"/>
          <w:lang w:eastAsia="en-CA"/>
        </w:rPr>
      </w:pPr>
      <w:r w:rsidRPr="002578D0">
        <w:rPr>
          <w:rFonts w:ascii="Verdana" w:hAnsi="Verdana" w:cs="PTSans-Regular"/>
          <w:color w:val="000000" w:themeColor="text1"/>
          <w:sz w:val="22"/>
          <w:szCs w:val="22"/>
          <w:lang w:eastAsia="en-CA"/>
        </w:rPr>
        <w:t>El 26 de febrero la UNAL envió una comuni</w:t>
      </w:r>
      <w:r w:rsidR="00A87927" w:rsidRPr="002578D0">
        <w:rPr>
          <w:rFonts w:ascii="Verdana" w:hAnsi="Verdana" w:cs="PTSans-Regular"/>
          <w:color w:val="000000" w:themeColor="text1"/>
          <w:sz w:val="22"/>
          <w:szCs w:val="22"/>
          <w:lang w:eastAsia="en-CA"/>
        </w:rPr>
        <w:t>c</w:t>
      </w:r>
      <w:r w:rsidRPr="002578D0">
        <w:rPr>
          <w:rFonts w:ascii="Verdana" w:hAnsi="Verdana" w:cs="PTSans-Regular"/>
          <w:color w:val="000000" w:themeColor="text1"/>
          <w:sz w:val="22"/>
          <w:szCs w:val="22"/>
          <w:lang w:eastAsia="en-CA"/>
        </w:rPr>
        <w:t xml:space="preserve">ación de “Análisis general de información entregada el 20/02/2019 y cumplimiento alcances contrato </w:t>
      </w:r>
      <w:proofErr w:type="spellStart"/>
      <w:r w:rsidRPr="002578D0">
        <w:rPr>
          <w:rFonts w:ascii="Verdana" w:hAnsi="Verdana" w:cs="PTSans-Regular"/>
          <w:color w:val="000000" w:themeColor="text1"/>
          <w:sz w:val="22"/>
          <w:szCs w:val="22"/>
          <w:lang w:eastAsia="en-CA"/>
        </w:rPr>
        <w:t>N°</w:t>
      </w:r>
      <w:proofErr w:type="spellEnd"/>
      <w:r w:rsidRPr="002578D0">
        <w:rPr>
          <w:rFonts w:ascii="Verdana" w:hAnsi="Verdana" w:cs="PTSans-Regular"/>
          <w:color w:val="000000" w:themeColor="text1"/>
          <w:sz w:val="22"/>
          <w:szCs w:val="22"/>
          <w:lang w:eastAsia="en-CA"/>
        </w:rPr>
        <w:t xml:space="preserve"> 732</w:t>
      </w:r>
      <w:r w:rsidR="00B25D36">
        <w:rPr>
          <w:rFonts w:ascii="Verdana" w:hAnsi="Verdana" w:cs="PTSans-Regular"/>
          <w:color w:val="000000" w:themeColor="text1"/>
          <w:sz w:val="22"/>
          <w:szCs w:val="22"/>
          <w:lang w:eastAsia="en-CA"/>
        </w:rPr>
        <w:t>-</w:t>
      </w:r>
      <w:r w:rsidRPr="002578D0">
        <w:rPr>
          <w:rFonts w:ascii="Verdana" w:hAnsi="Verdana" w:cs="PTSans-Regular"/>
          <w:color w:val="000000" w:themeColor="text1"/>
          <w:sz w:val="22"/>
          <w:szCs w:val="22"/>
          <w:lang w:eastAsia="en-CA"/>
        </w:rPr>
        <w:t>1864”, en el que además de hacer observaciones a la información recibida, plantea el estado de cumplimiento de los alcances del contrato así:</w:t>
      </w:r>
    </w:p>
    <w:p w14:paraId="62E7D9AE" w14:textId="77777777" w:rsidR="00351F5C" w:rsidRDefault="00351F5C" w:rsidP="00351F5C">
      <w:pPr>
        <w:ind w:left="360"/>
        <w:jc w:val="both"/>
        <w:rPr>
          <w:rFonts w:ascii="Verdana" w:hAnsi="Verdana" w:cs="PTSans-Regular"/>
          <w:color w:val="000000" w:themeColor="text1"/>
          <w:sz w:val="22"/>
          <w:szCs w:val="22"/>
          <w:lang w:eastAsia="en-CA"/>
        </w:rPr>
      </w:pPr>
    </w:p>
    <w:tbl>
      <w:tblPr>
        <w:tblStyle w:val="Tablaconcuadrcula"/>
        <w:tblW w:w="0" w:type="auto"/>
        <w:jc w:val="center"/>
        <w:tblLook w:val="04A0" w:firstRow="1" w:lastRow="0" w:firstColumn="1" w:lastColumn="0" w:noHBand="0" w:noVBand="1"/>
      </w:tblPr>
      <w:tblGrid>
        <w:gridCol w:w="7650"/>
        <w:gridCol w:w="1462"/>
      </w:tblGrid>
      <w:tr w:rsidR="00351F5C" w:rsidRPr="00351F5C" w14:paraId="0188CC93" w14:textId="77777777" w:rsidTr="004A0F6A">
        <w:trPr>
          <w:jc w:val="center"/>
        </w:trPr>
        <w:tc>
          <w:tcPr>
            <w:tcW w:w="7650" w:type="dxa"/>
          </w:tcPr>
          <w:p w14:paraId="16FE17C3" w14:textId="42C57F31" w:rsidR="00351F5C" w:rsidRPr="004A0F6A" w:rsidRDefault="00351F5C" w:rsidP="00925EF5">
            <w:pPr>
              <w:pStyle w:val="textocarta"/>
              <w:spacing w:line="240" w:lineRule="auto"/>
              <w:ind w:firstLine="0"/>
              <w:contextualSpacing/>
              <w:jc w:val="center"/>
              <w:rPr>
                <w:rFonts w:ascii="Ancizar Sans" w:hAnsi="Ancizar Sans"/>
                <w:i/>
                <w:sz w:val="20"/>
                <w:szCs w:val="20"/>
              </w:rPr>
            </w:pPr>
            <w:r>
              <w:rPr>
                <w:rFonts w:ascii="Ancizar Sans" w:hAnsi="Ancizar Sans"/>
                <w:i/>
                <w:sz w:val="20"/>
                <w:szCs w:val="20"/>
              </w:rPr>
              <w:lastRenderedPageBreak/>
              <w:t>“</w:t>
            </w:r>
            <w:r w:rsidRPr="004A0F6A">
              <w:rPr>
                <w:rFonts w:ascii="Ancizar Sans" w:hAnsi="Ancizar Sans"/>
                <w:i/>
                <w:sz w:val="20"/>
                <w:szCs w:val="20"/>
              </w:rPr>
              <w:t>ALCANCE</w:t>
            </w:r>
          </w:p>
        </w:tc>
        <w:tc>
          <w:tcPr>
            <w:tcW w:w="1462" w:type="dxa"/>
          </w:tcPr>
          <w:p w14:paraId="2CE252A2" w14:textId="77777777" w:rsidR="00351F5C" w:rsidRPr="004A0F6A" w:rsidRDefault="00351F5C" w:rsidP="00925EF5">
            <w:pPr>
              <w:pStyle w:val="textocarta"/>
              <w:spacing w:line="240" w:lineRule="auto"/>
              <w:ind w:firstLine="0"/>
              <w:contextualSpacing/>
              <w:jc w:val="center"/>
              <w:rPr>
                <w:rFonts w:ascii="Ancizar Sans" w:hAnsi="Ancizar Sans"/>
                <w:i/>
                <w:sz w:val="20"/>
                <w:szCs w:val="20"/>
              </w:rPr>
            </w:pPr>
            <w:r w:rsidRPr="004A0F6A">
              <w:rPr>
                <w:rFonts w:ascii="Ancizar Sans" w:hAnsi="Ancizar Sans"/>
                <w:i/>
                <w:sz w:val="20"/>
                <w:szCs w:val="20"/>
              </w:rPr>
              <w:t>FECHA DE ENTREGA PARA REVISIÓN</w:t>
            </w:r>
          </w:p>
        </w:tc>
      </w:tr>
      <w:tr w:rsidR="00351F5C" w:rsidRPr="00351F5C" w14:paraId="63413328" w14:textId="77777777" w:rsidTr="004A0F6A">
        <w:trPr>
          <w:jc w:val="center"/>
        </w:trPr>
        <w:tc>
          <w:tcPr>
            <w:tcW w:w="7650" w:type="dxa"/>
          </w:tcPr>
          <w:p w14:paraId="781CCDF5" w14:textId="77777777" w:rsidR="00351F5C" w:rsidRPr="004A0F6A" w:rsidRDefault="00351F5C" w:rsidP="00925EF5">
            <w:pPr>
              <w:pStyle w:val="textocarta"/>
              <w:spacing w:line="240" w:lineRule="auto"/>
              <w:ind w:firstLine="0"/>
              <w:contextualSpacing/>
              <w:rPr>
                <w:rFonts w:ascii="Ancizar Sans" w:hAnsi="Ancizar Sans"/>
                <w:i/>
                <w:sz w:val="20"/>
                <w:szCs w:val="20"/>
              </w:rPr>
            </w:pPr>
            <w:r w:rsidRPr="004A0F6A">
              <w:rPr>
                <w:rFonts w:ascii="Ancizar Sans" w:hAnsi="Ancizar Sans"/>
                <w:i/>
                <w:sz w:val="20"/>
                <w:szCs w:val="20"/>
              </w:rPr>
              <w:t>c.</w:t>
            </w:r>
            <w:r w:rsidRPr="004A0F6A">
              <w:rPr>
                <w:rFonts w:ascii="Ancizar Sans" w:hAnsi="Ancizar Sans"/>
                <w:i/>
                <w:sz w:val="20"/>
                <w:szCs w:val="20"/>
              </w:rPr>
              <w:tab/>
              <w:t>Explorar ajustes a la metodología utilizada en el sector para el cálculo de los balances energéticos, o proponer un nuevo procedimiento, en caso que lo considere pertinente.  Esta exploración o nueva propuesta debe tener como resultado complementario la obtención de un método de seguimiento a la estimación del balance energético.</w:t>
            </w:r>
            <w:r w:rsidRPr="004A0F6A">
              <w:rPr>
                <w:rFonts w:ascii="Ancizar Sans" w:hAnsi="Ancizar Sans"/>
                <w:i/>
                <w:sz w:val="20"/>
                <w:szCs w:val="20"/>
                <w:vertAlign w:val="superscript"/>
              </w:rPr>
              <w:t xml:space="preserve"> (*)</w:t>
            </w:r>
          </w:p>
        </w:tc>
        <w:tc>
          <w:tcPr>
            <w:tcW w:w="1462" w:type="dxa"/>
            <w:vAlign w:val="center"/>
          </w:tcPr>
          <w:p w14:paraId="041636CE" w14:textId="77777777" w:rsidR="00351F5C" w:rsidRPr="004A0F6A" w:rsidRDefault="00351F5C" w:rsidP="00925EF5">
            <w:pPr>
              <w:pStyle w:val="textocarta"/>
              <w:spacing w:line="240" w:lineRule="auto"/>
              <w:ind w:firstLine="0"/>
              <w:contextualSpacing/>
              <w:jc w:val="center"/>
              <w:rPr>
                <w:rFonts w:ascii="Ancizar Sans" w:hAnsi="Ancizar Sans"/>
                <w:i/>
                <w:sz w:val="20"/>
                <w:szCs w:val="20"/>
              </w:rPr>
            </w:pPr>
            <w:r w:rsidRPr="004A0F6A">
              <w:rPr>
                <w:rFonts w:ascii="Ancizar Sans" w:hAnsi="Ancizar Sans"/>
                <w:i/>
                <w:sz w:val="20"/>
                <w:szCs w:val="20"/>
              </w:rPr>
              <w:t>01/04/2019</w:t>
            </w:r>
          </w:p>
        </w:tc>
      </w:tr>
      <w:tr w:rsidR="00351F5C" w:rsidRPr="00351F5C" w14:paraId="437594DE" w14:textId="77777777" w:rsidTr="004A0F6A">
        <w:trPr>
          <w:jc w:val="center"/>
        </w:trPr>
        <w:tc>
          <w:tcPr>
            <w:tcW w:w="7650" w:type="dxa"/>
          </w:tcPr>
          <w:p w14:paraId="575479D2" w14:textId="25CE8B02" w:rsidR="00351F5C" w:rsidRPr="004A0F6A" w:rsidRDefault="00351F5C" w:rsidP="00925EF5">
            <w:pPr>
              <w:pStyle w:val="textocarta"/>
              <w:spacing w:line="240" w:lineRule="auto"/>
              <w:ind w:firstLine="0"/>
              <w:contextualSpacing/>
              <w:rPr>
                <w:rFonts w:ascii="Ancizar Sans" w:hAnsi="Ancizar Sans"/>
                <w:i/>
                <w:sz w:val="20"/>
                <w:szCs w:val="20"/>
              </w:rPr>
            </w:pPr>
            <w:r w:rsidRPr="004A0F6A">
              <w:rPr>
                <w:rFonts w:ascii="Ancizar Sans" w:hAnsi="Ancizar Sans"/>
                <w:i/>
                <w:sz w:val="20"/>
                <w:szCs w:val="20"/>
              </w:rPr>
              <w:t>d.</w:t>
            </w:r>
            <w:r w:rsidRPr="004A0F6A">
              <w:rPr>
                <w:rFonts w:ascii="Ancizar Sans" w:hAnsi="Ancizar Sans"/>
                <w:i/>
                <w:sz w:val="20"/>
                <w:szCs w:val="20"/>
              </w:rPr>
              <w:tab/>
              <w:t xml:space="preserve">Elaborar un informe donde se describan los análisis realizados para la cuantificación de la incertidumbre asociada a cada variable, la determinación del rango normal en el cual se puede mover dicha incertidumbre para cada planta dependiendo de los criterios que se hayan identificado, el rango de la incertidumbre asociada al balance energético agregado del sistema y las conclusiones y recomendaciones del Contratista con base en los resultados y la información </w:t>
            </w:r>
            <w:r w:rsidR="004A0F6A" w:rsidRPr="004A0F6A">
              <w:rPr>
                <w:rFonts w:ascii="Ancizar Sans" w:hAnsi="Ancizar Sans"/>
                <w:i/>
                <w:sz w:val="20"/>
                <w:szCs w:val="20"/>
              </w:rPr>
              <w:t>analizada.</w:t>
            </w:r>
            <w:r w:rsidR="004A0F6A" w:rsidRPr="004A0F6A">
              <w:rPr>
                <w:rFonts w:ascii="Ancizar Sans" w:hAnsi="Ancizar Sans"/>
                <w:i/>
                <w:sz w:val="20"/>
                <w:szCs w:val="20"/>
                <w:vertAlign w:val="superscript"/>
              </w:rPr>
              <w:t xml:space="preserve"> (</w:t>
            </w:r>
            <w:r w:rsidRPr="004A0F6A">
              <w:rPr>
                <w:rFonts w:ascii="Ancizar Sans" w:hAnsi="Ancizar Sans"/>
                <w:i/>
                <w:sz w:val="20"/>
                <w:szCs w:val="20"/>
                <w:vertAlign w:val="superscript"/>
              </w:rPr>
              <w:t>**)</w:t>
            </w:r>
          </w:p>
        </w:tc>
        <w:tc>
          <w:tcPr>
            <w:tcW w:w="1462" w:type="dxa"/>
            <w:vAlign w:val="center"/>
          </w:tcPr>
          <w:p w14:paraId="5ED24388" w14:textId="77777777" w:rsidR="00351F5C" w:rsidRPr="004A0F6A" w:rsidRDefault="00351F5C" w:rsidP="00925EF5">
            <w:pPr>
              <w:pStyle w:val="textocarta"/>
              <w:spacing w:line="240" w:lineRule="auto"/>
              <w:ind w:firstLine="0"/>
              <w:contextualSpacing/>
              <w:jc w:val="center"/>
              <w:rPr>
                <w:rFonts w:ascii="Ancizar Sans" w:hAnsi="Ancizar Sans"/>
                <w:i/>
                <w:sz w:val="20"/>
                <w:szCs w:val="20"/>
              </w:rPr>
            </w:pPr>
            <w:r w:rsidRPr="004A0F6A">
              <w:rPr>
                <w:rFonts w:ascii="Ancizar Sans" w:hAnsi="Ancizar Sans"/>
                <w:i/>
                <w:sz w:val="20"/>
                <w:szCs w:val="20"/>
              </w:rPr>
              <w:t>01/04/2019</w:t>
            </w:r>
          </w:p>
        </w:tc>
      </w:tr>
      <w:tr w:rsidR="00351F5C" w:rsidRPr="00351F5C" w14:paraId="731645ED" w14:textId="77777777" w:rsidTr="004A0F6A">
        <w:trPr>
          <w:jc w:val="center"/>
        </w:trPr>
        <w:tc>
          <w:tcPr>
            <w:tcW w:w="7650" w:type="dxa"/>
          </w:tcPr>
          <w:p w14:paraId="10DCE809" w14:textId="77777777" w:rsidR="00351F5C" w:rsidRPr="004A0F6A" w:rsidRDefault="00351F5C" w:rsidP="00925EF5">
            <w:pPr>
              <w:pStyle w:val="textocarta"/>
              <w:spacing w:line="240" w:lineRule="auto"/>
              <w:ind w:firstLine="0"/>
              <w:contextualSpacing/>
              <w:rPr>
                <w:rFonts w:ascii="Ancizar Sans" w:hAnsi="Ancizar Sans"/>
                <w:i/>
                <w:sz w:val="20"/>
                <w:szCs w:val="20"/>
              </w:rPr>
            </w:pPr>
            <w:r w:rsidRPr="004A0F6A">
              <w:rPr>
                <w:rFonts w:ascii="Ancizar Sans" w:hAnsi="Ancizar Sans"/>
                <w:i/>
                <w:sz w:val="20"/>
                <w:szCs w:val="20"/>
              </w:rPr>
              <w:t>e.</w:t>
            </w:r>
            <w:r w:rsidRPr="004A0F6A">
              <w:rPr>
                <w:rFonts w:ascii="Ancizar Sans" w:hAnsi="Ancizar Sans"/>
                <w:i/>
                <w:sz w:val="20"/>
                <w:szCs w:val="20"/>
              </w:rPr>
              <w:tab/>
              <w:t xml:space="preserve">Definir un indicador para hacer seguimiento periódico al balance hidro-energético. </w:t>
            </w:r>
            <w:r w:rsidRPr="004A0F6A">
              <w:rPr>
                <w:rFonts w:ascii="Ancizar Sans" w:hAnsi="Ancizar Sans"/>
                <w:i/>
                <w:sz w:val="20"/>
                <w:szCs w:val="20"/>
                <w:vertAlign w:val="superscript"/>
              </w:rPr>
              <w:t>(*)</w:t>
            </w:r>
          </w:p>
        </w:tc>
        <w:tc>
          <w:tcPr>
            <w:tcW w:w="1462" w:type="dxa"/>
            <w:vAlign w:val="center"/>
          </w:tcPr>
          <w:p w14:paraId="05BE5D84" w14:textId="77777777" w:rsidR="00351F5C" w:rsidRPr="004A0F6A" w:rsidRDefault="00351F5C" w:rsidP="00925EF5">
            <w:pPr>
              <w:pStyle w:val="textocarta"/>
              <w:spacing w:line="240" w:lineRule="auto"/>
              <w:ind w:firstLine="0"/>
              <w:contextualSpacing/>
              <w:jc w:val="center"/>
              <w:rPr>
                <w:rFonts w:ascii="Ancizar Sans" w:hAnsi="Ancizar Sans"/>
                <w:i/>
                <w:sz w:val="20"/>
                <w:szCs w:val="20"/>
              </w:rPr>
            </w:pPr>
            <w:r w:rsidRPr="004A0F6A">
              <w:rPr>
                <w:rFonts w:ascii="Ancizar Sans" w:hAnsi="Ancizar Sans"/>
                <w:i/>
                <w:sz w:val="20"/>
                <w:szCs w:val="20"/>
              </w:rPr>
              <w:t>01/04/2019</w:t>
            </w:r>
          </w:p>
        </w:tc>
      </w:tr>
      <w:tr w:rsidR="00351F5C" w:rsidRPr="00351F5C" w14:paraId="4BB8858B" w14:textId="77777777" w:rsidTr="004A0F6A">
        <w:trPr>
          <w:jc w:val="center"/>
        </w:trPr>
        <w:tc>
          <w:tcPr>
            <w:tcW w:w="7650" w:type="dxa"/>
          </w:tcPr>
          <w:p w14:paraId="38857F0C" w14:textId="77777777" w:rsidR="00351F5C" w:rsidRPr="004A0F6A" w:rsidRDefault="00351F5C" w:rsidP="00925EF5">
            <w:pPr>
              <w:pStyle w:val="textocarta"/>
              <w:spacing w:line="240" w:lineRule="auto"/>
              <w:ind w:firstLine="0"/>
              <w:contextualSpacing/>
              <w:rPr>
                <w:rFonts w:ascii="Ancizar Sans" w:hAnsi="Ancizar Sans"/>
                <w:i/>
                <w:sz w:val="20"/>
                <w:szCs w:val="20"/>
              </w:rPr>
            </w:pPr>
            <w:r w:rsidRPr="004A0F6A">
              <w:rPr>
                <w:rFonts w:ascii="Ancizar Sans" w:hAnsi="Ancizar Sans"/>
                <w:i/>
                <w:sz w:val="20"/>
                <w:szCs w:val="20"/>
              </w:rPr>
              <w:t>f.</w:t>
            </w:r>
            <w:r w:rsidRPr="004A0F6A">
              <w:rPr>
                <w:rFonts w:ascii="Ancizar Sans" w:hAnsi="Ancizar Sans"/>
                <w:i/>
                <w:sz w:val="20"/>
                <w:szCs w:val="20"/>
              </w:rPr>
              <w:tab/>
              <w:t>Revisar y proponer mejoras al protocolo de factor de conversión que está en proceso de revisión por parte del CNO, con miras a tener una mejor representación de la energía equivalente a las reservas hídricas y demás términos empleados en los balances hidro-energéticos.</w:t>
            </w:r>
          </w:p>
        </w:tc>
        <w:tc>
          <w:tcPr>
            <w:tcW w:w="1462" w:type="dxa"/>
            <w:vAlign w:val="center"/>
          </w:tcPr>
          <w:p w14:paraId="7467C334" w14:textId="77777777" w:rsidR="00351F5C" w:rsidRPr="004A0F6A" w:rsidRDefault="00351F5C" w:rsidP="00925EF5">
            <w:pPr>
              <w:pStyle w:val="textocarta"/>
              <w:spacing w:line="240" w:lineRule="auto"/>
              <w:ind w:firstLine="0"/>
              <w:contextualSpacing/>
              <w:jc w:val="center"/>
              <w:rPr>
                <w:rFonts w:ascii="Ancizar Sans" w:hAnsi="Ancizar Sans"/>
                <w:i/>
                <w:sz w:val="20"/>
                <w:szCs w:val="20"/>
              </w:rPr>
            </w:pPr>
            <w:r w:rsidRPr="004A0F6A">
              <w:rPr>
                <w:rFonts w:ascii="Ancizar Sans" w:hAnsi="Ancizar Sans"/>
                <w:i/>
                <w:sz w:val="20"/>
                <w:szCs w:val="20"/>
              </w:rPr>
              <w:t>12/03/2019</w:t>
            </w:r>
          </w:p>
        </w:tc>
      </w:tr>
      <w:tr w:rsidR="00351F5C" w:rsidRPr="00351F5C" w14:paraId="3D2C9C99" w14:textId="77777777" w:rsidTr="004A0F6A">
        <w:trPr>
          <w:jc w:val="center"/>
        </w:trPr>
        <w:tc>
          <w:tcPr>
            <w:tcW w:w="7650" w:type="dxa"/>
          </w:tcPr>
          <w:p w14:paraId="00E815D1" w14:textId="77777777" w:rsidR="00351F5C" w:rsidRPr="004A0F6A" w:rsidRDefault="00351F5C" w:rsidP="00925EF5">
            <w:pPr>
              <w:pStyle w:val="textocarta"/>
              <w:spacing w:line="240" w:lineRule="auto"/>
              <w:ind w:firstLine="0"/>
              <w:contextualSpacing/>
              <w:rPr>
                <w:rFonts w:ascii="Ancizar Sans" w:hAnsi="Ancizar Sans"/>
                <w:i/>
                <w:sz w:val="20"/>
                <w:szCs w:val="20"/>
              </w:rPr>
            </w:pPr>
            <w:r w:rsidRPr="004A0F6A">
              <w:rPr>
                <w:rFonts w:ascii="Ancizar Sans" w:hAnsi="Ancizar Sans"/>
                <w:i/>
                <w:sz w:val="20"/>
                <w:szCs w:val="20"/>
              </w:rPr>
              <w:t>g.</w:t>
            </w:r>
            <w:r w:rsidRPr="004A0F6A">
              <w:rPr>
                <w:rFonts w:ascii="Ancizar Sans" w:hAnsi="Ancizar Sans"/>
                <w:i/>
                <w:sz w:val="20"/>
                <w:szCs w:val="20"/>
              </w:rPr>
              <w:tab/>
              <w:t>Revisar y proponer mejoras en los métodos de cuantificación del recurso hídrico y en el reporte y actualización de la información hidrológica operativa diaria.</w:t>
            </w:r>
          </w:p>
        </w:tc>
        <w:tc>
          <w:tcPr>
            <w:tcW w:w="1462" w:type="dxa"/>
            <w:vAlign w:val="center"/>
          </w:tcPr>
          <w:p w14:paraId="6299B11D" w14:textId="77777777" w:rsidR="00351F5C" w:rsidRPr="004A0F6A" w:rsidRDefault="00351F5C" w:rsidP="00925EF5">
            <w:pPr>
              <w:pStyle w:val="textocarta"/>
              <w:spacing w:line="240" w:lineRule="auto"/>
              <w:ind w:firstLine="0"/>
              <w:contextualSpacing/>
              <w:jc w:val="center"/>
              <w:rPr>
                <w:rFonts w:ascii="Ancizar Sans" w:hAnsi="Ancizar Sans"/>
                <w:i/>
                <w:sz w:val="20"/>
                <w:szCs w:val="20"/>
              </w:rPr>
            </w:pPr>
            <w:r w:rsidRPr="004A0F6A">
              <w:rPr>
                <w:rFonts w:ascii="Ancizar Sans" w:hAnsi="Ancizar Sans"/>
                <w:i/>
                <w:sz w:val="20"/>
                <w:szCs w:val="20"/>
              </w:rPr>
              <w:t>12/03/2019</w:t>
            </w:r>
          </w:p>
        </w:tc>
      </w:tr>
    </w:tbl>
    <w:p w14:paraId="10575049" w14:textId="77777777" w:rsidR="00351F5C" w:rsidRPr="004A0F6A" w:rsidRDefault="00351F5C" w:rsidP="00351F5C">
      <w:pPr>
        <w:pStyle w:val="textocarta"/>
        <w:spacing w:line="240" w:lineRule="auto"/>
        <w:ind w:firstLine="0"/>
        <w:contextualSpacing/>
        <w:rPr>
          <w:rFonts w:ascii="Ancizar Sans" w:hAnsi="Ancizar Sans"/>
          <w:i/>
        </w:rPr>
      </w:pPr>
      <w:r w:rsidRPr="004A0F6A">
        <w:rPr>
          <w:rFonts w:ascii="Ancizar Sans" w:hAnsi="Ancizar Sans"/>
          <w:i/>
          <w:sz w:val="20"/>
          <w:szCs w:val="20"/>
          <w:vertAlign w:val="superscript"/>
        </w:rPr>
        <w:t>(*)</w:t>
      </w:r>
      <w:r w:rsidRPr="004A0F6A">
        <w:rPr>
          <w:rFonts w:ascii="Ancizar Sans" w:hAnsi="Ancizar Sans"/>
          <w:i/>
          <w:sz w:val="20"/>
          <w:szCs w:val="20"/>
        </w:rPr>
        <w:t xml:space="preserve"> Es posible que los resultados del alcance h requieran ajustes menores a este informe.</w:t>
      </w:r>
    </w:p>
    <w:p w14:paraId="00AFCD1A" w14:textId="77777777" w:rsidR="00351F5C" w:rsidRPr="004A0F6A" w:rsidRDefault="00351F5C" w:rsidP="00351F5C">
      <w:pPr>
        <w:pStyle w:val="textocarta"/>
        <w:spacing w:line="240" w:lineRule="auto"/>
        <w:ind w:firstLine="0"/>
        <w:contextualSpacing/>
        <w:rPr>
          <w:rFonts w:ascii="Ancizar Sans" w:hAnsi="Ancizar Sans"/>
          <w:i/>
        </w:rPr>
      </w:pPr>
      <w:r w:rsidRPr="004A0F6A">
        <w:rPr>
          <w:rFonts w:ascii="Ancizar Sans" w:hAnsi="Ancizar Sans"/>
          <w:i/>
          <w:sz w:val="20"/>
          <w:szCs w:val="20"/>
          <w:vertAlign w:val="superscript"/>
        </w:rPr>
        <w:t>(**)</w:t>
      </w:r>
      <w:r w:rsidRPr="004A0F6A">
        <w:rPr>
          <w:rFonts w:ascii="Ancizar Sans" w:hAnsi="Ancizar Sans"/>
          <w:i/>
          <w:sz w:val="20"/>
          <w:szCs w:val="20"/>
        </w:rPr>
        <w:t xml:space="preserve"> Con la información recolectada y conocida por la Universidad durante el desarrollo del proyecto.</w:t>
      </w:r>
    </w:p>
    <w:p w14:paraId="1462EFE7" w14:textId="77777777" w:rsidR="00351F5C" w:rsidRPr="004A0F6A" w:rsidRDefault="00351F5C" w:rsidP="00351F5C">
      <w:pPr>
        <w:ind w:left="360"/>
        <w:jc w:val="both"/>
        <w:rPr>
          <w:rFonts w:ascii="Verdana" w:hAnsi="Verdana" w:cs="PTSans-Regular"/>
          <w:i/>
          <w:color w:val="000000" w:themeColor="text1"/>
          <w:sz w:val="22"/>
          <w:szCs w:val="22"/>
          <w:lang w:val="es-ES_tradnl" w:eastAsia="en-CA"/>
        </w:rPr>
      </w:pPr>
    </w:p>
    <w:p w14:paraId="40CF6867" w14:textId="77777777" w:rsidR="00351F5C" w:rsidRPr="004A0F6A" w:rsidRDefault="00351F5C" w:rsidP="00351F5C">
      <w:pPr>
        <w:pStyle w:val="textocarta"/>
        <w:spacing w:line="240" w:lineRule="auto"/>
        <w:ind w:firstLine="0"/>
        <w:contextualSpacing/>
        <w:rPr>
          <w:rFonts w:ascii="Ancizar Sans" w:hAnsi="Ancizar Sans"/>
          <w:i/>
        </w:rPr>
      </w:pPr>
      <w:r w:rsidRPr="004A0F6A">
        <w:rPr>
          <w:rFonts w:ascii="Ancizar Sans" w:hAnsi="Ancizar Sans"/>
          <w:i/>
        </w:rPr>
        <w:t>Se resalta que de esta forma será necesario desde lo contractual, correlacionar los informes mensuales 4 y 5 con los informes de los alcances relacionados en la Tabla 3.</w:t>
      </w:r>
    </w:p>
    <w:p w14:paraId="64EBB018" w14:textId="77777777" w:rsidR="00351F5C" w:rsidRPr="004A0F6A" w:rsidRDefault="00351F5C" w:rsidP="00351F5C">
      <w:pPr>
        <w:jc w:val="both"/>
        <w:rPr>
          <w:rFonts w:ascii="Verdana" w:hAnsi="Verdana" w:cs="PTSans-Regular"/>
          <w:i/>
          <w:color w:val="000000" w:themeColor="text1"/>
          <w:sz w:val="22"/>
          <w:szCs w:val="22"/>
          <w:lang w:eastAsia="en-CA"/>
        </w:rPr>
      </w:pPr>
    </w:p>
    <w:p w14:paraId="7B262CCE" w14:textId="0CFCCE99" w:rsidR="00351F5C" w:rsidRDefault="00351F5C" w:rsidP="00351F5C">
      <w:pPr>
        <w:jc w:val="both"/>
        <w:rPr>
          <w:rFonts w:ascii="Verdana" w:hAnsi="Verdana" w:cs="PTSans-Regular"/>
          <w:i/>
          <w:color w:val="000000" w:themeColor="text1"/>
          <w:sz w:val="22"/>
          <w:szCs w:val="22"/>
          <w:lang w:eastAsia="en-CA"/>
        </w:rPr>
      </w:pPr>
      <w:r w:rsidRPr="004A0F6A">
        <w:rPr>
          <w:rFonts w:ascii="Verdana" w:hAnsi="Verdana" w:cs="PTSans-Regular"/>
          <w:i/>
          <w:color w:val="000000" w:themeColor="text1"/>
          <w:sz w:val="22"/>
          <w:szCs w:val="22"/>
          <w:lang w:eastAsia="en-CA"/>
        </w:rPr>
        <w:t>Para el cumplimiento de los alcances a, b y h se requiere la información solicitada en la com</w:t>
      </w:r>
      <w:r w:rsidR="006850EB">
        <w:rPr>
          <w:rFonts w:ascii="Verdana" w:hAnsi="Verdana" w:cs="PTSans-Regular"/>
          <w:i/>
          <w:color w:val="000000" w:themeColor="text1"/>
          <w:sz w:val="22"/>
          <w:szCs w:val="22"/>
          <w:lang w:eastAsia="en-CA"/>
        </w:rPr>
        <w:t>u</w:t>
      </w:r>
      <w:r w:rsidRPr="004A0F6A">
        <w:rPr>
          <w:rFonts w:ascii="Verdana" w:hAnsi="Verdana" w:cs="PTSans-Regular"/>
          <w:i/>
          <w:color w:val="000000" w:themeColor="text1"/>
          <w:sz w:val="22"/>
          <w:szCs w:val="22"/>
          <w:lang w:eastAsia="en-CA"/>
        </w:rPr>
        <w:t>nicación [M.DGMAFMI-010] enviada el pasado 21/02/2019 a CNO.”</w:t>
      </w:r>
    </w:p>
    <w:p w14:paraId="41E0A791" w14:textId="62892C2E" w:rsidR="006850EB" w:rsidRDefault="006850EB" w:rsidP="00351F5C">
      <w:pPr>
        <w:jc w:val="both"/>
        <w:rPr>
          <w:rFonts w:ascii="Verdana" w:hAnsi="Verdana" w:cs="PTSans-Regular"/>
          <w:i/>
          <w:color w:val="000000" w:themeColor="text1"/>
          <w:sz w:val="22"/>
          <w:szCs w:val="22"/>
          <w:lang w:eastAsia="en-CA"/>
        </w:rPr>
      </w:pPr>
    </w:p>
    <w:p w14:paraId="4370DDFE" w14:textId="0AC49AF5" w:rsidR="006850EB" w:rsidRPr="006850EB" w:rsidRDefault="006850EB" w:rsidP="004A0F6A">
      <w:p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El plazo solicitado por la UNAL para dar cumplimiento a los literales b,</w:t>
      </w:r>
      <w:r w:rsidR="00EB3FB9">
        <w:rPr>
          <w:rFonts w:ascii="Verdana" w:hAnsi="Verdana" w:cs="PTSans-Regular"/>
          <w:color w:val="000000" w:themeColor="text1"/>
          <w:sz w:val="22"/>
          <w:szCs w:val="22"/>
          <w:lang w:eastAsia="en-CA"/>
        </w:rPr>
        <w:t xml:space="preserve"> </w:t>
      </w:r>
      <w:r>
        <w:rPr>
          <w:rFonts w:ascii="Verdana" w:hAnsi="Verdana" w:cs="PTSans-Regular"/>
          <w:color w:val="000000" w:themeColor="text1"/>
          <w:sz w:val="22"/>
          <w:szCs w:val="22"/>
          <w:lang w:eastAsia="en-CA"/>
        </w:rPr>
        <w:t>c,</w:t>
      </w:r>
      <w:r w:rsidR="00EB3FB9">
        <w:rPr>
          <w:rFonts w:ascii="Verdana" w:hAnsi="Verdana" w:cs="PTSans-Regular"/>
          <w:color w:val="000000" w:themeColor="text1"/>
          <w:sz w:val="22"/>
          <w:szCs w:val="22"/>
          <w:lang w:eastAsia="en-CA"/>
        </w:rPr>
        <w:t xml:space="preserve"> </w:t>
      </w:r>
      <w:r>
        <w:rPr>
          <w:rFonts w:ascii="Verdana" w:hAnsi="Verdana" w:cs="PTSans-Regular"/>
          <w:color w:val="000000" w:themeColor="text1"/>
          <w:sz w:val="22"/>
          <w:szCs w:val="22"/>
          <w:lang w:eastAsia="en-CA"/>
        </w:rPr>
        <w:t>d, e,</w:t>
      </w:r>
      <w:r w:rsidR="00EB3FB9">
        <w:rPr>
          <w:rFonts w:ascii="Verdana" w:hAnsi="Verdana" w:cs="PTSans-Regular"/>
          <w:color w:val="000000" w:themeColor="text1"/>
          <w:sz w:val="22"/>
          <w:szCs w:val="22"/>
          <w:lang w:eastAsia="en-CA"/>
        </w:rPr>
        <w:t xml:space="preserve"> </w:t>
      </w:r>
      <w:r>
        <w:rPr>
          <w:rFonts w:ascii="Verdana" w:hAnsi="Verdana" w:cs="PTSans-Regular"/>
          <w:color w:val="000000" w:themeColor="text1"/>
          <w:sz w:val="22"/>
          <w:szCs w:val="22"/>
          <w:lang w:eastAsia="en-CA"/>
        </w:rPr>
        <w:t>f,</w:t>
      </w:r>
      <w:r w:rsidR="00EB3FB9">
        <w:rPr>
          <w:rFonts w:ascii="Verdana" w:hAnsi="Verdana" w:cs="PTSans-Regular"/>
          <w:color w:val="000000" w:themeColor="text1"/>
          <w:sz w:val="22"/>
          <w:szCs w:val="22"/>
          <w:lang w:eastAsia="en-CA"/>
        </w:rPr>
        <w:t xml:space="preserve"> </w:t>
      </w:r>
      <w:r>
        <w:rPr>
          <w:rFonts w:ascii="Verdana" w:hAnsi="Verdana" w:cs="PTSans-Regular"/>
          <w:color w:val="000000" w:themeColor="text1"/>
          <w:sz w:val="22"/>
          <w:szCs w:val="22"/>
          <w:lang w:eastAsia="en-CA"/>
        </w:rPr>
        <w:t>g,</w:t>
      </w:r>
      <w:r w:rsidR="00EB3FB9">
        <w:rPr>
          <w:rFonts w:ascii="Verdana" w:hAnsi="Verdana" w:cs="PTSans-Regular"/>
          <w:color w:val="000000" w:themeColor="text1"/>
          <w:sz w:val="22"/>
          <w:szCs w:val="22"/>
          <w:lang w:eastAsia="en-CA"/>
        </w:rPr>
        <w:t xml:space="preserve"> </w:t>
      </w:r>
      <w:r>
        <w:rPr>
          <w:rFonts w:ascii="Verdana" w:hAnsi="Verdana" w:cs="PTSans-Regular"/>
          <w:color w:val="000000" w:themeColor="text1"/>
          <w:sz w:val="22"/>
          <w:szCs w:val="22"/>
          <w:lang w:eastAsia="en-CA"/>
        </w:rPr>
        <w:t>i es de un mes, contado a partir de la fecha de finalización del contrato, es decir, hasta el 12 de abril de 2019</w:t>
      </w:r>
      <w:r w:rsidR="00A87927">
        <w:rPr>
          <w:rFonts w:ascii="Verdana" w:hAnsi="Verdana" w:cs="PTSans-Regular"/>
          <w:color w:val="000000" w:themeColor="text1"/>
          <w:sz w:val="22"/>
          <w:szCs w:val="22"/>
          <w:lang w:eastAsia="en-CA"/>
        </w:rPr>
        <w:t>. No se hizo la cuantificación de los recursos requeridos.</w:t>
      </w:r>
    </w:p>
    <w:p w14:paraId="2D00893F" w14:textId="77777777" w:rsidR="00351F5C" w:rsidRDefault="00351F5C" w:rsidP="00351F5C">
      <w:pPr>
        <w:ind w:left="360"/>
        <w:jc w:val="both"/>
        <w:rPr>
          <w:rFonts w:ascii="Verdana" w:hAnsi="Verdana" w:cs="PTSans-Regular"/>
          <w:color w:val="000000" w:themeColor="text1"/>
          <w:sz w:val="22"/>
          <w:szCs w:val="22"/>
          <w:lang w:eastAsia="en-CA"/>
        </w:rPr>
      </w:pPr>
    </w:p>
    <w:p w14:paraId="1BA3020E" w14:textId="32DBC019" w:rsidR="00610D1D" w:rsidRPr="002578D0" w:rsidRDefault="00351F5C" w:rsidP="002578D0">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El </w:t>
      </w:r>
      <w:r w:rsidRPr="004A0F6A">
        <w:rPr>
          <w:rFonts w:ascii="Verdana" w:hAnsi="Verdana" w:cs="PTSans-Regular"/>
          <w:color w:val="000000" w:themeColor="text1"/>
          <w:sz w:val="22"/>
          <w:szCs w:val="22"/>
          <w:lang w:eastAsia="en-CA"/>
        </w:rPr>
        <w:t xml:space="preserve">día de ayer </w:t>
      </w:r>
      <w:r>
        <w:rPr>
          <w:rFonts w:ascii="Verdana" w:hAnsi="Verdana" w:cs="PTSans-Regular"/>
          <w:color w:val="000000" w:themeColor="text1"/>
          <w:sz w:val="22"/>
          <w:szCs w:val="22"/>
          <w:lang w:eastAsia="en-CA"/>
        </w:rPr>
        <w:t xml:space="preserve">y con el objetivo de avanzar en darle claridad a la UNAL a las observaciones del documento </w:t>
      </w:r>
      <w:r w:rsidR="006850EB">
        <w:rPr>
          <w:rFonts w:ascii="Verdana" w:hAnsi="Verdana" w:cs="PTSans-Regular"/>
          <w:color w:val="000000" w:themeColor="text1"/>
          <w:sz w:val="22"/>
          <w:szCs w:val="22"/>
          <w:lang w:eastAsia="en-CA"/>
        </w:rPr>
        <w:t xml:space="preserve">del 26 de febrero, </w:t>
      </w:r>
      <w:r w:rsidRPr="004A0F6A">
        <w:rPr>
          <w:rFonts w:ascii="Verdana" w:hAnsi="Verdana" w:cs="PTSans-Regular"/>
          <w:color w:val="000000" w:themeColor="text1"/>
          <w:sz w:val="22"/>
          <w:szCs w:val="22"/>
          <w:lang w:eastAsia="en-CA"/>
        </w:rPr>
        <w:t xml:space="preserve">se hizo un taller con </w:t>
      </w:r>
      <w:r w:rsidR="006850EB">
        <w:rPr>
          <w:rFonts w:ascii="Verdana" w:hAnsi="Verdana" w:cs="PTSans-Regular"/>
          <w:color w:val="000000" w:themeColor="text1"/>
          <w:sz w:val="22"/>
          <w:szCs w:val="22"/>
          <w:lang w:eastAsia="en-CA"/>
        </w:rPr>
        <w:t>esta</w:t>
      </w:r>
      <w:r w:rsidRPr="004A0F6A">
        <w:rPr>
          <w:rFonts w:ascii="Verdana" w:hAnsi="Verdana" w:cs="PTSans-Regular"/>
          <w:color w:val="000000" w:themeColor="text1"/>
          <w:sz w:val="22"/>
          <w:szCs w:val="22"/>
          <w:lang w:eastAsia="en-CA"/>
        </w:rPr>
        <w:t>, el S</w:t>
      </w:r>
      <w:r w:rsidR="00B33F82">
        <w:rPr>
          <w:rFonts w:ascii="Verdana" w:hAnsi="Verdana" w:cs="PTSans-Regular"/>
          <w:color w:val="000000" w:themeColor="text1"/>
          <w:sz w:val="22"/>
          <w:szCs w:val="22"/>
          <w:lang w:eastAsia="en-CA"/>
        </w:rPr>
        <w:t>H (SURER)</w:t>
      </w:r>
      <w:r w:rsidRPr="004A0F6A">
        <w:rPr>
          <w:rFonts w:ascii="Verdana" w:hAnsi="Verdana" w:cs="PTSans-Regular"/>
          <w:color w:val="000000" w:themeColor="text1"/>
          <w:sz w:val="22"/>
          <w:szCs w:val="22"/>
          <w:lang w:eastAsia="en-CA"/>
        </w:rPr>
        <w:t xml:space="preserve"> y el CNO,</w:t>
      </w:r>
      <w:r w:rsidR="006850EB">
        <w:rPr>
          <w:rFonts w:ascii="Verdana" w:hAnsi="Verdana" w:cs="PTSans-Regular"/>
          <w:color w:val="000000" w:themeColor="text1"/>
          <w:sz w:val="22"/>
          <w:szCs w:val="22"/>
          <w:lang w:eastAsia="en-CA"/>
        </w:rPr>
        <w:t xml:space="preserve"> y como resultado se asumieron los siguientes compromisos:</w:t>
      </w:r>
    </w:p>
    <w:p w14:paraId="7CC679F8" w14:textId="77777777" w:rsidR="00A54047" w:rsidRDefault="00A54047" w:rsidP="00A54047">
      <w:pPr>
        <w:jc w:val="both"/>
        <w:rPr>
          <w:rFonts w:ascii="Verdana" w:hAnsi="Verdana" w:cs="PTSans-Regular"/>
          <w:color w:val="000000" w:themeColor="text1"/>
          <w:sz w:val="22"/>
          <w:szCs w:val="22"/>
          <w:lang w:eastAsia="en-CA"/>
        </w:rPr>
      </w:pPr>
    </w:p>
    <w:tbl>
      <w:tblPr>
        <w:tblStyle w:val="Tablaconcuadrcula"/>
        <w:tblW w:w="0" w:type="auto"/>
        <w:jc w:val="center"/>
        <w:tblLook w:val="04A0" w:firstRow="1" w:lastRow="0" w:firstColumn="1" w:lastColumn="0" w:noHBand="0" w:noVBand="1"/>
      </w:tblPr>
      <w:tblGrid>
        <w:gridCol w:w="3068"/>
        <w:gridCol w:w="3068"/>
        <w:gridCol w:w="3068"/>
      </w:tblGrid>
      <w:tr w:rsidR="00A54047" w14:paraId="36E4D0FB" w14:textId="77777777" w:rsidTr="002578D0">
        <w:trPr>
          <w:jc w:val="center"/>
        </w:trPr>
        <w:tc>
          <w:tcPr>
            <w:tcW w:w="3068" w:type="dxa"/>
          </w:tcPr>
          <w:p w14:paraId="654224D7" w14:textId="77777777" w:rsidR="00A54047" w:rsidRDefault="00A54047" w:rsidP="000E334D">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Compromiso</w:t>
            </w:r>
          </w:p>
        </w:tc>
        <w:tc>
          <w:tcPr>
            <w:tcW w:w="3068" w:type="dxa"/>
          </w:tcPr>
          <w:p w14:paraId="358C2EC9" w14:textId="77777777" w:rsidR="00A54047" w:rsidRDefault="00A54047" w:rsidP="000E334D">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Responsable</w:t>
            </w:r>
          </w:p>
        </w:tc>
        <w:tc>
          <w:tcPr>
            <w:tcW w:w="3068" w:type="dxa"/>
          </w:tcPr>
          <w:p w14:paraId="5DEBB753" w14:textId="77777777" w:rsidR="00A54047" w:rsidRDefault="00A54047" w:rsidP="000E334D">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Plazo</w:t>
            </w:r>
          </w:p>
        </w:tc>
      </w:tr>
      <w:tr w:rsidR="00A54047" w14:paraId="0FA2061C" w14:textId="77777777" w:rsidTr="002578D0">
        <w:trPr>
          <w:jc w:val="center"/>
        </w:trPr>
        <w:tc>
          <w:tcPr>
            <w:tcW w:w="3068" w:type="dxa"/>
          </w:tcPr>
          <w:p w14:paraId="03320142" w14:textId="77777777" w:rsidR="00A54047" w:rsidRDefault="00A54047" w:rsidP="000E334D">
            <w:p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Análisis del cumplimiento de los literales a y b con la información recibida a la fecha y las claridades dadas en el taller</w:t>
            </w:r>
          </w:p>
        </w:tc>
        <w:tc>
          <w:tcPr>
            <w:tcW w:w="3068" w:type="dxa"/>
            <w:vAlign w:val="center"/>
          </w:tcPr>
          <w:p w14:paraId="3066ECD0" w14:textId="77777777" w:rsidR="00A54047" w:rsidRDefault="00A54047" w:rsidP="00EB3FB9">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Universidad Nacional</w:t>
            </w:r>
          </w:p>
        </w:tc>
        <w:tc>
          <w:tcPr>
            <w:tcW w:w="3068" w:type="dxa"/>
            <w:vAlign w:val="center"/>
          </w:tcPr>
          <w:p w14:paraId="7797A501" w14:textId="77777777" w:rsidR="00A54047" w:rsidRDefault="00A54047" w:rsidP="00EB3FB9">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7 de marzo de 2019</w:t>
            </w:r>
          </w:p>
        </w:tc>
      </w:tr>
      <w:tr w:rsidR="00A54047" w14:paraId="6BF97E81" w14:textId="77777777" w:rsidTr="002578D0">
        <w:trPr>
          <w:jc w:val="center"/>
        </w:trPr>
        <w:tc>
          <w:tcPr>
            <w:tcW w:w="3068" w:type="dxa"/>
          </w:tcPr>
          <w:p w14:paraId="55D125A1" w14:textId="77777777" w:rsidR="00A54047" w:rsidRDefault="00A54047" w:rsidP="000E334D">
            <w:p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Evaluación del plazo para cumplir con el literal h del </w:t>
            </w:r>
            <w:r>
              <w:rPr>
                <w:rFonts w:ascii="Verdana" w:hAnsi="Verdana" w:cs="PTSans-Regular"/>
                <w:color w:val="000000" w:themeColor="text1"/>
                <w:sz w:val="22"/>
                <w:szCs w:val="22"/>
                <w:lang w:eastAsia="en-CA"/>
              </w:rPr>
              <w:lastRenderedPageBreak/>
              <w:t>contrato, con el documento de planeamiento recibido el 5 de marzo y la explicación del mismo por parte de XM en el taller</w:t>
            </w:r>
          </w:p>
        </w:tc>
        <w:tc>
          <w:tcPr>
            <w:tcW w:w="3068" w:type="dxa"/>
            <w:vAlign w:val="center"/>
          </w:tcPr>
          <w:p w14:paraId="539D79F0" w14:textId="77777777" w:rsidR="00A54047" w:rsidRDefault="00A54047" w:rsidP="00EB3FB9">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lastRenderedPageBreak/>
              <w:t>Universidad Nacional</w:t>
            </w:r>
          </w:p>
        </w:tc>
        <w:tc>
          <w:tcPr>
            <w:tcW w:w="3068" w:type="dxa"/>
            <w:vAlign w:val="center"/>
          </w:tcPr>
          <w:p w14:paraId="5B5BCDF8" w14:textId="77777777" w:rsidR="00A54047" w:rsidRDefault="00A54047" w:rsidP="00EB3FB9">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7 de marzo de 2019</w:t>
            </w:r>
          </w:p>
        </w:tc>
      </w:tr>
      <w:tr w:rsidR="00A54047" w14:paraId="1F1F8B76" w14:textId="77777777" w:rsidTr="002578D0">
        <w:trPr>
          <w:jc w:val="center"/>
        </w:trPr>
        <w:tc>
          <w:tcPr>
            <w:tcW w:w="3068" w:type="dxa"/>
          </w:tcPr>
          <w:p w14:paraId="5D770BC7" w14:textId="0D83AECC" w:rsidR="00A54047" w:rsidRDefault="00A54047" w:rsidP="000E334D">
            <w:p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Alternativa de entrega de la reconstrucción de la información soporte del cálculo de los desbalances hidrológicos de los años 2016, 2017 y 2018 a la UNAL.</w:t>
            </w:r>
          </w:p>
        </w:tc>
        <w:tc>
          <w:tcPr>
            <w:tcW w:w="3068" w:type="dxa"/>
            <w:vAlign w:val="center"/>
          </w:tcPr>
          <w:p w14:paraId="3B0BC74E" w14:textId="77777777" w:rsidR="00A54047" w:rsidRDefault="00A54047" w:rsidP="00EB3FB9">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XM</w:t>
            </w:r>
          </w:p>
        </w:tc>
        <w:tc>
          <w:tcPr>
            <w:tcW w:w="3068" w:type="dxa"/>
            <w:vAlign w:val="center"/>
          </w:tcPr>
          <w:p w14:paraId="4DE9D865" w14:textId="77777777" w:rsidR="00A54047" w:rsidRDefault="00A54047" w:rsidP="00EB3FB9">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1 semana y media</w:t>
            </w:r>
          </w:p>
        </w:tc>
      </w:tr>
      <w:tr w:rsidR="00A54047" w14:paraId="322698A5" w14:textId="77777777" w:rsidTr="002578D0">
        <w:trPr>
          <w:jc w:val="center"/>
        </w:trPr>
        <w:tc>
          <w:tcPr>
            <w:tcW w:w="3068" w:type="dxa"/>
          </w:tcPr>
          <w:p w14:paraId="1835EF82" w14:textId="17982525" w:rsidR="00A54047" w:rsidRDefault="00A54047" w:rsidP="000E334D">
            <w:p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Evaluación del valor agregado para el cumplimiento de los alcances de los literales a y b del contrato recibiendo la información de los años 2016, 2017 y 2018 y establecimiento de tiempo y recursos requeridos</w:t>
            </w:r>
          </w:p>
        </w:tc>
        <w:tc>
          <w:tcPr>
            <w:tcW w:w="3068" w:type="dxa"/>
            <w:vAlign w:val="center"/>
          </w:tcPr>
          <w:p w14:paraId="68320632" w14:textId="77777777" w:rsidR="00A54047" w:rsidRDefault="00A54047" w:rsidP="00EB3FB9">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Universidad Nacional</w:t>
            </w:r>
          </w:p>
        </w:tc>
        <w:tc>
          <w:tcPr>
            <w:tcW w:w="3068" w:type="dxa"/>
            <w:vAlign w:val="center"/>
          </w:tcPr>
          <w:p w14:paraId="6224A04D" w14:textId="77777777" w:rsidR="00A54047" w:rsidRDefault="00A54047" w:rsidP="00EB3FB9">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7 de marzo de 2019</w:t>
            </w:r>
          </w:p>
        </w:tc>
      </w:tr>
      <w:tr w:rsidR="00A54047" w14:paraId="25787C18" w14:textId="77777777" w:rsidTr="002578D0">
        <w:trPr>
          <w:jc w:val="center"/>
        </w:trPr>
        <w:tc>
          <w:tcPr>
            <w:tcW w:w="3068" w:type="dxa"/>
          </w:tcPr>
          <w:p w14:paraId="0DBAB049" w14:textId="77777777" w:rsidR="00A54047" w:rsidRDefault="00A54047" w:rsidP="000E334D">
            <w:p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Recomendación al Consejo de plazo y recursos requeridos para dar cumplimiento al contrato, con base en la evaluación de la Universidad y el análisis de beneficio – costo de la alternativa propuesta por XM</w:t>
            </w:r>
          </w:p>
        </w:tc>
        <w:tc>
          <w:tcPr>
            <w:tcW w:w="3068" w:type="dxa"/>
            <w:vAlign w:val="center"/>
          </w:tcPr>
          <w:p w14:paraId="4E0998CA" w14:textId="77777777" w:rsidR="00A54047" w:rsidRDefault="00A54047" w:rsidP="00EB3FB9">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Supervisores del contrato (SH (SURER), Secretario Técnico, Asesores Técnico y Legal del CNO)</w:t>
            </w:r>
          </w:p>
        </w:tc>
        <w:tc>
          <w:tcPr>
            <w:tcW w:w="3068" w:type="dxa"/>
            <w:vAlign w:val="center"/>
          </w:tcPr>
          <w:p w14:paraId="61376708" w14:textId="77777777" w:rsidR="00A54047" w:rsidRDefault="00A54047" w:rsidP="00EB3FB9">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8 de marzo de 2019</w:t>
            </w:r>
          </w:p>
        </w:tc>
      </w:tr>
      <w:tr w:rsidR="00A54047" w14:paraId="6FACB608" w14:textId="77777777" w:rsidTr="002578D0">
        <w:trPr>
          <w:jc w:val="center"/>
        </w:trPr>
        <w:tc>
          <w:tcPr>
            <w:tcW w:w="3068" w:type="dxa"/>
          </w:tcPr>
          <w:p w14:paraId="1A3D648F" w14:textId="77777777" w:rsidR="00A54047" w:rsidRDefault="00A54047" w:rsidP="000E334D">
            <w:p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Presentación al CNO de la recomendación </w:t>
            </w:r>
          </w:p>
        </w:tc>
        <w:tc>
          <w:tcPr>
            <w:tcW w:w="3068" w:type="dxa"/>
            <w:vAlign w:val="center"/>
          </w:tcPr>
          <w:p w14:paraId="4047927F" w14:textId="77777777" w:rsidR="00A54047" w:rsidRDefault="00A54047" w:rsidP="00EB3FB9">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Supervisores del contrato (SH (SURER), Secretario Técnico, Asesores Técnico y Legal del CNO)</w:t>
            </w:r>
          </w:p>
        </w:tc>
        <w:tc>
          <w:tcPr>
            <w:tcW w:w="3068" w:type="dxa"/>
            <w:vAlign w:val="center"/>
          </w:tcPr>
          <w:p w14:paraId="14CBF618" w14:textId="77777777" w:rsidR="00A54047" w:rsidRDefault="00A54047" w:rsidP="00EB3FB9">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8 de marzo de 2019</w:t>
            </w:r>
          </w:p>
        </w:tc>
      </w:tr>
      <w:tr w:rsidR="00A54047" w14:paraId="6B4A4BD2" w14:textId="77777777" w:rsidTr="002578D0">
        <w:trPr>
          <w:jc w:val="center"/>
        </w:trPr>
        <w:tc>
          <w:tcPr>
            <w:tcW w:w="3068" w:type="dxa"/>
          </w:tcPr>
          <w:p w14:paraId="4FD03D67" w14:textId="77777777" w:rsidR="00A54047" w:rsidRDefault="00A54047" w:rsidP="000E334D">
            <w:p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Tramite contractual con la Fiduciaria</w:t>
            </w:r>
          </w:p>
        </w:tc>
        <w:tc>
          <w:tcPr>
            <w:tcW w:w="3068" w:type="dxa"/>
            <w:vAlign w:val="center"/>
          </w:tcPr>
          <w:p w14:paraId="02D072DC" w14:textId="0194383F" w:rsidR="00A54047" w:rsidRDefault="00EB3FB9" w:rsidP="00EB3FB9">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CNO</w:t>
            </w:r>
          </w:p>
        </w:tc>
        <w:tc>
          <w:tcPr>
            <w:tcW w:w="3068" w:type="dxa"/>
            <w:vAlign w:val="center"/>
          </w:tcPr>
          <w:p w14:paraId="11D31E9E" w14:textId="77777777" w:rsidR="00A54047" w:rsidRDefault="00A54047" w:rsidP="00EB3FB9">
            <w:pPr>
              <w:jc w:val="center"/>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8 u 11 de marzo de 2019</w:t>
            </w:r>
          </w:p>
        </w:tc>
      </w:tr>
    </w:tbl>
    <w:p w14:paraId="1C4B9F84" w14:textId="77777777" w:rsidR="00A54047" w:rsidRDefault="00A54047" w:rsidP="00A54047">
      <w:pPr>
        <w:jc w:val="both"/>
        <w:rPr>
          <w:rFonts w:ascii="Verdana" w:hAnsi="Verdana" w:cs="PTSans-Regular"/>
          <w:color w:val="000000" w:themeColor="text1"/>
          <w:sz w:val="22"/>
          <w:szCs w:val="22"/>
          <w:lang w:eastAsia="en-CA"/>
        </w:rPr>
      </w:pPr>
    </w:p>
    <w:p w14:paraId="1C3357E8" w14:textId="6186A06A" w:rsidR="00A54047" w:rsidRPr="00534DBD" w:rsidRDefault="00A54047" w:rsidP="00A54047">
      <w:p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No obstante</w:t>
      </w:r>
      <w:r w:rsidR="00B25D36">
        <w:rPr>
          <w:rFonts w:ascii="Verdana" w:hAnsi="Verdana" w:cs="PTSans-Regular"/>
          <w:color w:val="000000" w:themeColor="text1"/>
          <w:sz w:val="22"/>
          <w:szCs w:val="22"/>
          <w:lang w:eastAsia="en-CA"/>
        </w:rPr>
        <w:t xml:space="preserve"> que</w:t>
      </w:r>
      <w:r>
        <w:rPr>
          <w:rFonts w:ascii="Verdana" w:hAnsi="Verdana" w:cs="PTSans-Regular"/>
          <w:color w:val="000000" w:themeColor="text1"/>
          <w:sz w:val="22"/>
          <w:szCs w:val="22"/>
          <w:lang w:eastAsia="en-CA"/>
        </w:rPr>
        <w:t xml:space="preserve"> está</w:t>
      </w:r>
      <w:r w:rsidR="00EB3FB9">
        <w:rPr>
          <w:rFonts w:ascii="Verdana" w:hAnsi="Verdana" w:cs="PTSans-Regular"/>
          <w:color w:val="000000" w:themeColor="text1"/>
          <w:sz w:val="22"/>
          <w:szCs w:val="22"/>
          <w:lang w:eastAsia="en-CA"/>
        </w:rPr>
        <w:t>n</w:t>
      </w:r>
      <w:r>
        <w:rPr>
          <w:rFonts w:ascii="Verdana" w:hAnsi="Verdana" w:cs="PTSans-Regular"/>
          <w:color w:val="000000" w:themeColor="text1"/>
          <w:sz w:val="22"/>
          <w:szCs w:val="22"/>
          <w:lang w:eastAsia="en-CA"/>
        </w:rPr>
        <w:t xml:space="preserve"> pendiente</w:t>
      </w:r>
      <w:r w:rsidR="00EB3FB9">
        <w:rPr>
          <w:rFonts w:ascii="Verdana" w:hAnsi="Verdana" w:cs="PTSans-Regular"/>
          <w:color w:val="000000" w:themeColor="text1"/>
          <w:sz w:val="22"/>
          <w:szCs w:val="22"/>
          <w:lang w:eastAsia="en-CA"/>
        </w:rPr>
        <w:t>s</w:t>
      </w:r>
      <w:r>
        <w:rPr>
          <w:rFonts w:ascii="Verdana" w:hAnsi="Verdana" w:cs="PTSans-Regular"/>
          <w:color w:val="000000" w:themeColor="text1"/>
          <w:sz w:val="22"/>
          <w:szCs w:val="22"/>
          <w:lang w:eastAsia="en-CA"/>
        </w:rPr>
        <w:t xml:space="preserve"> las actividades de la tabla anterior, los supervisores del contrato recomiendan la redefinición de los literales a y b del contrato y su acotamiento dependerá del resultado de los análisis </w:t>
      </w:r>
      <w:r w:rsidR="00EB3FB9">
        <w:rPr>
          <w:rFonts w:ascii="Verdana" w:hAnsi="Verdana" w:cs="PTSans-Regular"/>
          <w:color w:val="000000" w:themeColor="text1"/>
          <w:sz w:val="22"/>
          <w:szCs w:val="22"/>
          <w:lang w:eastAsia="en-CA"/>
        </w:rPr>
        <w:t>correspondientes</w:t>
      </w:r>
      <w:r>
        <w:rPr>
          <w:rFonts w:ascii="Verdana" w:hAnsi="Verdana" w:cs="PTSans-Regular"/>
          <w:color w:val="000000" w:themeColor="text1"/>
          <w:sz w:val="22"/>
          <w:szCs w:val="22"/>
          <w:lang w:eastAsia="en-CA"/>
        </w:rPr>
        <w:t>.</w:t>
      </w:r>
    </w:p>
    <w:p w14:paraId="78C027A9" w14:textId="77777777" w:rsidR="00A54047" w:rsidRPr="00534DBD" w:rsidRDefault="00A54047" w:rsidP="00A54047">
      <w:pPr>
        <w:jc w:val="both"/>
        <w:rPr>
          <w:rFonts w:ascii="Verdana" w:hAnsi="Verdana" w:cs="PTSans-Regular"/>
          <w:color w:val="000000" w:themeColor="text1"/>
          <w:sz w:val="22"/>
          <w:szCs w:val="22"/>
          <w:lang w:eastAsia="en-CA"/>
        </w:rPr>
      </w:pPr>
    </w:p>
    <w:p w14:paraId="1815C1B3" w14:textId="7CD93A34" w:rsidR="0047700F" w:rsidRDefault="0047700F" w:rsidP="004A0F6A">
      <w:pPr>
        <w:jc w:val="both"/>
        <w:rPr>
          <w:rFonts w:ascii="Verdana" w:hAnsi="Verdana" w:cs="PTSans-Regular"/>
          <w:color w:val="000000" w:themeColor="text1"/>
          <w:sz w:val="22"/>
          <w:szCs w:val="22"/>
          <w:lang w:eastAsia="en-CA"/>
        </w:rPr>
      </w:pPr>
    </w:p>
    <w:p w14:paraId="349AE87C" w14:textId="35D59FCF" w:rsidR="00A54047" w:rsidRDefault="00A54047" w:rsidP="004A0F6A">
      <w:pPr>
        <w:jc w:val="both"/>
        <w:rPr>
          <w:rFonts w:ascii="Verdana" w:hAnsi="Verdana" w:cs="PTSans-Regular"/>
          <w:color w:val="000000" w:themeColor="text1"/>
          <w:sz w:val="22"/>
          <w:szCs w:val="22"/>
          <w:lang w:eastAsia="en-CA"/>
        </w:rPr>
      </w:pPr>
    </w:p>
    <w:p w14:paraId="5F609BF8" w14:textId="77777777" w:rsidR="00A54047" w:rsidRPr="00920FEC" w:rsidRDefault="00A54047" w:rsidP="004A0F6A">
      <w:pPr>
        <w:jc w:val="both"/>
        <w:rPr>
          <w:rFonts w:ascii="Verdana" w:hAnsi="Verdana" w:cs="PTSans-Regular"/>
          <w:color w:val="000000" w:themeColor="text1"/>
          <w:sz w:val="22"/>
          <w:szCs w:val="22"/>
          <w:lang w:eastAsia="en-CA"/>
        </w:rPr>
      </w:pPr>
    </w:p>
    <w:p w14:paraId="756CE860" w14:textId="77777777" w:rsidR="00C90F9E" w:rsidRPr="00534DBD" w:rsidRDefault="00C90F9E" w:rsidP="004A0F6A">
      <w:pPr>
        <w:jc w:val="both"/>
        <w:rPr>
          <w:rFonts w:ascii="Verdana" w:hAnsi="Verdana" w:cs="PTSans-Regular"/>
          <w:color w:val="000000" w:themeColor="text1"/>
          <w:sz w:val="22"/>
          <w:szCs w:val="22"/>
          <w:lang w:eastAsia="en-CA"/>
        </w:rPr>
      </w:pPr>
    </w:p>
    <w:p w14:paraId="2F51EFE5" w14:textId="77777777" w:rsidR="00C90F9E" w:rsidRPr="00534DBD" w:rsidRDefault="00C90F9E" w:rsidP="00534DBD">
      <w:pPr>
        <w:jc w:val="both"/>
        <w:rPr>
          <w:rFonts w:ascii="Verdana" w:hAnsi="Verdana" w:cs="PTSans-Regular"/>
          <w:color w:val="000000" w:themeColor="text1"/>
          <w:sz w:val="22"/>
          <w:szCs w:val="22"/>
          <w:lang w:eastAsia="en-CA"/>
        </w:rPr>
      </w:pPr>
    </w:p>
    <w:p w14:paraId="638A60EC" w14:textId="77777777" w:rsidR="00464DFA" w:rsidRPr="00534DBD" w:rsidRDefault="00464DFA" w:rsidP="00534DBD">
      <w:pPr>
        <w:pStyle w:val="Prrafodelista"/>
        <w:rPr>
          <w:rFonts w:ascii="Verdana" w:hAnsi="Verdana" w:cs="PTSans-Regular"/>
          <w:color w:val="000000" w:themeColor="text1"/>
          <w:sz w:val="22"/>
          <w:szCs w:val="22"/>
          <w:lang w:eastAsia="en-CA"/>
        </w:rPr>
      </w:pPr>
    </w:p>
    <w:p w14:paraId="02DE6FED" w14:textId="23D2E9A3" w:rsidR="00E5320E" w:rsidRPr="008F5339" w:rsidRDefault="00E5320E" w:rsidP="008F5339">
      <w:pPr>
        <w:pStyle w:val="Prrafodelista"/>
        <w:ind w:left="720"/>
        <w:jc w:val="both"/>
        <w:rPr>
          <w:rFonts w:ascii="Verdana" w:hAnsi="Verdana" w:cs="PTSans-Regular"/>
          <w:color w:val="000000" w:themeColor="text1"/>
          <w:sz w:val="22"/>
          <w:szCs w:val="22"/>
          <w:lang w:eastAsia="en-CA"/>
        </w:rPr>
      </w:pPr>
    </w:p>
    <w:sectPr w:rsidR="00E5320E" w:rsidRPr="008F5339"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C173C" w14:textId="77777777" w:rsidR="0048277A" w:rsidRDefault="0048277A">
      <w:r>
        <w:separator/>
      </w:r>
    </w:p>
  </w:endnote>
  <w:endnote w:type="continuationSeparator" w:id="0">
    <w:p w14:paraId="5929B16C" w14:textId="77777777" w:rsidR="0048277A" w:rsidRDefault="0048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PTSans-Regular">
    <w:panose1 w:val="00000000000000000000"/>
    <w:charset w:val="4D"/>
    <w:family w:val="swiss"/>
    <w:notTrueType/>
    <w:pitch w:val="variable"/>
    <w:sig w:usb0="A00002E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cizar Sans Regular">
    <w:altName w:val="Arial"/>
    <w:panose1 w:val="00000000000000000000"/>
    <w:charset w:val="00"/>
    <w:family w:val="swiss"/>
    <w:notTrueType/>
    <w:pitch w:val="variable"/>
    <w:sig w:usb0="00000007" w:usb1="00000000" w:usb2="00000000" w:usb3="00000000" w:csb0="00000093" w:csb1="00000000"/>
  </w:font>
  <w:font w:name="Ancizar Sans">
    <w:altName w:val="Arial"/>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19D" w14:textId="6A7B872A" w:rsidR="007E042D" w:rsidRPr="003D56D0" w:rsidRDefault="007E042D" w:rsidP="003D56D0">
    <w:pPr>
      <w:pStyle w:val="Piedepgina"/>
    </w:pPr>
    <w:r>
      <w:t>Informe Reunión CNO 5</w:t>
    </w:r>
    <w:r w:rsidR="003C7970">
      <w:t>5</w:t>
    </w:r>
    <w:r w:rsidR="002578D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80098" w14:textId="77777777" w:rsidR="0048277A" w:rsidRDefault="0048277A">
      <w:r>
        <w:separator/>
      </w:r>
    </w:p>
  </w:footnote>
  <w:footnote w:type="continuationSeparator" w:id="0">
    <w:p w14:paraId="23316397" w14:textId="77777777" w:rsidR="0048277A" w:rsidRDefault="00482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E75287C" w:rsidR="007E042D" w:rsidRDefault="007E042D">
    <w:pPr>
      <w:pStyle w:val="Encabezado"/>
      <w:tabs>
        <w:tab w:val="center" w:pos="4420"/>
        <w:tab w:val="left" w:pos="7180"/>
      </w:tabs>
      <w:rPr>
        <w:b/>
        <w:sz w:val="40"/>
        <w:lang w:val="es-MX"/>
      </w:rPr>
    </w:pPr>
    <w:r>
      <w:rPr>
        <w:b/>
        <w:sz w:val="40"/>
        <w:lang w:val="es-MX"/>
      </w:rPr>
      <w:tab/>
    </w:r>
    <w:r w:rsidRPr="00C12902">
      <w:rPr>
        <w:noProof/>
        <w:lang w:val="es-ES"/>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7E042D" w:rsidRPr="00B23F7B" w:rsidRDefault="007E042D" w:rsidP="00B23F7B">
    <w:pPr>
      <w:pStyle w:val="Encabezado"/>
      <w:tabs>
        <w:tab w:val="clear" w:pos="4252"/>
        <w:tab w:val="clear" w:pos="8504"/>
        <w:tab w:val="center" w:pos="4419"/>
      </w:tabs>
      <w:rPr>
        <w:b/>
        <w:sz w:val="40"/>
        <w:lang w:val="es-MX"/>
      </w:rPr>
    </w:pPr>
    <w:r>
      <w:rPr>
        <w:b/>
        <w:noProof/>
        <w:sz w:val="40"/>
        <w:lang w:val="es-ES"/>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F203" id="Line 1" o:spid="_x0000_s1026" style="position:absolute;flip:y;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" o:allowincell="f"/>
          </w:pict>
        </mc:Fallback>
      </mc:AlternateContent>
    </w:r>
    <w:r>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3269"/>
    <w:multiLevelType w:val="hybridMultilevel"/>
    <w:tmpl w:val="62200586"/>
    <w:lvl w:ilvl="0" w:tplc="99BC660C">
      <w:start w:val="1"/>
      <w:numFmt w:val="bullet"/>
      <w:lvlText w:val="-"/>
      <w:lvlJc w:val="left"/>
      <w:pPr>
        <w:ind w:left="2484" w:hanging="360"/>
      </w:pPr>
      <w:rPr>
        <w:rFonts w:ascii="Verdana" w:eastAsia="Times New Roman" w:hAnsi="Verdana" w:cs="PTSans-Regular" w:hint="default"/>
      </w:rPr>
    </w:lvl>
    <w:lvl w:ilvl="1" w:tplc="040A0003" w:tentative="1">
      <w:start w:val="1"/>
      <w:numFmt w:val="bullet"/>
      <w:lvlText w:val="o"/>
      <w:lvlJc w:val="left"/>
      <w:pPr>
        <w:ind w:left="3204" w:hanging="360"/>
      </w:pPr>
      <w:rPr>
        <w:rFonts w:ascii="Courier New" w:hAnsi="Courier New" w:cs="Courier New" w:hint="default"/>
      </w:rPr>
    </w:lvl>
    <w:lvl w:ilvl="2" w:tplc="040A0005" w:tentative="1">
      <w:start w:val="1"/>
      <w:numFmt w:val="bullet"/>
      <w:lvlText w:val=""/>
      <w:lvlJc w:val="left"/>
      <w:pPr>
        <w:ind w:left="3924" w:hanging="360"/>
      </w:pPr>
      <w:rPr>
        <w:rFonts w:ascii="Wingdings" w:hAnsi="Wingdings" w:hint="default"/>
      </w:rPr>
    </w:lvl>
    <w:lvl w:ilvl="3" w:tplc="040A0001" w:tentative="1">
      <w:start w:val="1"/>
      <w:numFmt w:val="bullet"/>
      <w:lvlText w:val=""/>
      <w:lvlJc w:val="left"/>
      <w:pPr>
        <w:ind w:left="4644" w:hanging="360"/>
      </w:pPr>
      <w:rPr>
        <w:rFonts w:ascii="Symbol" w:hAnsi="Symbol" w:hint="default"/>
      </w:rPr>
    </w:lvl>
    <w:lvl w:ilvl="4" w:tplc="040A0003" w:tentative="1">
      <w:start w:val="1"/>
      <w:numFmt w:val="bullet"/>
      <w:lvlText w:val="o"/>
      <w:lvlJc w:val="left"/>
      <w:pPr>
        <w:ind w:left="5364" w:hanging="360"/>
      </w:pPr>
      <w:rPr>
        <w:rFonts w:ascii="Courier New" w:hAnsi="Courier New" w:cs="Courier New" w:hint="default"/>
      </w:rPr>
    </w:lvl>
    <w:lvl w:ilvl="5" w:tplc="040A0005" w:tentative="1">
      <w:start w:val="1"/>
      <w:numFmt w:val="bullet"/>
      <w:lvlText w:val=""/>
      <w:lvlJc w:val="left"/>
      <w:pPr>
        <w:ind w:left="6084" w:hanging="360"/>
      </w:pPr>
      <w:rPr>
        <w:rFonts w:ascii="Wingdings" w:hAnsi="Wingdings" w:hint="default"/>
      </w:rPr>
    </w:lvl>
    <w:lvl w:ilvl="6" w:tplc="040A0001" w:tentative="1">
      <w:start w:val="1"/>
      <w:numFmt w:val="bullet"/>
      <w:lvlText w:val=""/>
      <w:lvlJc w:val="left"/>
      <w:pPr>
        <w:ind w:left="6804" w:hanging="360"/>
      </w:pPr>
      <w:rPr>
        <w:rFonts w:ascii="Symbol" w:hAnsi="Symbol" w:hint="default"/>
      </w:rPr>
    </w:lvl>
    <w:lvl w:ilvl="7" w:tplc="040A0003" w:tentative="1">
      <w:start w:val="1"/>
      <w:numFmt w:val="bullet"/>
      <w:lvlText w:val="o"/>
      <w:lvlJc w:val="left"/>
      <w:pPr>
        <w:ind w:left="7524" w:hanging="360"/>
      </w:pPr>
      <w:rPr>
        <w:rFonts w:ascii="Courier New" w:hAnsi="Courier New" w:cs="Courier New" w:hint="default"/>
      </w:rPr>
    </w:lvl>
    <w:lvl w:ilvl="8" w:tplc="040A0005" w:tentative="1">
      <w:start w:val="1"/>
      <w:numFmt w:val="bullet"/>
      <w:lvlText w:val=""/>
      <w:lvlJc w:val="left"/>
      <w:pPr>
        <w:ind w:left="8244" w:hanging="360"/>
      </w:pPr>
      <w:rPr>
        <w:rFonts w:ascii="Wingdings" w:hAnsi="Wingdings" w:hint="default"/>
      </w:rPr>
    </w:lvl>
  </w:abstractNum>
  <w:abstractNum w:abstractNumId="1" w15:restartNumberingAfterBreak="0">
    <w:nsid w:val="06D005BE"/>
    <w:multiLevelType w:val="hybridMultilevel"/>
    <w:tmpl w:val="CDF6DC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9D17C6"/>
    <w:multiLevelType w:val="hybridMultilevel"/>
    <w:tmpl w:val="56D0D8DC"/>
    <w:lvl w:ilvl="0" w:tplc="C30C44D0">
      <w:numFmt w:val="bullet"/>
      <w:lvlText w:val="-"/>
      <w:lvlJc w:val="left"/>
      <w:pPr>
        <w:ind w:left="720" w:hanging="360"/>
      </w:pPr>
      <w:rPr>
        <w:rFonts w:ascii="Verdana" w:eastAsia="Times New Roman" w:hAnsi="Verdana" w:cs="Cambri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C803A5"/>
    <w:multiLevelType w:val="hybridMultilevel"/>
    <w:tmpl w:val="6ED0C494"/>
    <w:lvl w:ilvl="0" w:tplc="497C8C64">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5" w15:restartNumberingAfterBreak="0">
    <w:nsid w:val="140369ED"/>
    <w:multiLevelType w:val="hybridMultilevel"/>
    <w:tmpl w:val="0BBCA058"/>
    <w:lvl w:ilvl="0" w:tplc="240A000D">
      <w:start w:val="1"/>
      <w:numFmt w:val="bullet"/>
      <w:lvlText w:val=""/>
      <w:lvlJc w:val="left"/>
      <w:pPr>
        <w:ind w:left="1135" w:hanging="360"/>
      </w:pPr>
      <w:rPr>
        <w:rFonts w:ascii="Wingdings" w:hAnsi="Wingdings" w:hint="default"/>
      </w:rPr>
    </w:lvl>
    <w:lvl w:ilvl="1" w:tplc="240A0003" w:tentative="1">
      <w:start w:val="1"/>
      <w:numFmt w:val="bullet"/>
      <w:lvlText w:val="o"/>
      <w:lvlJc w:val="left"/>
      <w:pPr>
        <w:ind w:left="1855" w:hanging="360"/>
      </w:pPr>
      <w:rPr>
        <w:rFonts w:ascii="Courier New" w:hAnsi="Courier New" w:cs="Courier New" w:hint="default"/>
      </w:rPr>
    </w:lvl>
    <w:lvl w:ilvl="2" w:tplc="240A0005" w:tentative="1">
      <w:start w:val="1"/>
      <w:numFmt w:val="bullet"/>
      <w:lvlText w:val=""/>
      <w:lvlJc w:val="left"/>
      <w:pPr>
        <w:ind w:left="2575" w:hanging="360"/>
      </w:pPr>
      <w:rPr>
        <w:rFonts w:ascii="Wingdings" w:hAnsi="Wingdings" w:hint="default"/>
      </w:rPr>
    </w:lvl>
    <w:lvl w:ilvl="3" w:tplc="240A0001" w:tentative="1">
      <w:start w:val="1"/>
      <w:numFmt w:val="bullet"/>
      <w:lvlText w:val=""/>
      <w:lvlJc w:val="left"/>
      <w:pPr>
        <w:ind w:left="3295" w:hanging="360"/>
      </w:pPr>
      <w:rPr>
        <w:rFonts w:ascii="Symbol" w:hAnsi="Symbol" w:hint="default"/>
      </w:rPr>
    </w:lvl>
    <w:lvl w:ilvl="4" w:tplc="240A0003" w:tentative="1">
      <w:start w:val="1"/>
      <w:numFmt w:val="bullet"/>
      <w:lvlText w:val="o"/>
      <w:lvlJc w:val="left"/>
      <w:pPr>
        <w:ind w:left="4015" w:hanging="360"/>
      </w:pPr>
      <w:rPr>
        <w:rFonts w:ascii="Courier New" w:hAnsi="Courier New" w:cs="Courier New" w:hint="default"/>
      </w:rPr>
    </w:lvl>
    <w:lvl w:ilvl="5" w:tplc="240A0005" w:tentative="1">
      <w:start w:val="1"/>
      <w:numFmt w:val="bullet"/>
      <w:lvlText w:val=""/>
      <w:lvlJc w:val="left"/>
      <w:pPr>
        <w:ind w:left="4735" w:hanging="360"/>
      </w:pPr>
      <w:rPr>
        <w:rFonts w:ascii="Wingdings" w:hAnsi="Wingdings" w:hint="default"/>
      </w:rPr>
    </w:lvl>
    <w:lvl w:ilvl="6" w:tplc="240A0001" w:tentative="1">
      <w:start w:val="1"/>
      <w:numFmt w:val="bullet"/>
      <w:lvlText w:val=""/>
      <w:lvlJc w:val="left"/>
      <w:pPr>
        <w:ind w:left="5455" w:hanging="360"/>
      </w:pPr>
      <w:rPr>
        <w:rFonts w:ascii="Symbol" w:hAnsi="Symbol" w:hint="default"/>
      </w:rPr>
    </w:lvl>
    <w:lvl w:ilvl="7" w:tplc="240A0003" w:tentative="1">
      <w:start w:val="1"/>
      <w:numFmt w:val="bullet"/>
      <w:lvlText w:val="o"/>
      <w:lvlJc w:val="left"/>
      <w:pPr>
        <w:ind w:left="6175" w:hanging="360"/>
      </w:pPr>
      <w:rPr>
        <w:rFonts w:ascii="Courier New" w:hAnsi="Courier New" w:cs="Courier New" w:hint="default"/>
      </w:rPr>
    </w:lvl>
    <w:lvl w:ilvl="8" w:tplc="240A0005" w:tentative="1">
      <w:start w:val="1"/>
      <w:numFmt w:val="bullet"/>
      <w:lvlText w:val=""/>
      <w:lvlJc w:val="left"/>
      <w:pPr>
        <w:ind w:left="6895" w:hanging="360"/>
      </w:pPr>
      <w:rPr>
        <w:rFonts w:ascii="Wingdings" w:hAnsi="Wingdings" w:hint="default"/>
      </w:rPr>
    </w:lvl>
  </w:abstractNum>
  <w:abstractNum w:abstractNumId="6" w15:restartNumberingAfterBreak="0">
    <w:nsid w:val="14D609EA"/>
    <w:multiLevelType w:val="hybridMultilevel"/>
    <w:tmpl w:val="0D0606E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51F7B4B"/>
    <w:multiLevelType w:val="hybridMultilevel"/>
    <w:tmpl w:val="5EBAA27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159E74E6"/>
    <w:multiLevelType w:val="hybridMultilevel"/>
    <w:tmpl w:val="BB542BD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606098B"/>
    <w:multiLevelType w:val="hybridMultilevel"/>
    <w:tmpl w:val="FECA4E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EC7F2B"/>
    <w:multiLevelType w:val="hybridMultilevel"/>
    <w:tmpl w:val="B1F4503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92E407D"/>
    <w:multiLevelType w:val="hybridMultilevel"/>
    <w:tmpl w:val="660AE916"/>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1A987E76"/>
    <w:multiLevelType w:val="hybridMultilevel"/>
    <w:tmpl w:val="B1B647D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D4492C"/>
    <w:multiLevelType w:val="hybridMultilevel"/>
    <w:tmpl w:val="7DB4DC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1EED1010"/>
    <w:multiLevelType w:val="hybridMultilevel"/>
    <w:tmpl w:val="124C6F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0116962"/>
    <w:multiLevelType w:val="hybridMultilevel"/>
    <w:tmpl w:val="BAD285FE"/>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04B114F"/>
    <w:multiLevelType w:val="hybridMultilevel"/>
    <w:tmpl w:val="606EC43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0923186"/>
    <w:multiLevelType w:val="hybridMultilevel"/>
    <w:tmpl w:val="5CA82CB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23007B35"/>
    <w:multiLevelType w:val="hybridMultilevel"/>
    <w:tmpl w:val="10E8F044"/>
    <w:lvl w:ilvl="0" w:tplc="E3109E4A">
      <w:numFmt w:val="bullet"/>
      <w:lvlText w:val="-"/>
      <w:lvlJc w:val="left"/>
      <w:pPr>
        <w:ind w:left="1080" w:hanging="360"/>
      </w:pPr>
      <w:rPr>
        <w:rFonts w:ascii="Verdana" w:eastAsia="Times New Roman" w:hAnsi="Verdana" w:cs="PTSans-Regular"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105D37"/>
    <w:multiLevelType w:val="hybridMultilevel"/>
    <w:tmpl w:val="CA1E7262"/>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A4558E8"/>
    <w:multiLevelType w:val="hybridMultilevel"/>
    <w:tmpl w:val="0D6073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ACF70D0"/>
    <w:multiLevelType w:val="hybridMultilevel"/>
    <w:tmpl w:val="63728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21F7B70"/>
    <w:multiLevelType w:val="hybridMultilevel"/>
    <w:tmpl w:val="B470C846"/>
    <w:lvl w:ilvl="0" w:tplc="CA9EBD26">
      <w:start w:val="1"/>
      <w:numFmt w:val="decimal"/>
      <w:lvlText w:val="%1."/>
      <w:lvlJc w:val="left"/>
      <w:pPr>
        <w:ind w:left="720" w:hanging="360"/>
      </w:pPr>
      <w:rPr>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4F44046"/>
    <w:multiLevelType w:val="hybridMultilevel"/>
    <w:tmpl w:val="C434B66A"/>
    <w:lvl w:ilvl="0" w:tplc="EF44CCEA">
      <w:numFmt w:val="bullet"/>
      <w:lvlText w:val="-"/>
      <w:lvlJc w:val="left"/>
      <w:pPr>
        <w:ind w:left="720" w:hanging="360"/>
      </w:pPr>
      <w:rPr>
        <w:rFonts w:ascii="Verdana" w:eastAsia="Times New Roman" w:hAnsi="Verdana" w:cs="PTSans-Regular"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E272C1A"/>
    <w:multiLevelType w:val="hybridMultilevel"/>
    <w:tmpl w:val="32B01656"/>
    <w:lvl w:ilvl="0" w:tplc="240A0005">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5" w15:restartNumberingAfterBreak="0">
    <w:nsid w:val="426A1A49"/>
    <w:multiLevelType w:val="hybridMultilevel"/>
    <w:tmpl w:val="22625CFC"/>
    <w:lvl w:ilvl="0" w:tplc="240A000F">
      <w:start w:val="1"/>
      <w:numFmt w:val="decimal"/>
      <w:lvlText w:val="%1."/>
      <w:lvlJc w:val="lef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4AD62EF8"/>
    <w:multiLevelType w:val="hybridMultilevel"/>
    <w:tmpl w:val="D98A29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4E244C"/>
    <w:multiLevelType w:val="hybridMultilevel"/>
    <w:tmpl w:val="E4288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B5F31CD"/>
    <w:multiLevelType w:val="hybridMultilevel"/>
    <w:tmpl w:val="662AD34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4C687E40"/>
    <w:multiLevelType w:val="hybridMultilevel"/>
    <w:tmpl w:val="55203BB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D05044E"/>
    <w:multiLevelType w:val="hybridMultilevel"/>
    <w:tmpl w:val="A0F433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2E44078"/>
    <w:multiLevelType w:val="hybridMultilevel"/>
    <w:tmpl w:val="DEEEDD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3647657"/>
    <w:multiLevelType w:val="hybridMultilevel"/>
    <w:tmpl w:val="6CC88E16"/>
    <w:lvl w:ilvl="0" w:tplc="924ACF3A">
      <w:start w:val="1"/>
      <w:numFmt w:val="decimal"/>
      <w:lvlText w:val="%1."/>
      <w:lvlJc w:val="left"/>
      <w:pPr>
        <w:ind w:left="720" w:hanging="360"/>
      </w:pPr>
      <w:rPr>
        <w:rFonts w:eastAsia="MS PGothic"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45B733E"/>
    <w:multiLevelType w:val="hybridMultilevel"/>
    <w:tmpl w:val="A02EA9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8905AD2"/>
    <w:multiLevelType w:val="hybridMultilevel"/>
    <w:tmpl w:val="DA826258"/>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15:restartNumberingAfterBreak="0">
    <w:nsid w:val="5D6A0719"/>
    <w:multiLevelType w:val="hybridMultilevel"/>
    <w:tmpl w:val="0C2442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EB76DC6"/>
    <w:multiLevelType w:val="hybridMultilevel"/>
    <w:tmpl w:val="202C894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BCF3094"/>
    <w:multiLevelType w:val="hybridMultilevel"/>
    <w:tmpl w:val="B76E90BE"/>
    <w:lvl w:ilvl="0" w:tplc="240A0005">
      <w:start w:val="1"/>
      <w:numFmt w:val="bullet"/>
      <w:lvlText w:val=""/>
      <w:lvlJc w:val="left"/>
      <w:pPr>
        <w:ind w:left="1140" w:hanging="360"/>
      </w:pPr>
      <w:rPr>
        <w:rFonts w:ascii="Wingdings" w:hAnsi="Wingdings"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38" w15:restartNumberingAfterBreak="0">
    <w:nsid w:val="7499644F"/>
    <w:multiLevelType w:val="hybridMultilevel"/>
    <w:tmpl w:val="4552CCC2"/>
    <w:lvl w:ilvl="0" w:tplc="734A419A">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4FA6766"/>
    <w:multiLevelType w:val="hybridMultilevel"/>
    <w:tmpl w:val="0548F98A"/>
    <w:lvl w:ilvl="0" w:tplc="240A0005">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B361D70"/>
    <w:multiLevelType w:val="hybridMultilevel"/>
    <w:tmpl w:val="19EAA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36713E"/>
    <w:multiLevelType w:val="hybridMultilevel"/>
    <w:tmpl w:val="A566A63E"/>
    <w:lvl w:ilvl="0" w:tplc="47829C3E">
      <w:numFmt w:val="bullet"/>
      <w:lvlText w:val="-"/>
      <w:lvlJc w:val="left"/>
      <w:pPr>
        <w:ind w:left="1211" w:hanging="360"/>
      </w:pPr>
      <w:rPr>
        <w:rFonts w:ascii="Verdana" w:eastAsia="Times New Roman" w:hAnsi="Verdana" w:cs="PTSans-Regular"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4"/>
  </w:num>
  <w:num w:numId="2">
    <w:abstractNumId w:val="30"/>
  </w:num>
  <w:num w:numId="3">
    <w:abstractNumId w:val="20"/>
  </w:num>
  <w:num w:numId="4">
    <w:abstractNumId w:val="17"/>
  </w:num>
  <w:num w:numId="5">
    <w:abstractNumId w:val="27"/>
  </w:num>
  <w:num w:numId="6">
    <w:abstractNumId w:val="25"/>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5"/>
  </w:num>
  <w:num w:numId="13">
    <w:abstractNumId w:val="26"/>
  </w:num>
  <w:num w:numId="14">
    <w:abstractNumId w:val="31"/>
  </w:num>
  <w:num w:numId="15">
    <w:abstractNumId w:val="40"/>
  </w:num>
  <w:num w:numId="16">
    <w:abstractNumId w:val="13"/>
  </w:num>
  <w:num w:numId="17">
    <w:abstractNumId w:val="32"/>
  </w:num>
  <w:num w:numId="18">
    <w:abstractNumId w:val="3"/>
  </w:num>
  <w:num w:numId="19">
    <w:abstractNumId w:val="1"/>
  </w:num>
  <w:num w:numId="20">
    <w:abstractNumId w:val="39"/>
  </w:num>
  <w:num w:numId="21">
    <w:abstractNumId w:val="19"/>
  </w:num>
  <w:num w:numId="22">
    <w:abstractNumId w:val="9"/>
  </w:num>
  <w:num w:numId="23">
    <w:abstractNumId w:val="41"/>
  </w:num>
  <w:num w:numId="24">
    <w:abstractNumId w:val="10"/>
  </w:num>
  <w:num w:numId="25">
    <w:abstractNumId w:val="16"/>
  </w:num>
  <w:num w:numId="26">
    <w:abstractNumId w:val="35"/>
  </w:num>
  <w:num w:numId="27">
    <w:abstractNumId w:val="2"/>
  </w:num>
  <w:num w:numId="28">
    <w:abstractNumId w:val="7"/>
  </w:num>
  <w:num w:numId="29">
    <w:abstractNumId w:val="37"/>
  </w:num>
  <w:num w:numId="30">
    <w:abstractNumId w:val="8"/>
  </w:num>
  <w:num w:numId="31">
    <w:abstractNumId w:val="23"/>
  </w:num>
  <w:num w:numId="32">
    <w:abstractNumId w:val="36"/>
  </w:num>
  <w:num w:numId="33">
    <w:abstractNumId w:val="6"/>
  </w:num>
  <w:num w:numId="34">
    <w:abstractNumId w:val="34"/>
  </w:num>
  <w:num w:numId="35">
    <w:abstractNumId w:val="24"/>
  </w:num>
  <w:num w:numId="36">
    <w:abstractNumId w:val="29"/>
  </w:num>
  <w:num w:numId="37">
    <w:abstractNumId w:val="11"/>
  </w:num>
  <w:num w:numId="38">
    <w:abstractNumId w:val="5"/>
  </w:num>
  <w:num w:numId="39">
    <w:abstractNumId w:val="12"/>
  </w:num>
  <w:num w:numId="40">
    <w:abstractNumId w:val="28"/>
  </w:num>
  <w:num w:numId="41">
    <w:abstractNumId w:val="0"/>
  </w:num>
  <w:num w:numId="42">
    <w:abstractNumId w:val="22"/>
  </w:num>
  <w:num w:numId="43">
    <w:abstractNumId w:val="33"/>
  </w:num>
  <w:num w:numId="44">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82"/>
    <w:rsid w:val="000002D0"/>
    <w:rsid w:val="00000368"/>
    <w:rsid w:val="00001A42"/>
    <w:rsid w:val="00002A5C"/>
    <w:rsid w:val="00002B31"/>
    <w:rsid w:val="00002C24"/>
    <w:rsid w:val="00002F11"/>
    <w:rsid w:val="00003AB9"/>
    <w:rsid w:val="00003F51"/>
    <w:rsid w:val="0000414B"/>
    <w:rsid w:val="000050B5"/>
    <w:rsid w:val="000055F4"/>
    <w:rsid w:val="00006D2A"/>
    <w:rsid w:val="00010529"/>
    <w:rsid w:val="000141A1"/>
    <w:rsid w:val="000146AB"/>
    <w:rsid w:val="000147DB"/>
    <w:rsid w:val="000161B9"/>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236C"/>
    <w:rsid w:val="0003362B"/>
    <w:rsid w:val="00035AC3"/>
    <w:rsid w:val="00035D46"/>
    <w:rsid w:val="0004173B"/>
    <w:rsid w:val="00041EC2"/>
    <w:rsid w:val="000430A7"/>
    <w:rsid w:val="00043249"/>
    <w:rsid w:val="000472EC"/>
    <w:rsid w:val="0004751B"/>
    <w:rsid w:val="00047F90"/>
    <w:rsid w:val="000500A3"/>
    <w:rsid w:val="0005188C"/>
    <w:rsid w:val="00051EFF"/>
    <w:rsid w:val="0005205B"/>
    <w:rsid w:val="0005455C"/>
    <w:rsid w:val="000556BD"/>
    <w:rsid w:val="00055B14"/>
    <w:rsid w:val="00056218"/>
    <w:rsid w:val="00057A83"/>
    <w:rsid w:val="00057E7C"/>
    <w:rsid w:val="00057F27"/>
    <w:rsid w:val="00060E4B"/>
    <w:rsid w:val="00062609"/>
    <w:rsid w:val="00063CFB"/>
    <w:rsid w:val="00064156"/>
    <w:rsid w:val="0006427E"/>
    <w:rsid w:val="00064DE6"/>
    <w:rsid w:val="00065E25"/>
    <w:rsid w:val="00066876"/>
    <w:rsid w:val="00067654"/>
    <w:rsid w:val="000678B5"/>
    <w:rsid w:val="00067C42"/>
    <w:rsid w:val="00072AB2"/>
    <w:rsid w:val="00072D74"/>
    <w:rsid w:val="00073CD2"/>
    <w:rsid w:val="00074D7A"/>
    <w:rsid w:val="00075114"/>
    <w:rsid w:val="00077E1C"/>
    <w:rsid w:val="00080007"/>
    <w:rsid w:val="000805D1"/>
    <w:rsid w:val="00083AC9"/>
    <w:rsid w:val="0008441F"/>
    <w:rsid w:val="000857CE"/>
    <w:rsid w:val="00086091"/>
    <w:rsid w:val="000867D2"/>
    <w:rsid w:val="00086D5A"/>
    <w:rsid w:val="00090DBF"/>
    <w:rsid w:val="00091EE8"/>
    <w:rsid w:val="00092B72"/>
    <w:rsid w:val="00092FED"/>
    <w:rsid w:val="000958F6"/>
    <w:rsid w:val="00095BD5"/>
    <w:rsid w:val="0009624D"/>
    <w:rsid w:val="00096396"/>
    <w:rsid w:val="00097920"/>
    <w:rsid w:val="000A368B"/>
    <w:rsid w:val="000A42D0"/>
    <w:rsid w:val="000A43E5"/>
    <w:rsid w:val="000A491D"/>
    <w:rsid w:val="000A5315"/>
    <w:rsid w:val="000A570E"/>
    <w:rsid w:val="000A5716"/>
    <w:rsid w:val="000A5E29"/>
    <w:rsid w:val="000A664F"/>
    <w:rsid w:val="000A66C1"/>
    <w:rsid w:val="000A7198"/>
    <w:rsid w:val="000A7F18"/>
    <w:rsid w:val="000B099A"/>
    <w:rsid w:val="000B67AE"/>
    <w:rsid w:val="000C1867"/>
    <w:rsid w:val="000C2B35"/>
    <w:rsid w:val="000C31D6"/>
    <w:rsid w:val="000C57BF"/>
    <w:rsid w:val="000C60BE"/>
    <w:rsid w:val="000C6A5D"/>
    <w:rsid w:val="000C79E4"/>
    <w:rsid w:val="000C7DF4"/>
    <w:rsid w:val="000D04B8"/>
    <w:rsid w:val="000D11DB"/>
    <w:rsid w:val="000D1AA2"/>
    <w:rsid w:val="000D285A"/>
    <w:rsid w:val="000D3BCA"/>
    <w:rsid w:val="000D3ED1"/>
    <w:rsid w:val="000D5579"/>
    <w:rsid w:val="000D5DC0"/>
    <w:rsid w:val="000D77C5"/>
    <w:rsid w:val="000D7C46"/>
    <w:rsid w:val="000D7D2A"/>
    <w:rsid w:val="000E0673"/>
    <w:rsid w:val="000E1DD2"/>
    <w:rsid w:val="000E3C44"/>
    <w:rsid w:val="000E412D"/>
    <w:rsid w:val="000E4232"/>
    <w:rsid w:val="000E5D82"/>
    <w:rsid w:val="000E7261"/>
    <w:rsid w:val="000E7AAD"/>
    <w:rsid w:val="000E7B33"/>
    <w:rsid w:val="000F1DC8"/>
    <w:rsid w:val="000F2FB6"/>
    <w:rsid w:val="000F710E"/>
    <w:rsid w:val="000F73CD"/>
    <w:rsid w:val="000F7E5F"/>
    <w:rsid w:val="00100A62"/>
    <w:rsid w:val="00100AE9"/>
    <w:rsid w:val="00102353"/>
    <w:rsid w:val="001024F8"/>
    <w:rsid w:val="001047C7"/>
    <w:rsid w:val="0010567B"/>
    <w:rsid w:val="00105800"/>
    <w:rsid w:val="001059CF"/>
    <w:rsid w:val="00105F87"/>
    <w:rsid w:val="00107D94"/>
    <w:rsid w:val="00110A4B"/>
    <w:rsid w:val="00111FB4"/>
    <w:rsid w:val="001135ED"/>
    <w:rsid w:val="00114D0D"/>
    <w:rsid w:val="0011506A"/>
    <w:rsid w:val="001174DE"/>
    <w:rsid w:val="001206D2"/>
    <w:rsid w:val="00120B71"/>
    <w:rsid w:val="00120C33"/>
    <w:rsid w:val="001218F4"/>
    <w:rsid w:val="00123594"/>
    <w:rsid w:val="00123BA7"/>
    <w:rsid w:val="00124366"/>
    <w:rsid w:val="00124D0B"/>
    <w:rsid w:val="00126BB1"/>
    <w:rsid w:val="001273FD"/>
    <w:rsid w:val="00130BEC"/>
    <w:rsid w:val="00131701"/>
    <w:rsid w:val="00132790"/>
    <w:rsid w:val="00132DA5"/>
    <w:rsid w:val="00133196"/>
    <w:rsid w:val="0013347C"/>
    <w:rsid w:val="001341AC"/>
    <w:rsid w:val="00134A22"/>
    <w:rsid w:val="001356DD"/>
    <w:rsid w:val="00135902"/>
    <w:rsid w:val="00135EB1"/>
    <w:rsid w:val="00136511"/>
    <w:rsid w:val="0013654F"/>
    <w:rsid w:val="001374D4"/>
    <w:rsid w:val="00141A3F"/>
    <w:rsid w:val="00144785"/>
    <w:rsid w:val="00144C0B"/>
    <w:rsid w:val="00144EAF"/>
    <w:rsid w:val="00150013"/>
    <w:rsid w:val="0015033B"/>
    <w:rsid w:val="00150EC8"/>
    <w:rsid w:val="00152C78"/>
    <w:rsid w:val="0015318E"/>
    <w:rsid w:val="00154937"/>
    <w:rsid w:val="00155E45"/>
    <w:rsid w:val="00156144"/>
    <w:rsid w:val="001569D2"/>
    <w:rsid w:val="00156F57"/>
    <w:rsid w:val="00156F89"/>
    <w:rsid w:val="00157319"/>
    <w:rsid w:val="00157A3E"/>
    <w:rsid w:val="001607D8"/>
    <w:rsid w:val="00163780"/>
    <w:rsid w:val="00164037"/>
    <w:rsid w:val="001642E8"/>
    <w:rsid w:val="00165D51"/>
    <w:rsid w:val="001676EE"/>
    <w:rsid w:val="00167D5A"/>
    <w:rsid w:val="00170083"/>
    <w:rsid w:val="0017089D"/>
    <w:rsid w:val="00170B59"/>
    <w:rsid w:val="0017189B"/>
    <w:rsid w:val="00171F50"/>
    <w:rsid w:val="00172130"/>
    <w:rsid w:val="00173163"/>
    <w:rsid w:val="00173584"/>
    <w:rsid w:val="001756FB"/>
    <w:rsid w:val="001762EF"/>
    <w:rsid w:val="00176A52"/>
    <w:rsid w:val="00176CF9"/>
    <w:rsid w:val="00176EED"/>
    <w:rsid w:val="001800C0"/>
    <w:rsid w:val="00182EEA"/>
    <w:rsid w:val="0018416B"/>
    <w:rsid w:val="00185148"/>
    <w:rsid w:val="001857AF"/>
    <w:rsid w:val="00185C02"/>
    <w:rsid w:val="001862E3"/>
    <w:rsid w:val="001918E2"/>
    <w:rsid w:val="001936E3"/>
    <w:rsid w:val="001A0338"/>
    <w:rsid w:val="001A0E60"/>
    <w:rsid w:val="001A25AB"/>
    <w:rsid w:val="001A2B49"/>
    <w:rsid w:val="001A3613"/>
    <w:rsid w:val="001A4B3B"/>
    <w:rsid w:val="001A4D15"/>
    <w:rsid w:val="001A717E"/>
    <w:rsid w:val="001B2A7D"/>
    <w:rsid w:val="001B38D8"/>
    <w:rsid w:val="001C00E2"/>
    <w:rsid w:val="001C2F8F"/>
    <w:rsid w:val="001C31B7"/>
    <w:rsid w:val="001C3E7C"/>
    <w:rsid w:val="001C46C2"/>
    <w:rsid w:val="001C536C"/>
    <w:rsid w:val="001C6B67"/>
    <w:rsid w:val="001C6CE2"/>
    <w:rsid w:val="001D1479"/>
    <w:rsid w:val="001E1646"/>
    <w:rsid w:val="001E1DFE"/>
    <w:rsid w:val="001E2D23"/>
    <w:rsid w:val="001E504E"/>
    <w:rsid w:val="001E5AE6"/>
    <w:rsid w:val="001E7479"/>
    <w:rsid w:val="001F19D3"/>
    <w:rsid w:val="001F1B4A"/>
    <w:rsid w:val="001F2B25"/>
    <w:rsid w:val="001F35A5"/>
    <w:rsid w:val="001F4F11"/>
    <w:rsid w:val="001F57DA"/>
    <w:rsid w:val="001F6104"/>
    <w:rsid w:val="001F6A62"/>
    <w:rsid w:val="002031E5"/>
    <w:rsid w:val="002051D0"/>
    <w:rsid w:val="00206447"/>
    <w:rsid w:val="002073DC"/>
    <w:rsid w:val="00210E22"/>
    <w:rsid w:val="002111B6"/>
    <w:rsid w:val="00211B1F"/>
    <w:rsid w:val="0021279B"/>
    <w:rsid w:val="00212844"/>
    <w:rsid w:val="00213BAD"/>
    <w:rsid w:val="0021412E"/>
    <w:rsid w:val="00214496"/>
    <w:rsid w:val="002158C1"/>
    <w:rsid w:val="00217A4A"/>
    <w:rsid w:val="00224164"/>
    <w:rsid w:val="002244CE"/>
    <w:rsid w:val="0022458E"/>
    <w:rsid w:val="00225B2F"/>
    <w:rsid w:val="00226DA5"/>
    <w:rsid w:val="002277C6"/>
    <w:rsid w:val="00227D1D"/>
    <w:rsid w:val="002305C1"/>
    <w:rsid w:val="00230CA7"/>
    <w:rsid w:val="002310B1"/>
    <w:rsid w:val="002317CF"/>
    <w:rsid w:val="00234790"/>
    <w:rsid w:val="0023532A"/>
    <w:rsid w:val="002371E3"/>
    <w:rsid w:val="0023739F"/>
    <w:rsid w:val="002404E2"/>
    <w:rsid w:val="00242232"/>
    <w:rsid w:val="00242B4C"/>
    <w:rsid w:val="00247DD1"/>
    <w:rsid w:val="00247FDF"/>
    <w:rsid w:val="00253E04"/>
    <w:rsid w:val="00255B89"/>
    <w:rsid w:val="0025626E"/>
    <w:rsid w:val="002578D0"/>
    <w:rsid w:val="00260319"/>
    <w:rsid w:val="002603D5"/>
    <w:rsid w:val="002628DB"/>
    <w:rsid w:val="00263ABD"/>
    <w:rsid w:val="002642C1"/>
    <w:rsid w:val="00265002"/>
    <w:rsid w:val="00266C0E"/>
    <w:rsid w:val="00270F7E"/>
    <w:rsid w:val="00270FEC"/>
    <w:rsid w:val="002764AA"/>
    <w:rsid w:val="002774A6"/>
    <w:rsid w:val="00280DCD"/>
    <w:rsid w:val="00282872"/>
    <w:rsid w:val="002835F8"/>
    <w:rsid w:val="0028403E"/>
    <w:rsid w:val="00284FE2"/>
    <w:rsid w:val="0028655D"/>
    <w:rsid w:val="00290503"/>
    <w:rsid w:val="00290843"/>
    <w:rsid w:val="00290C6C"/>
    <w:rsid w:val="00290F9E"/>
    <w:rsid w:val="00291F19"/>
    <w:rsid w:val="002922E9"/>
    <w:rsid w:val="00294DBE"/>
    <w:rsid w:val="00295157"/>
    <w:rsid w:val="00295250"/>
    <w:rsid w:val="00295A44"/>
    <w:rsid w:val="00295A8E"/>
    <w:rsid w:val="0029666E"/>
    <w:rsid w:val="002972BF"/>
    <w:rsid w:val="002974A8"/>
    <w:rsid w:val="00297858"/>
    <w:rsid w:val="00297DE8"/>
    <w:rsid w:val="002A076E"/>
    <w:rsid w:val="002A0AA4"/>
    <w:rsid w:val="002A0AD2"/>
    <w:rsid w:val="002A1C47"/>
    <w:rsid w:val="002A216D"/>
    <w:rsid w:val="002A4E30"/>
    <w:rsid w:val="002A6213"/>
    <w:rsid w:val="002B2E86"/>
    <w:rsid w:val="002B3BDD"/>
    <w:rsid w:val="002B5BEB"/>
    <w:rsid w:val="002C16EA"/>
    <w:rsid w:val="002C2A3B"/>
    <w:rsid w:val="002C36E5"/>
    <w:rsid w:val="002C497E"/>
    <w:rsid w:val="002C4D46"/>
    <w:rsid w:val="002C5C7C"/>
    <w:rsid w:val="002C691A"/>
    <w:rsid w:val="002D0372"/>
    <w:rsid w:val="002D06FC"/>
    <w:rsid w:val="002D07F0"/>
    <w:rsid w:val="002D24FA"/>
    <w:rsid w:val="002D31E6"/>
    <w:rsid w:val="002D360B"/>
    <w:rsid w:val="002D5C49"/>
    <w:rsid w:val="002D5D8D"/>
    <w:rsid w:val="002D7738"/>
    <w:rsid w:val="002D7FAF"/>
    <w:rsid w:val="002E10C9"/>
    <w:rsid w:val="002E1F7F"/>
    <w:rsid w:val="002E5FAB"/>
    <w:rsid w:val="002F0821"/>
    <w:rsid w:val="002F10F9"/>
    <w:rsid w:val="002F225C"/>
    <w:rsid w:val="002F24BB"/>
    <w:rsid w:val="002F28F4"/>
    <w:rsid w:val="002F3EBE"/>
    <w:rsid w:val="002F432D"/>
    <w:rsid w:val="002F455D"/>
    <w:rsid w:val="002F458B"/>
    <w:rsid w:val="002F47AB"/>
    <w:rsid w:val="002F523A"/>
    <w:rsid w:val="002F73D7"/>
    <w:rsid w:val="002F7E22"/>
    <w:rsid w:val="00300739"/>
    <w:rsid w:val="00300869"/>
    <w:rsid w:val="00300DCE"/>
    <w:rsid w:val="003037F8"/>
    <w:rsid w:val="0030565C"/>
    <w:rsid w:val="0030657A"/>
    <w:rsid w:val="00306819"/>
    <w:rsid w:val="0030698D"/>
    <w:rsid w:val="00306EF4"/>
    <w:rsid w:val="00310530"/>
    <w:rsid w:val="003173E1"/>
    <w:rsid w:val="00321705"/>
    <w:rsid w:val="003265EE"/>
    <w:rsid w:val="00326FA3"/>
    <w:rsid w:val="003270C2"/>
    <w:rsid w:val="003272AD"/>
    <w:rsid w:val="00331490"/>
    <w:rsid w:val="0033179F"/>
    <w:rsid w:val="00332C02"/>
    <w:rsid w:val="00333970"/>
    <w:rsid w:val="00334EBA"/>
    <w:rsid w:val="00334FC3"/>
    <w:rsid w:val="003359B9"/>
    <w:rsid w:val="00335DE4"/>
    <w:rsid w:val="003371B4"/>
    <w:rsid w:val="0034136D"/>
    <w:rsid w:val="00341F32"/>
    <w:rsid w:val="0034253E"/>
    <w:rsid w:val="00342DB0"/>
    <w:rsid w:val="00344A8B"/>
    <w:rsid w:val="00346C9D"/>
    <w:rsid w:val="003479C7"/>
    <w:rsid w:val="00350A11"/>
    <w:rsid w:val="00350E0E"/>
    <w:rsid w:val="00351293"/>
    <w:rsid w:val="00351531"/>
    <w:rsid w:val="00351DAA"/>
    <w:rsid w:val="00351F5C"/>
    <w:rsid w:val="00353A7B"/>
    <w:rsid w:val="003546E9"/>
    <w:rsid w:val="003547F1"/>
    <w:rsid w:val="00354C3E"/>
    <w:rsid w:val="0035504C"/>
    <w:rsid w:val="00356369"/>
    <w:rsid w:val="003573E3"/>
    <w:rsid w:val="00357CB6"/>
    <w:rsid w:val="00360B14"/>
    <w:rsid w:val="00361EBE"/>
    <w:rsid w:val="003624CD"/>
    <w:rsid w:val="003631A7"/>
    <w:rsid w:val="003642C4"/>
    <w:rsid w:val="003645D3"/>
    <w:rsid w:val="0037288D"/>
    <w:rsid w:val="00372ED3"/>
    <w:rsid w:val="00373236"/>
    <w:rsid w:val="00377E5A"/>
    <w:rsid w:val="00377F6F"/>
    <w:rsid w:val="003810E8"/>
    <w:rsid w:val="0038256D"/>
    <w:rsid w:val="003843AC"/>
    <w:rsid w:val="00385FA0"/>
    <w:rsid w:val="00386555"/>
    <w:rsid w:val="00391382"/>
    <w:rsid w:val="003915F0"/>
    <w:rsid w:val="00391A8E"/>
    <w:rsid w:val="00394096"/>
    <w:rsid w:val="0039710B"/>
    <w:rsid w:val="003972E1"/>
    <w:rsid w:val="003A0506"/>
    <w:rsid w:val="003A0F92"/>
    <w:rsid w:val="003A1499"/>
    <w:rsid w:val="003A3383"/>
    <w:rsid w:val="003A3817"/>
    <w:rsid w:val="003A3AB1"/>
    <w:rsid w:val="003A49EE"/>
    <w:rsid w:val="003A5D17"/>
    <w:rsid w:val="003A7ADF"/>
    <w:rsid w:val="003B02C8"/>
    <w:rsid w:val="003B03F4"/>
    <w:rsid w:val="003B0D16"/>
    <w:rsid w:val="003B19B1"/>
    <w:rsid w:val="003B26E1"/>
    <w:rsid w:val="003B2F30"/>
    <w:rsid w:val="003B43B5"/>
    <w:rsid w:val="003B4701"/>
    <w:rsid w:val="003B51C0"/>
    <w:rsid w:val="003B5668"/>
    <w:rsid w:val="003B571C"/>
    <w:rsid w:val="003B5E47"/>
    <w:rsid w:val="003C1465"/>
    <w:rsid w:val="003C1A92"/>
    <w:rsid w:val="003C25EE"/>
    <w:rsid w:val="003C3496"/>
    <w:rsid w:val="003C3846"/>
    <w:rsid w:val="003C507C"/>
    <w:rsid w:val="003C7712"/>
    <w:rsid w:val="003C7970"/>
    <w:rsid w:val="003D0860"/>
    <w:rsid w:val="003D0AF1"/>
    <w:rsid w:val="003D1980"/>
    <w:rsid w:val="003D5281"/>
    <w:rsid w:val="003D56D0"/>
    <w:rsid w:val="003D5855"/>
    <w:rsid w:val="003D730A"/>
    <w:rsid w:val="003E1713"/>
    <w:rsid w:val="003E2FB4"/>
    <w:rsid w:val="003E4AF1"/>
    <w:rsid w:val="003E61BF"/>
    <w:rsid w:val="003E76FC"/>
    <w:rsid w:val="003E7901"/>
    <w:rsid w:val="003F0F5F"/>
    <w:rsid w:val="003F11EF"/>
    <w:rsid w:val="003F16AE"/>
    <w:rsid w:val="003F2C8B"/>
    <w:rsid w:val="003F3C4D"/>
    <w:rsid w:val="003F44D7"/>
    <w:rsid w:val="003F665B"/>
    <w:rsid w:val="003F7378"/>
    <w:rsid w:val="00400174"/>
    <w:rsid w:val="00401628"/>
    <w:rsid w:val="00401794"/>
    <w:rsid w:val="00402A3C"/>
    <w:rsid w:val="004030F7"/>
    <w:rsid w:val="004043DB"/>
    <w:rsid w:val="004061B6"/>
    <w:rsid w:val="00406322"/>
    <w:rsid w:val="00407090"/>
    <w:rsid w:val="004073E7"/>
    <w:rsid w:val="00410287"/>
    <w:rsid w:val="00412741"/>
    <w:rsid w:val="00415757"/>
    <w:rsid w:val="004165AB"/>
    <w:rsid w:val="00416DD2"/>
    <w:rsid w:val="00420001"/>
    <w:rsid w:val="00423704"/>
    <w:rsid w:val="0042373E"/>
    <w:rsid w:val="00423789"/>
    <w:rsid w:val="0042421F"/>
    <w:rsid w:val="00427666"/>
    <w:rsid w:val="00430D1B"/>
    <w:rsid w:val="00431736"/>
    <w:rsid w:val="004348E7"/>
    <w:rsid w:val="00434994"/>
    <w:rsid w:val="00436141"/>
    <w:rsid w:val="0043792A"/>
    <w:rsid w:val="004417C3"/>
    <w:rsid w:val="004423DA"/>
    <w:rsid w:val="00443B7D"/>
    <w:rsid w:val="00444CFE"/>
    <w:rsid w:val="00444E4E"/>
    <w:rsid w:val="0044506A"/>
    <w:rsid w:val="004454E2"/>
    <w:rsid w:val="004462B1"/>
    <w:rsid w:val="00446617"/>
    <w:rsid w:val="00450C9B"/>
    <w:rsid w:val="004513AF"/>
    <w:rsid w:val="004519F3"/>
    <w:rsid w:val="004528C2"/>
    <w:rsid w:val="0045315F"/>
    <w:rsid w:val="00453D54"/>
    <w:rsid w:val="0045507C"/>
    <w:rsid w:val="004555DE"/>
    <w:rsid w:val="00460610"/>
    <w:rsid w:val="00460EB6"/>
    <w:rsid w:val="0046116D"/>
    <w:rsid w:val="0046209F"/>
    <w:rsid w:val="00464DFA"/>
    <w:rsid w:val="00466425"/>
    <w:rsid w:val="004735A0"/>
    <w:rsid w:val="004745D1"/>
    <w:rsid w:val="0047689E"/>
    <w:rsid w:val="0047700F"/>
    <w:rsid w:val="00480817"/>
    <w:rsid w:val="0048104A"/>
    <w:rsid w:val="00481189"/>
    <w:rsid w:val="00481F9A"/>
    <w:rsid w:val="0048277A"/>
    <w:rsid w:val="0048334E"/>
    <w:rsid w:val="00483DBB"/>
    <w:rsid w:val="00487E56"/>
    <w:rsid w:val="00491F45"/>
    <w:rsid w:val="0049262E"/>
    <w:rsid w:val="00493238"/>
    <w:rsid w:val="004967B6"/>
    <w:rsid w:val="004A0F6A"/>
    <w:rsid w:val="004A1DD3"/>
    <w:rsid w:val="004A2125"/>
    <w:rsid w:val="004A25AD"/>
    <w:rsid w:val="004A487E"/>
    <w:rsid w:val="004A5461"/>
    <w:rsid w:val="004A651A"/>
    <w:rsid w:val="004A67F9"/>
    <w:rsid w:val="004B0A1A"/>
    <w:rsid w:val="004B0DEB"/>
    <w:rsid w:val="004B0F03"/>
    <w:rsid w:val="004B31BC"/>
    <w:rsid w:val="004B5A64"/>
    <w:rsid w:val="004B66AC"/>
    <w:rsid w:val="004B72E6"/>
    <w:rsid w:val="004C0348"/>
    <w:rsid w:val="004C11C2"/>
    <w:rsid w:val="004C3071"/>
    <w:rsid w:val="004C3530"/>
    <w:rsid w:val="004C35ED"/>
    <w:rsid w:val="004C3F1D"/>
    <w:rsid w:val="004C63DA"/>
    <w:rsid w:val="004C6824"/>
    <w:rsid w:val="004D0320"/>
    <w:rsid w:val="004D19EF"/>
    <w:rsid w:val="004D37E5"/>
    <w:rsid w:val="004D3D6A"/>
    <w:rsid w:val="004D5770"/>
    <w:rsid w:val="004D5DCA"/>
    <w:rsid w:val="004D7259"/>
    <w:rsid w:val="004D7883"/>
    <w:rsid w:val="004E05BE"/>
    <w:rsid w:val="004E0C74"/>
    <w:rsid w:val="004E2C10"/>
    <w:rsid w:val="004E33EB"/>
    <w:rsid w:val="004E592A"/>
    <w:rsid w:val="004E6CD0"/>
    <w:rsid w:val="004E7B1D"/>
    <w:rsid w:val="004F0377"/>
    <w:rsid w:val="004F1080"/>
    <w:rsid w:val="004F35FB"/>
    <w:rsid w:val="004F38EE"/>
    <w:rsid w:val="004F3D39"/>
    <w:rsid w:val="004F3EA9"/>
    <w:rsid w:val="004F42F9"/>
    <w:rsid w:val="004F59F0"/>
    <w:rsid w:val="004F6184"/>
    <w:rsid w:val="00502069"/>
    <w:rsid w:val="00502183"/>
    <w:rsid w:val="005031A2"/>
    <w:rsid w:val="005033B0"/>
    <w:rsid w:val="00505977"/>
    <w:rsid w:val="00506349"/>
    <w:rsid w:val="00506633"/>
    <w:rsid w:val="005068DB"/>
    <w:rsid w:val="005073F2"/>
    <w:rsid w:val="005105E1"/>
    <w:rsid w:val="005108DC"/>
    <w:rsid w:val="00512B88"/>
    <w:rsid w:val="00513DC4"/>
    <w:rsid w:val="00516C44"/>
    <w:rsid w:val="005177D6"/>
    <w:rsid w:val="005229BB"/>
    <w:rsid w:val="00523F57"/>
    <w:rsid w:val="005264A8"/>
    <w:rsid w:val="00526CE8"/>
    <w:rsid w:val="00530A24"/>
    <w:rsid w:val="00530DFE"/>
    <w:rsid w:val="00531076"/>
    <w:rsid w:val="00531449"/>
    <w:rsid w:val="00533171"/>
    <w:rsid w:val="00533874"/>
    <w:rsid w:val="00534C0E"/>
    <w:rsid w:val="00534CBB"/>
    <w:rsid w:val="00534DBD"/>
    <w:rsid w:val="005359E9"/>
    <w:rsid w:val="005406D4"/>
    <w:rsid w:val="00540DE7"/>
    <w:rsid w:val="005424A9"/>
    <w:rsid w:val="00543AD6"/>
    <w:rsid w:val="00543E7B"/>
    <w:rsid w:val="00546B6B"/>
    <w:rsid w:val="00547FBE"/>
    <w:rsid w:val="005533EB"/>
    <w:rsid w:val="00553EF4"/>
    <w:rsid w:val="005540CB"/>
    <w:rsid w:val="00554E55"/>
    <w:rsid w:val="0055555F"/>
    <w:rsid w:val="005559E6"/>
    <w:rsid w:val="0055660B"/>
    <w:rsid w:val="005575EA"/>
    <w:rsid w:val="005607BD"/>
    <w:rsid w:val="00563E96"/>
    <w:rsid w:val="00564850"/>
    <w:rsid w:val="00565FED"/>
    <w:rsid w:val="00566275"/>
    <w:rsid w:val="00566423"/>
    <w:rsid w:val="00566445"/>
    <w:rsid w:val="005669F3"/>
    <w:rsid w:val="00570088"/>
    <w:rsid w:val="00572889"/>
    <w:rsid w:val="0057296E"/>
    <w:rsid w:val="00574224"/>
    <w:rsid w:val="00574C80"/>
    <w:rsid w:val="005754F7"/>
    <w:rsid w:val="00575E00"/>
    <w:rsid w:val="005802E6"/>
    <w:rsid w:val="00580C1C"/>
    <w:rsid w:val="005814B0"/>
    <w:rsid w:val="0058216E"/>
    <w:rsid w:val="00584B7B"/>
    <w:rsid w:val="00586512"/>
    <w:rsid w:val="00587502"/>
    <w:rsid w:val="00590660"/>
    <w:rsid w:val="005928D2"/>
    <w:rsid w:val="00592E0E"/>
    <w:rsid w:val="00593E05"/>
    <w:rsid w:val="0059594F"/>
    <w:rsid w:val="00595C95"/>
    <w:rsid w:val="005A03BF"/>
    <w:rsid w:val="005A1ECB"/>
    <w:rsid w:val="005A1FCD"/>
    <w:rsid w:val="005A2A01"/>
    <w:rsid w:val="005A2CCA"/>
    <w:rsid w:val="005A36E3"/>
    <w:rsid w:val="005A416D"/>
    <w:rsid w:val="005A4AAB"/>
    <w:rsid w:val="005A4F95"/>
    <w:rsid w:val="005A58F1"/>
    <w:rsid w:val="005A5905"/>
    <w:rsid w:val="005A5D7E"/>
    <w:rsid w:val="005A67CE"/>
    <w:rsid w:val="005A770B"/>
    <w:rsid w:val="005A782D"/>
    <w:rsid w:val="005A78A0"/>
    <w:rsid w:val="005B040D"/>
    <w:rsid w:val="005B1394"/>
    <w:rsid w:val="005B1875"/>
    <w:rsid w:val="005B1CA7"/>
    <w:rsid w:val="005B1D45"/>
    <w:rsid w:val="005B244F"/>
    <w:rsid w:val="005B2C3E"/>
    <w:rsid w:val="005B2CA4"/>
    <w:rsid w:val="005B2D2A"/>
    <w:rsid w:val="005B32B3"/>
    <w:rsid w:val="005B36CD"/>
    <w:rsid w:val="005B4517"/>
    <w:rsid w:val="005B6FD9"/>
    <w:rsid w:val="005C084B"/>
    <w:rsid w:val="005C2779"/>
    <w:rsid w:val="005C3D27"/>
    <w:rsid w:val="005C3D81"/>
    <w:rsid w:val="005C567B"/>
    <w:rsid w:val="005C5745"/>
    <w:rsid w:val="005C5F75"/>
    <w:rsid w:val="005C6EC3"/>
    <w:rsid w:val="005D0B04"/>
    <w:rsid w:val="005D174B"/>
    <w:rsid w:val="005D18E3"/>
    <w:rsid w:val="005D239B"/>
    <w:rsid w:val="005D34E3"/>
    <w:rsid w:val="005D37DE"/>
    <w:rsid w:val="005D3D2A"/>
    <w:rsid w:val="005D4FF6"/>
    <w:rsid w:val="005D6350"/>
    <w:rsid w:val="005D7719"/>
    <w:rsid w:val="005E35C4"/>
    <w:rsid w:val="005E3730"/>
    <w:rsid w:val="005E3EFA"/>
    <w:rsid w:val="005E3F5A"/>
    <w:rsid w:val="005E467B"/>
    <w:rsid w:val="005E486A"/>
    <w:rsid w:val="005E4E85"/>
    <w:rsid w:val="005E6B70"/>
    <w:rsid w:val="005F0507"/>
    <w:rsid w:val="005F082A"/>
    <w:rsid w:val="005F1266"/>
    <w:rsid w:val="005F15AC"/>
    <w:rsid w:val="005F1778"/>
    <w:rsid w:val="005F1D3C"/>
    <w:rsid w:val="00600AFA"/>
    <w:rsid w:val="00600E91"/>
    <w:rsid w:val="00601475"/>
    <w:rsid w:val="006017A2"/>
    <w:rsid w:val="0060215A"/>
    <w:rsid w:val="0060486E"/>
    <w:rsid w:val="00604CB0"/>
    <w:rsid w:val="00605967"/>
    <w:rsid w:val="00607A15"/>
    <w:rsid w:val="00610D1D"/>
    <w:rsid w:val="0061155F"/>
    <w:rsid w:val="00611DFD"/>
    <w:rsid w:val="00613A25"/>
    <w:rsid w:val="00617DE1"/>
    <w:rsid w:val="00620B00"/>
    <w:rsid w:val="00620B91"/>
    <w:rsid w:val="00621D43"/>
    <w:rsid w:val="006234D2"/>
    <w:rsid w:val="0062464F"/>
    <w:rsid w:val="006249B7"/>
    <w:rsid w:val="0062549C"/>
    <w:rsid w:val="00626882"/>
    <w:rsid w:val="006302BB"/>
    <w:rsid w:val="00630FCE"/>
    <w:rsid w:val="00631B29"/>
    <w:rsid w:val="00631C16"/>
    <w:rsid w:val="00635487"/>
    <w:rsid w:val="0064021C"/>
    <w:rsid w:val="006406E3"/>
    <w:rsid w:val="0064316A"/>
    <w:rsid w:val="0064336F"/>
    <w:rsid w:val="006435F7"/>
    <w:rsid w:val="00644B59"/>
    <w:rsid w:val="00647CCF"/>
    <w:rsid w:val="00650542"/>
    <w:rsid w:val="0065054A"/>
    <w:rsid w:val="00650BE6"/>
    <w:rsid w:val="00651B41"/>
    <w:rsid w:val="00652374"/>
    <w:rsid w:val="00653037"/>
    <w:rsid w:val="00654B84"/>
    <w:rsid w:val="00654D06"/>
    <w:rsid w:val="0066018F"/>
    <w:rsid w:val="00662AB8"/>
    <w:rsid w:val="00662AE0"/>
    <w:rsid w:val="006634A1"/>
    <w:rsid w:val="0066442F"/>
    <w:rsid w:val="006644CD"/>
    <w:rsid w:val="00666F78"/>
    <w:rsid w:val="00667077"/>
    <w:rsid w:val="00667B79"/>
    <w:rsid w:val="00667B82"/>
    <w:rsid w:val="0067162B"/>
    <w:rsid w:val="00676E7B"/>
    <w:rsid w:val="00676EDB"/>
    <w:rsid w:val="00682848"/>
    <w:rsid w:val="00683F64"/>
    <w:rsid w:val="0068405D"/>
    <w:rsid w:val="00684186"/>
    <w:rsid w:val="006850EB"/>
    <w:rsid w:val="0068517D"/>
    <w:rsid w:val="006902D2"/>
    <w:rsid w:val="00690445"/>
    <w:rsid w:val="00691788"/>
    <w:rsid w:val="00691A0C"/>
    <w:rsid w:val="00692363"/>
    <w:rsid w:val="00692D1E"/>
    <w:rsid w:val="006931E8"/>
    <w:rsid w:val="0069354E"/>
    <w:rsid w:val="00693AF1"/>
    <w:rsid w:val="00693B9B"/>
    <w:rsid w:val="00696F2C"/>
    <w:rsid w:val="006A0556"/>
    <w:rsid w:val="006A0B04"/>
    <w:rsid w:val="006A108D"/>
    <w:rsid w:val="006A14E7"/>
    <w:rsid w:val="006A2256"/>
    <w:rsid w:val="006A2D11"/>
    <w:rsid w:val="006A31F4"/>
    <w:rsid w:val="006A67F3"/>
    <w:rsid w:val="006A69E9"/>
    <w:rsid w:val="006A6BF2"/>
    <w:rsid w:val="006A78B4"/>
    <w:rsid w:val="006B1E9E"/>
    <w:rsid w:val="006B4218"/>
    <w:rsid w:val="006B42B5"/>
    <w:rsid w:val="006B5280"/>
    <w:rsid w:val="006B5627"/>
    <w:rsid w:val="006B5653"/>
    <w:rsid w:val="006B5DDA"/>
    <w:rsid w:val="006B78DB"/>
    <w:rsid w:val="006B7DCA"/>
    <w:rsid w:val="006C2487"/>
    <w:rsid w:val="006C38AA"/>
    <w:rsid w:val="006C3979"/>
    <w:rsid w:val="006C443E"/>
    <w:rsid w:val="006C4BFE"/>
    <w:rsid w:val="006C7400"/>
    <w:rsid w:val="006C79A8"/>
    <w:rsid w:val="006D0C5E"/>
    <w:rsid w:val="006D12EA"/>
    <w:rsid w:val="006D15F9"/>
    <w:rsid w:val="006D2240"/>
    <w:rsid w:val="006D55C2"/>
    <w:rsid w:val="006D5EF7"/>
    <w:rsid w:val="006D5F5B"/>
    <w:rsid w:val="006D6C1E"/>
    <w:rsid w:val="006D70D7"/>
    <w:rsid w:val="006E1709"/>
    <w:rsid w:val="006E2573"/>
    <w:rsid w:val="006E2FE7"/>
    <w:rsid w:val="006E6742"/>
    <w:rsid w:val="006F0AEA"/>
    <w:rsid w:val="006F1534"/>
    <w:rsid w:val="006F2A11"/>
    <w:rsid w:val="006F4EA9"/>
    <w:rsid w:val="006F698A"/>
    <w:rsid w:val="00701557"/>
    <w:rsid w:val="00701D89"/>
    <w:rsid w:val="007049AC"/>
    <w:rsid w:val="00705CE8"/>
    <w:rsid w:val="00705DE6"/>
    <w:rsid w:val="00710ECB"/>
    <w:rsid w:val="00711F4E"/>
    <w:rsid w:val="00713A21"/>
    <w:rsid w:val="0071589A"/>
    <w:rsid w:val="0071636D"/>
    <w:rsid w:val="0071651D"/>
    <w:rsid w:val="00721F1C"/>
    <w:rsid w:val="0072207F"/>
    <w:rsid w:val="007220A3"/>
    <w:rsid w:val="00723309"/>
    <w:rsid w:val="00725C5C"/>
    <w:rsid w:val="00726817"/>
    <w:rsid w:val="0072703E"/>
    <w:rsid w:val="007304F0"/>
    <w:rsid w:val="00730694"/>
    <w:rsid w:val="00730D3A"/>
    <w:rsid w:val="007316B2"/>
    <w:rsid w:val="00731ECB"/>
    <w:rsid w:val="007331C5"/>
    <w:rsid w:val="007335D5"/>
    <w:rsid w:val="00733EAA"/>
    <w:rsid w:val="007354F8"/>
    <w:rsid w:val="007376AE"/>
    <w:rsid w:val="00741259"/>
    <w:rsid w:val="00744A4E"/>
    <w:rsid w:val="00745031"/>
    <w:rsid w:val="007450DE"/>
    <w:rsid w:val="00745D68"/>
    <w:rsid w:val="00746CAE"/>
    <w:rsid w:val="00746F8D"/>
    <w:rsid w:val="00747762"/>
    <w:rsid w:val="007530CF"/>
    <w:rsid w:val="007534B1"/>
    <w:rsid w:val="00753968"/>
    <w:rsid w:val="00753DEB"/>
    <w:rsid w:val="00754EBB"/>
    <w:rsid w:val="00754FF8"/>
    <w:rsid w:val="0075588F"/>
    <w:rsid w:val="007565F2"/>
    <w:rsid w:val="00756993"/>
    <w:rsid w:val="00762652"/>
    <w:rsid w:val="007631A9"/>
    <w:rsid w:val="00763EEA"/>
    <w:rsid w:val="00766B6B"/>
    <w:rsid w:val="00767E15"/>
    <w:rsid w:val="007759C5"/>
    <w:rsid w:val="007803D0"/>
    <w:rsid w:val="007807AA"/>
    <w:rsid w:val="007809C4"/>
    <w:rsid w:val="00784BB8"/>
    <w:rsid w:val="00784BD5"/>
    <w:rsid w:val="00784CE5"/>
    <w:rsid w:val="00784D9D"/>
    <w:rsid w:val="00785C17"/>
    <w:rsid w:val="00787221"/>
    <w:rsid w:val="00787EFE"/>
    <w:rsid w:val="00791BB5"/>
    <w:rsid w:val="0079412E"/>
    <w:rsid w:val="0079461A"/>
    <w:rsid w:val="007958E6"/>
    <w:rsid w:val="00797A2A"/>
    <w:rsid w:val="007A2F90"/>
    <w:rsid w:val="007A3316"/>
    <w:rsid w:val="007A3DFF"/>
    <w:rsid w:val="007A527E"/>
    <w:rsid w:val="007A58FC"/>
    <w:rsid w:val="007B000C"/>
    <w:rsid w:val="007B1846"/>
    <w:rsid w:val="007B2786"/>
    <w:rsid w:val="007B362B"/>
    <w:rsid w:val="007B4463"/>
    <w:rsid w:val="007B4B61"/>
    <w:rsid w:val="007B5258"/>
    <w:rsid w:val="007B7DD4"/>
    <w:rsid w:val="007C0C2D"/>
    <w:rsid w:val="007C1F6A"/>
    <w:rsid w:val="007C3405"/>
    <w:rsid w:val="007C4A84"/>
    <w:rsid w:val="007C52D7"/>
    <w:rsid w:val="007D41AC"/>
    <w:rsid w:val="007D4EEF"/>
    <w:rsid w:val="007E042D"/>
    <w:rsid w:val="007E0AD9"/>
    <w:rsid w:val="007E4AE0"/>
    <w:rsid w:val="007E5121"/>
    <w:rsid w:val="007E7E68"/>
    <w:rsid w:val="007F0BC7"/>
    <w:rsid w:val="007F2303"/>
    <w:rsid w:val="007F2666"/>
    <w:rsid w:val="007F26CC"/>
    <w:rsid w:val="007F2AFC"/>
    <w:rsid w:val="007F3841"/>
    <w:rsid w:val="007F54B5"/>
    <w:rsid w:val="007F5EE4"/>
    <w:rsid w:val="007F72B2"/>
    <w:rsid w:val="00801983"/>
    <w:rsid w:val="00802352"/>
    <w:rsid w:val="008039EF"/>
    <w:rsid w:val="00804E70"/>
    <w:rsid w:val="00805173"/>
    <w:rsid w:val="008051A8"/>
    <w:rsid w:val="0080686D"/>
    <w:rsid w:val="00806FB4"/>
    <w:rsid w:val="00812360"/>
    <w:rsid w:val="0081423B"/>
    <w:rsid w:val="00814E14"/>
    <w:rsid w:val="008161D2"/>
    <w:rsid w:val="00816E16"/>
    <w:rsid w:val="00821FD2"/>
    <w:rsid w:val="00822985"/>
    <w:rsid w:val="008232E3"/>
    <w:rsid w:val="00823D2F"/>
    <w:rsid w:val="00825543"/>
    <w:rsid w:val="00825AD5"/>
    <w:rsid w:val="008262AE"/>
    <w:rsid w:val="0082634B"/>
    <w:rsid w:val="008269FE"/>
    <w:rsid w:val="00826F8D"/>
    <w:rsid w:val="00827E97"/>
    <w:rsid w:val="00830896"/>
    <w:rsid w:val="008327DB"/>
    <w:rsid w:val="00833461"/>
    <w:rsid w:val="008339F8"/>
    <w:rsid w:val="00835E8C"/>
    <w:rsid w:val="00836004"/>
    <w:rsid w:val="008366A1"/>
    <w:rsid w:val="00841A6C"/>
    <w:rsid w:val="008436AE"/>
    <w:rsid w:val="00843E1A"/>
    <w:rsid w:val="0084443C"/>
    <w:rsid w:val="00845803"/>
    <w:rsid w:val="008502B7"/>
    <w:rsid w:val="0085382C"/>
    <w:rsid w:val="00855783"/>
    <w:rsid w:val="00856567"/>
    <w:rsid w:val="008572AB"/>
    <w:rsid w:val="0085756E"/>
    <w:rsid w:val="008604A8"/>
    <w:rsid w:val="008616C9"/>
    <w:rsid w:val="0086536E"/>
    <w:rsid w:val="00866C2B"/>
    <w:rsid w:val="00867E41"/>
    <w:rsid w:val="00870A3A"/>
    <w:rsid w:val="00872258"/>
    <w:rsid w:val="00875313"/>
    <w:rsid w:val="008756D6"/>
    <w:rsid w:val="00875EA3"/>
    <w:rsid w:val="00877D26"/>
    <w:rsid w:val="00880211"/>
    <w:rsid w:val="008809A3"/>
    <w:rsid w:val="00882BA5"/>
    <w:rsid w:val="00883754"/>
    <w:rsid w:val="00883F18"/>
    <w:rsid w:val="008857DD"/>
    <w:rsid w:val="00885A22"/>
    <w:rsid w:val="00886B23"/>
    <w:rsid w:val="00886B87"/>
    <w:rsid w:val="00891967"/>
    <w:rsid w:val="00891AA2"/>
    <w:rsid w:val="00891FA2"/>
    <w:rsid w:val="00892612"/>
    <w:rsid w:val="00892734"/>
    <w:rsid w:val="0089316F"/>
    <w:rsid w:val="008931B0"/>
    <w:rsid w:val="00894C99"/>
    <w:rsid w:val="00894D7D"/>
    <w:rsid w:val="00896FAC"/>
    <w:rsid w:val="00897D35"/>
    <w:rsid w:val="008A112D"/>
    <w:rsid w:val="008A17F9"/>
    <w:rsid w:val="008A1D10"/>
    <w:rsid w:val="008A1DD8"/>
    <w:rsid w:val="008A2464"/>
    <w:rsid w:val="008A361B"/>
    <w:rsid w:val="008A553C"/>
    <w:rsid w:val="008A5DFA"/>
    <w:rsid w:val="008A6DCB"/>
    <w:rsid w:val="008A7DAF"/>
    <w:rsid w:val="008B114D"/>
    <w:rsid w:val="008B4224"/>
    <w:rsid w:val="008B4390"/>
    <w:rsid w:val="008B4806"/>
    <w:rsid w:val="008B631E"/>
    <w:rsid w:val="008B6F28"/>
    <w:rsid w:val="008C097D"/>
    <w:rsid w:val="008C0FBE"/>
    <w:rsid w:val="008C1367"/>
    <w:rsid w:val="008C303F"/>
    <w:rsid w:val="008C50F0"/>
    <w:rsid w:val="008C6701"/>
    <w:rsid w:val="008C67B0"/>
    <w:rsid w:val="008C6E4E"/>
    <w:rsid w:val="008D0755"/>
    <w:rsid w:val="008D0B58"/>
    <w:rsid w:val="008D2BC5"/>
    <w:rsid w:val="008D3ABC"/>
    <w:rsid w:val="008D4240"/>
    <w:rsid w:val="008D45CD"/>
    <w:rsid w:val="008D4CE2"/>
    <w:rsid w:val="008D5A46"/>
    <w:rsid w:val="008D731E"/>
    <w:rsid w:val="008E04E1"/>
    <w:rsid w:val="008E1786"/>
    <w:rsid w:val="008E1B90"/>
    <w:rsid w:val="008E22A2"/>
    <w:rsid w:val="008E2A9B"/>
    <w:rsid w:val="008E32E9"/>
    <w:rsid w:val="008E3A01"/>
    <w:rsid w:val="008E46BD"/>
    <w:rsid w:val="008E4834"/>
    <w:rsid w:val="008E49E7"/>
    <w:rsid w:val="008E4E7E"/>
    <w:rsid w:val="008E5D31"/>
    <w:rsid w:val="008F1C43"/>
    <w:rsid w:val="008F2964"/>
    <w:rsid w:val="008F2FAB"/>
    <w:rsid w:val="008F5339"/>
    <w:rsid w:val="008F6F85"/>
    <w:rsid w:val="008F7EFB"/>
    <w:rsid w:val="009014D7"/>
    <w:rsid w:val="00901B52"/>
    <w:rsid w:val="009027BE"/>
    <w:rsid w:val="0090529E"/>
    <w:rsid w:val="0090538F"/>
    <w:rsid w:val="009057FF"/>
    <w:rsid w:val="00905F39"/>
    <w:rsid w:val="00906CB9"/>
    <w:rsid w:val="00911592"/>
    <w:rsid w:val="00911DBF"/>
    <w:rsid w:val="009121E5"/>
    <w:rsid w:val="009122AE"/>
    <w:rsid w:val="0091398E"/>
    <w:rsid w:val="00915F0E"/>
    <w:rsid w:val="00916941"/>
    <w:rsid w:val="009206E6"/>
    <w:rsid w:val="00920FEC"/>
    <w:rsid w:val="00921407"/>
    <w:rsid w:val="009230F0"/>
    <w:rsid w:val="00926034"/>
    <w:rsid w:val="00931419"/>
    <w:rsid w:val="009334C4"/>
    <w:rsid w:val="0093417E"/>
    <w:rsid w:val="00936049"/>
    <w:rsid w:val="00937910"/>
    <w:rsid w:val="009401D9"/>
    <w:rsid w:val="00940497"/>
    <w:rsid w:val="009404B9"/>
    <w:rsid w:val="00940C01"/>
    <w:rsid w:val="00945C7E"/>
    <w:rsid w:val="00946987"/>
    <w:rsid w:val="0095242C"/>
    <w:rsid w:val="0095477A"/>
    <w:rsid w:val="00954E85"/>
    <w:rsid w:val="00955F35"/>
    <w:rsid w:val="00956816"/>
    <w:rsid w:val="0096053F"/>
    <w:rsid w:val="00961748"/>
    <w:rsid w:val="009620E7"/>
    <w:rsid w:val="00963BEF"/>
    <w:rsid w:val="00963FFA"/>
    <w:rsid w:val="00964258"/>
    <w:rsid w:val="00965945"/>
    <w:rsid w:val="0096751A"/>
    <w:rsid w:val="00970D21"/>
    <w:rsid w:val="00971B2C"/>
    <w:rsid w:val="00974723"/>
    <w:rsid w:val="0097613D"/>
    <w:rsid w:val="009761E3"/>
    <w:rsid w:val="00976258"/>
    <w:rsid w:val="0097631C"/>
    <w:rsid w:val="0097678E"/>
    <w:rsid w:val="009776F0"/>
    <w:rsid w:val="00977A58"/>
    <w:rsid w:val="009804D7"/>
    <w:rsid w:val="00980D9E"/>
    <w:rsid w:val="00983166"/>
    <w:rsid w:val="009835D8"/>
    <w:rsid w:val="00984352"/>
    <w:rsid w:val="00985345"/>
    <w:rsid w:val="00985F77"/>
    <w:rsid w:val="00987043"/>
    <w:rsid w:val="00993107"/>
    <w:rsid w:val="00993AEC"/>
    <w:rsid w:val="0099501E"/>
    <w:rsid w:val="00995DAA"/>
    <w:rsid w:val="009962CA"/>
    <w:rsid w:val="00996524"/>
    <w:rsid w:val="009A15B5"/>
    <w:rsid w:val="009A2539"/>
    <w:rsid w:val="009A384A"/>
    <w:rsid w:val="009A390E"/>
    <w:rsid w:val="009A39E4"/>
    <w:rsid w:val="009A511D"/>
    <w:rsid w:val="009A5296"/>
    <w:rsid w:val="009A5B05"/>
    <w:rsid w:val="009A60B9"/>
    <w:rsid w:val="009A74A9"/>
    <w:rsid w:val="009A7821"/>
    <w:rsid w:val="009B122A"/>
    <w:rsid w:val="009B13DC"/>
    <w:rsid w:val="009B176B"/>
    <w:rsid w:val="009B3515"/>
    <w:rsid w:val="009B6895"/>
    <w:rsid w:val="009B76B1"/>
    <w:rsid w:val="009B7C97"/>
    <w:rsid w:val="009C048D"/>
    <w:rsid w:val="009C1E8C"/>
    <w:rsid w:val="009C208E"/>
    <w:rsid w:val="009C2856"/>
    <w:rsid w:val="009C340D"/>
    <w:rsid w:val="009C655A"/>
    <w:rsid w:val="009C68DC"/>
    <w:rsid w:val="009C710C"/>
    <w:rsid w:val="009C771D"/>
    <w:rsid w:val="009C7BF8"/>
    <w:rsid w:val="009D02D9"/>
    <w:rsid w:val="009D0CD1"/>
    <w:rsid w:val="009D1BD1"/>
    <w:rsid w:val="009D3A89"/>
    <w:rsid w:val="009D475F"/>
    <w:rsid w:val="009D75FD"/>
    <w:rsid w:val="009E0F72"/>
    <w:rsid w:val="009E2182"/>
    <w:rsid w:val="009E2943"/>
    <w:rsid w:val="009E3CB7"/>
    <w:rsid w:val="009E671D"/>
    <w:rsid w:val="009E6F86"/>
    <w:rsid w:val="009E79FF"/>
    <w:rsid w:val="009F2F7F"/>
    <w:rsid w:val="009F3E60"/>
    <w:rsid w:val="009F5C94"/>
    <w:rsid w:val="009F68E2"/>
    <w:rsid w:val="009F753F"/>
    <w:rsid w:val="009F7B71"/>
    <w:rsid w:val="00A01C9B"/>
    <w:rsid w:val="00A045EE"/>
    <w:rsid w:val="00A053DC"/>
    <w:rsid w:val="00A0639C"/>
    <w:rsid w:val="00A068F0"/>
    <w:rsid w:val="00A072A9"/>
    <w:rsid w:val="00A0741E"/>
    <w:rsid w:val="00A115F6"/>
    <w:rsid w:val="00A12244"/>
    <w:rsid w:val="00A1256B"/>
    <w:rsid w:val="00A15334"/>
    <w:rsid w:val="00A17BE8"/>
    <w:rsid w:val="00A202C1"/>
    <w:rsid w:val="00A20815"/>
    <w:rsid w:val="00A20F88"/>
    <w:rsid w:val="00A218F7"/>
    <w:rsid w:val="00A22DAF"/>
    <w:rsid w:val="00A23DB6"/>
    <w:rsid w:val="00A31B42"/>
    <w:rsid w:val="00A3261D"/>
    <w:rsid w:val="00A32D30"/>
    <w:rsid w:val="00A34075"/>
    <w:rsid w:val="00A3535D"/>
    <w:rsid w:val="00A35D3B"/>
    <w:rsid w:val="00A35FAC"/>
    <w:rsid w:val="00A36CAD"/>
    <w:rsid w:val="00A36D37"/>
    <w:rsid w:val="00A36F3B"/>
    <w:rsid w:val="00A411A2"/>
    <w:rsid w:val="00A41648"/>
    <w:rsid w:val="00A43A73"/>
    <w:rsid w:val="00A456B5"/>
    <w:rsid w:val="00A45C79"/>
    <w:rsid w:val="00A476B0"/>
    <w:rsid w:val="00A504FD"/>
    <w:rsid w:val="00A50649"/>
    <w:rsid w:val="00A51DAA"/>
    <w:rsid w:val="00A52815"/>
    <w:rsid w:val="00A538CB"/>
    <w:rsid w:val="00A54047"/>
    <w:rsid w:val="00A54490"/>
    <w:rsid w:val="00A606E0"/>
    <w:rsid w:val="00A61189"/>
    <w:rsid w:val="00A62661"/>
    <w:rsid w:val="00A672E3"/>
    <w:rsid w:val="00A67701"/>
    <w:rsid w:val="00A67E40"/>
    <w:rsid w:val="00A712E1"/>
    <w:rsid w:val="00A72C32"/>
    <w:rsid w:val="00A72C4D"/>
    <w:rsid w:val="00A73588"/>
    <w:rsid w:val="00A74A6B"/>
    <w:rsid w:val="00A7553E"/>
    <w:rsid w:val="00A76FF3"/>
    <w:rsid w:val="00A83B83"/>
    <w:rsid w:val="00A84C19"/>
    <w:rsid w:val="00A87927"/>
    <w:rsid w:val="00A9019C"/>
    <w:rsid w:val="00A92C76"/>
    <w:rsid w:val="00A931CC"/>
    <w:rsid w:val="00A94C02"/>
    <w:rsid w:val="00A960BE"/>
    <w:rsid w:val="00A96AF4"/>
    <w:rsid w:val="00AA23AF"/>
    <w:rsid w:val="00AA2C37"/>
    <w:rsid w:val="00AA322C"/>
    <w:rsid w:val="00AA599C"/>
    <w:rsid w:val="00AA5BF4"/>
    <w:rsid w:val="00AA654B"/>
    <w:rsid w:val="00AB0AE3"/>
    <w:rsid w:val="00AB1FAB"/>
    <w:rsid w:val="00AB3189"/>
    <w:rsid w:val="00AB37F8"/>
    <w:rsid w:val="00AB3F3D"/>
    <w:rsid w:val="00AB4EB8"/>
    <w:rsid w:val="00AB57CD"/>
    <w:rsid w:val="00AB5CFF"/>
    <w:rsid w:val="00AB6086"/>
    <w:rsid w:val="00AB68BB"/>
    <w:rsid w:val="00AC1E2B"/>
    <w:rsid w:val="00AC2DC4"/>
    <w:rsid w:val="00AC3669"/>
    <w:rsid w:val="00AC4561"/>
    <w:rsid w:val="00AC486F"/>
    <w:rsid w:val="00AC51BB"/>
    <w:rsid w:val="00AC5462"/>
    <w:rsid w:val="00AD1E2A"/>
    <w:rsid w:val="00AD1F60"/>
    <w:rsid w:val="00AD2BB9"/>
    <w:rsid w:val="00AD4323"/>
    <w:rsid w:val="00AD435B"/>
    <w:rsid w:val="00AD4E55"/>
    <w:rsid w:val="00AD5AD1"/>
    <w:rsid w:val="00AE020F"/>
    <w:rsid w:val="00AE1A77"/>
    <w:rsid w:val="00AE208C"/>
    <w:rsid w:val="00AE2976"/>
    <w:rsid w:val="00AE3349"/>
    <w:rsid w:val="00AE40B1"/>
    <w:rsid w:val="00AE5017"/>
    <w:rsid w:val="00AE5853"/>
    <w:rsid w:val="00AE6771"/>
    <w:rsid w:val="00AE679E"/>
    <w:rsid w:val="00AE7BE4"/>
    <w:rsid w:val="00AF1848"/>
    <w:rsid w:val="00AF3F0B"/>
    <w:rsid w:val="00AF424A"/>
    <w:rsid w:val="00AF452E"/>
    <w:rsid w:val="00AF4738"/>
    <w:rsid w:val="00AF79DD"/>
    <w:rsid w:val="00B00117"/>
    <w:rsid w:val="00B00716"/>
    <w:rsid w:val="00B0459E"/>
    <w:rsid w:val="00B04F88"/>
    <w:rsid w:val="00B05A42"/>
    <w:rsid w:val="00B0639B"/>
    <w:rsid w:val="00B07AFC"/>
    <w:rsid w:val="00B106FA"/>
    <w:rsid w:val="00B11578"/>
    <w:rsid w:val="00B11CFA"/>
    <w:rsid w:val="00B14470"/>
    <w:rsid w:val="00B15A73"/>
    <w:rsid w:val="00B16503"/>
    <w:rsid w:val="00B17E15"/>
    <w:rsid w:val="00B20977"/>
    <w:rsid w:val="00B21067"/>
    <w:rsid w:val="00B2174E"/>
    <w:rsid w:val="00B23224"/>
    <w:rsid w:val="00B23F7B"/>
    <w:rsid w:val="00B24D3D"/>
    <w:rsid w:val="00B24F67"/>
    <w:rsid w:val="00B2523C"/>
    <w:rsid w:val="00B25D36"/>
    <w:rsid w:val="00B27CBF"/>
    <w:rsid w:val="00B307A8"/>
    <w:rsid w:val="00B30BF8"/>
    <w:rsid w:val="00B31076"/>
    <w:rsid w:val="00B33F82"/>
    <w:rsid w:val="00B3501C"/>
    <w:rsid w:val="00B36134"/>
    <w:rsid w:val="00B36629"/>
    <w:rsid w:val="00B3786F"/>
    <w:rsid w:val="00B41128"/>
    <w:rsid w:val="00B4166B"/>
    <w:rsid w:val="00B42247"/>
    <w:rsid w:val="00B42996"/>
    <w:rsid w:val="00B44DCA"/>
    <w:rsid w:val="00B4628D"/>
    <w:rsid w:val="00B50307"/>
    <w:rsid w:val="00B50533"/>
    <w:rsid w:val="00B547E6"/>
    <w:rsid w:val="00B5548E"/>
    <w:rsid w:val="00B6132A"/>
    <w:rsid w:val="00B61E43"/>
    <w:rsid w:val="00B62016"/>
    <w:rsid w:val="00B620C7"/>
    <w:rsid w:val="00B6229E"/>
    <w:rsid w:val="00B62737"/>
    <w:rsid w:val="00B6363F"/>
    <w:rsid w:val="00B6377C"/>
    <w:rsid w:val="00B63E09"/>
    <w:rsid w:val="00B652A9"/>
    <w:rsid w:val="00B665F9"/>
    <w:rsid w:val="00B6724F"/>
    <w:rsid w:val="00B67753"/>
    <w:rsid w:val="00B7073B"/>
    <w:rsid w:val="00B74804"/>
    <w:rsid w:val="00B75DD6"/>
    <w:rsid w:val="00B75F3B"/>
    <w:rsid w:val="00B76951"/>
    <w:rsid w:val="00B76C87"/>
    <w:rsid w:val="00B77B18"/>
    <w:rsid w:val="00B8014B"/>
    <w:rsid w:val="00B81D74"/>
    <w:rsid w:val="00B82AE6"/>
    <w:rsid w:val="00B82C20"/>
    <w:rsid w:val="00B83858"/>
    <w:rsid w:val="00B84BEE"/>
    <w:rsid w:val="00B84ECC"/>
    <w:rsid w:val="00B8553E"/>
    <w:rsid w:val="00B85759"/>
    <w:rsid w:val="00B869DD"/>
    <w:rsid w:val="00B87302"/>
    <w:rsid w:val="00B87B74"/>
    <w:rsid w:val="00B87E39"/>
    <w:rsid w:val="00B91292"/>
    <w:rsid w:val="00B94BE2"/>
    <w:rsid w:val="00B96FF3"/>
    <w:rsid w:val="00B9738D"/>
    <w:rsid w:val="00BA185E"/>
    <w:rsid w:val="00BA2182"/>
    <w:rsid w:val="00BA31E6"/>
    <w:rsid w:val="00BA3A31"/>
    <w:rsid w:val="00BA4AD5"/>
    <w:rsid w:val="00BB3966"/>
    <w:rsid w:val="00BB41DD"/>
    <w:rsid w:val="00BB4513"/>
    <w:rsid w:val="00BB455C"/>
    <w:rsid w:val="00BB4C30"/>
    <w:rsid w:val="00BB5645"/>
    <w:rsid w:val="00BB74B0"/>
    <w:rsid w:val="00BB7BFC"/>
    <w:rsid w:val="00BB7DEA"/>
    <w:rsid w:val="00BC2150"/>
    <w:rsid w:val="00BC7960"/>
    <w:rsid w:val="00BC7DE4"/>
    <w:rsid w:val="00BD083E"/>
    <w:rsid w:val="00BD1236"/>
    <w:rsid w:val="00BD170B"/>
    <w:rsid w:val="00BD3C1C"/>
    <w:rsid w:val="00BD532E"/>
    <w:rsid w:val="00BD66E3"/>
    <w:rsid w:val="00BD6C2E"/>
    <w:rsid w:val="00BE021D"/>
    <w:rsid w:val="00BE0A90"/>
    <w:rsid w:val="00BE226F"/>
    <w:rsid w:val="00BE2CD3"/>
    <w:rsid w:val="00BE3231"/>
    <w:rsid w:val="00BE33F5"/>
    <w:rsid w:val="00BE3B49"/>
    <w:rsid w:val="00BE4248"/>
    <w:rsid w:val="00BE47C0"/>
    <w:rsid w:val="00BE6341"/>
    <w:rsid w:val="00BE6C30"/>
    <w:rsid w:val="00BF0008"/>
    <w:rsid w:val="00BF08A3"/>
    <w:rsid w:val="00BF1DAF"/>
    <w:rsid w:val="00BF211E"/>
    <w:rsid w:val="00BF23EF"/>
    <w:rsid w:val="00BF58BD"/>
    <w:rsid w:val="00C010EB"/>
    <w:rsid w:val="00C02766"/>
    <w:rsid w:val="00C04902"/>
    <w:rsid w:val="00C05E82"/>
    <w:rsid w:val="00C0670A"/>
    <w:rsid w:val="00C07A4F"/>
    <w:rsid w:val="00C10F15"/>
    <w:rsid w:val="00C11D8D"/>
    <w:rsid w:val="00C1310D"/>
    <w:rsid w:val="00C13CA1"/>
    <w:rsid w:val="00C143D9"/>
    <w:rsid w:val="00C14F9A"/>
    <w:rsid w:val="00C15B01"/>
    <w:rsid w:val="00C15FCD"/>
    <w:rsid w:val="00C16E3C"/>
    <w:rsid w:val="00C179DD"/>
    <w:rsid w:val="00C17AA0"/>
    <w:rsid w:val="00C203AB"/>
    <w:rsid w:val="00C20BAB"/>
    <w:rsid w:val="00C22CC1"/>
    <w:rsid w:val="00C248EF"/>
    <w:rsid w:val="00C25187"/>
    <w:rsid w:val="00C26051"/>
    <w:rsid w:val="00C2646D"/>
    <w:rsid w:val="00C27E8E"/>
    <w:rsid w:val="00C321E1"/>
    <w:rsid w:val="00C3527A"/>
    <w:rsid w:val="00C36D7B"/>
    <w:rsid w:val="00C37F38"/>
    <w:rsid w:val="00C41412"/>
    <w:rsid w:val="00C414CD"/>
    <w:rsid w:val="00C4498E"/>
    <w:rsid w:val="00C4569E"/>
    <w:rsid w:val="00C46D55"/>
    <w:rsid w:val="00C4739C"/>
    <w:rsid w:val="00C50523"/>
    <w:rsid w:val="00C50E32"/>
    <w:rsid w:val="00C52AF9"/>
    <w:rsid w:val="00C52C82"/>
    <w:rsid w:val="00C52CE4"/>
    <w:rsid w:val="00C54181"/>
    <w:rsid w:val="00C54422"/>
    <w:rsid w:val="00C574F1"/>
    <w:rsid w:val="00C57995"/>
    <w:rsid w:val="00C602AE"/>
    <w:rsid w:val="00C620D1"/>
    <w:rsid w:val="00C62EF9"/>
    <w:rsid w:val="00C63E82"/>
    <w:rsid w:val="00C65BAF"/>
    <w:rsid w:val="00C66C5B"/>
    <w:rsid w:val="00C70076"/>
    <w:rsid w:val="00C703BF"/>
    <w:rsid w:val="00C70F37"/>
    <w:rsid w:val="00C71A05"/>
    <w:rsid w:val="00C7323C"/>
    <w:rsid w:val="00C733A8"/>
    <w:rsid w:val="00C756B7"/>
    <w:rsid w:val="00C75FB4"/>
    <w:rsid w:val="00C76327"/>
    <w:rsid w:val="00C76B82"/>
    <w:rsid w:val="00C77550"/>
    <w:rsid w:val="00C804AE"/>
    <w:rsid w:val="00C80BC1"/>
    <w:rsid w:val="00C823A7"/>
    <w:rsid w:val="00C834BE"/>
    <w:rsid w:val="00C839C8"/>
    <w:rsid w:val="00C84A24"/>
    <w:rsid w:val="00C8506E"/>
    <w:rsid w:val="00C8550F"/>
    <w:rsid w:val="00C8561F"/>
    <w:rsid w:val="00C85A53"/>
    <w:rsid w:val="00C86FFE"/>
    <w:rsid w:val="00C908A8"/>
    <w:rsid w:val="00C90F9E"/>
    <w:rsid w:val="00C9169B"/>
    <w:rsid w:val="00C9169E"/>
    <w:rsid w:val="00C91F41"/>
    <w:rsid w:val="00C9214D"/>
    <w:rsid w:val="00C94904"/>
    <w:rsid w:val="00C95715"/>
    <w:rsid w:val="00C961A0"/>
    <w:rsid w:val="00C96C65"/>
    <w:rsid w:val="00C97A11"/>
    <w:rsid w:val="00CA09C3"/>
    <w:rsid w:val="00CA13DA"/>
    <w:rsid w:val="00CA1551"/>
    <w:rsid w:val="00CA15A1"/>
    <w:rsid w:val="00CA182D"/>
    <w:rsid w:val="00CA18A3"/>
    <w:rsid w:val="00CA275A"/>
    <w:rsid w:val="00CA2B16"/>
    <w:rsid w:val="00CA4154"/>
    <w:rsid w:val="00CA5FC7"/>
    <w:rsid w:val="00CA74BD"/>
    <w:rsid w:val="00CB1A48"/>
    <w:rsid w:val="00CB2F96"/>
    <w:rsid w:val="00CB30C3"/>
    <w:rsid w:val="00CB3C10"/>
    <w:rsid w:val="00CB4175"/>
    <w:rsid w:val="00CB5B30"/>
    <w:rsid w:val="00CB6F8F"/>
    <w:rsid w:val="00CB725D"/>
    <w:rsid w:val="00CB797E"/>
    <w:rsid w:val="00CC0519"/>
    <w:rsid w:val="00CC15E6"/>
    <w:rsid w:val="00CC226F"/>
    <w:rsid w:val="00CC28E6"/>
    <w:rsid w:val="00CC3DDC"/>
    <w:rsid w:val="00CC3F08"/>
    <w:rsid w:val="00CC478E"/>
    <w:rsid w:val="00CC5D56"/>
    <w:rsid w:val="00CC69CF"/>
    <w:rsid w:val="00CC7B42"/>
    <w:rsid w:val="00CD1175"/>
    <w:rsid w:val="00CD2124"/>
    <w:rsid w:val="00CD2888"/>
    <w:rsid w:val="00CD2F06"/>
    <w:rsid w:val="00CD7196"/>
    <w:rsid w:val="00CE187D"/>
    <w:rsid w:val="00CE1D90"/>
    <w:rsid w:val="00CE22D8"/>
    <w:rsid w:val="00CE3272"/>
    <w:rsid w:val="00CE48A0"/>
    <w:rsid w:val="00CE6166"/>
    <w:rsid w:val="00CE65DB"/>
    <w:rsid w:val="00CE6634"/>
    <w:rsid w:val="00CE714F"/>
    <w:rsid w:val="00CF0B30"/>
    <w:rsid w:val="00CF1854"/>
    <w:rsid w:val="00CF3CD5"/>
    <w:rsid w:val="00CF4108"/>
    <w:rsid w:val="00CF589D"/>
    <w:rsid w:val="00CF64CE"/>
    <w:rsid w:val="00D00FEB"/>
    <w:rsid w:val="00D01C41"/>
    <w:rsid w:val="00D01D05"/>
    <w:rsid w:val="00D02BE2"/>
    <w:rsid w:val="00D056DD"/>
    <w:rsid w:val="00D059A6"/>
    <w:rsid w:val="00D064DA"/>
    <w:rsid w:val="00D06850"/>
    <w:rsid w:val="00D069F9"/>
    <w:rsid w:val="00D06F98"/>
    <w:rsid w:val="00D06FAF"/>
    <w:rsid w:val="00D07130"/>
    <w:rsid w:val="00D07182"/>
    <w:rsid w:val="00D07D65"/>
    <w:rsid w:val="00D07F0B"/>
    <w:rsid w:val="00D11B4E"/>
    <w:rsid w:val="00D128BD"/>
    <w:rsid w:val="00D130B6"/>
    <w:rsid w:val="00D13802"/>
    <w:rsid w:val="00D14E18"/>
    <w:rsid w:val="00D227A5"/>
    <w:rsid w:val="00D23B81"/>
    <w:rsid w:val="00D24B79"/>
    <w:rsid w:val="00D2546F"/>
    <w:rsid w:val="00D277CB"/>
    <w:rsid w:val="00D27968"/>
    <w:rsid w:val="00D30F9A"/>
    <w:rsid w:val="00D32326"/>
    <w:rsid w:val="00D341E9"/>
    <w:rsid w:val="00D35EC9"/>
    <w:rsid w:val="00D439C6"/>
    <w:rsid w:val="00D45ACE"/>
    <w:rsid w:val="00D46891"/>
    <w:rsid w:val="00D46CA1"/>
    <w:rsid w:val="00D47258"/>
    <w:rsid w:val="00D479E6"/>
    <w:rsid w:val="00D505A5"/>
    <w:rsid w:val="00D60502"/>
    <w:rsid w:val="00D60A54"/>
    <w:rsid w:val="00D61BEF"/>
    <w:rsid w:val="00D62631"/>
    <w:rsid w:val="00D63031"/>
    <w:rsid w:val="00D63939"/>
    <w:rsid w:val="00D63F93"/>
    <w:rsid w:val="00D65448"/>
    <w:rsid w:val="00D666DA"/>
    <w:rsid w:val="00D6684D"/>
    <w:rsid w:val="00D66FF0"/>
    <w:rsid w:val="00D70382"/>
    <w:rsid w:val="00D7509B"/>
    <w:rsid w:val="00D75A20"/>
    <w:rsid w:val="00D76E03"/>
    <w:rsid w:val="00D76F2D"/>
    <w:rsid w:val="00D779E9"/>
    <w:rsid w:val="00D81D74"/>
    <w:rsid w:val="00D82602"/>
    <w:rsid w:val="00D82864"/>
    <w:rsid w:val="00D86E9D"/>
    <w:rsid w:val="00D9018E"/>
    <w:rsid w:val="00D9045F"/>
    <w:rsid w:val="00D91562"/>
    <w:rsid w:val="00D91CCB"/>
    <w:rsid w:val="00D921B4"/>
    <w:rsid w:val="00D9221F"/>
    <w:rsid w:val="00D92B3F"/>
    <w:rsid w:val="00D9501A"/>
    <w:rsid w:val="00D951E8"/>
    <w:rsid w:val="00D95A3B"/>
    <w:rsid w:val="00DA0F2B"/>
    <w:rsid w:val="00DA3F61"/>
    <w:rsid w:val="00DA5357"/>
    <w:rsid w:val="00DA5762"/>
    <w:rsid w:val="00DB0DA2"/>
    <w:rsid w:val="00DB1242"/>
    <w:rsid w:val="00DB20B0"/>
    <w:rsid w:val="00DB3AB2"/>
    <w:rsid w:val="00DB3E61"/>
    <w:rsid w:val="00DB4123"/>
    <w:rsid w:val="00DB6253"/>
    <w:rsid w:val="00DB6292"/>
    <w:rsid w:val="00DB7756"/>
    <w:rsid w:val="00DB7C4F"/>
    <w:rsid w:val="00DB7DA7"/>
    <w:rsid w:val="00DC0B31"/>
    <w:rsid w:val="00DC0E2D"/>
    <w:rsid w:val="00DC1292"/>
    <w:rsid w:val="00DC1C6A"/>
    <w:rsid w:val="00DC2741"/>
    <w:rsid w:val="00DC3076"/>
    <w:rsid w:val="00DC5512"/>
    <w:rsid w:val="00DC5623"/>
    <w:rsid w:val="00DC7973"/>
    <w:rsid w:val="00DD1AEA"/>
    <w:rsid w:val="00DD2446"/>
    <w:rsid w:val="00DD26C8"/>
    <w:rsid w:val="00DD3929"/>
    <w:rsid w:val="00DD3BFB"/>
    <w:rsid w:val="00DD4A4E"/>
    <w:rsid w:val="00DD534A"/>
    <w:rsid w:val="00DD5C4A"/>
    <w:rsid w:val="00DD5F69"/>
    <w:rsid w:val="00DD6AE6"/>
    <w:rsid w:val="00DD7081"/>
    <w:rsid w:val="00DD7795"/>
    <w:rsid w:val="00DE043B"/>
    <w:rsid w:val="00DE1827"/>
    <w:rsid w:val="00DE39DA"/>
    <w:rsid w:val="00DE6437"/>
    <w:rsid w:val="00DE6CC1"/>
    <w:rsid w:val="00DE6DF9"/>
    <w:rsid w:val="00DE71DC"/>
    <w:rsid w:val="00DE76B7"/>
    <w:rsid w:val="00DE7F66"/>
    <w:rsid w:val="00DF0794"/>
    <w:rsid w:val="00DF1504"/>
    <w:rsid w:val="00DF4072"/>
    <w:rsid w:val="00DF4379"/>
    <w:rsid w:val="00DF65B9"/>
    <w:rsid w:val="00DF6E87"/>
    <w:rsid w:val="00DF76B6"/>
    <w:rsid w:val="00E000DB"/>
    <w:rsid w:val="00E0023A"/>
    <w:rsid w:val="00E0023E"/>
    <w:rsid w:val="00E00BA0"/>
    <w:rsid w:val="00E0186F"/>
    <w:rsid w:val="00E01C65"/>
    <w:rsid w:val="00E03859"/>
    <w:rsid w:val="00E03EA3"/>
    <w:rsid w:val="00E04D16"/>
    <w:rsid w:val="00E10719"/>
    <w:rsid w:val="00E127A3"/>
    <w:rsid w:val="00E153D8"/>
    <w:rsid w:val="00E2424D"/>
    <w:rsid w:val="00E24DDA"/>
    <w:rsid w:val="00E253AD"/>
    <w:rsid w:val="00E25B4C"/>
    <w:rsid w:val="00E26812"/>
    <w:rsid w:val="00E2726C"/>
    <w:rsid w:val="00E305E7"/>
    <w:rsid w:val="00E306C7"/>
    <w:rsid w:val="00E30BDE"/>
    <w:rsid w:val="00E31D4D"/>
    <w:rsid w:val="00E322D0"/>
    <w:rsid w:val="00E34CEF"/>
    <w:rsid w:val="00E3550A"/>
    <w:rsid w:val="00E36E8F"/>
    <w:rsid w:val="00E417F8"/>
    <w:rsid w:val="00E42DEF"/>
    <w:rsid w:val="00E4353B"/>
    <w:rsid w:val="00E436F3"/>
    <w:rsid w:val="00E43C02"/>
    <w:rsid w:val="00E4551F"/>
    <w:rsid w:val="00E4668E"/>
    <w:rsid w:val="00E505D6"/>
    <w:rsid w:val="00E50A13"/>
    <w:rsid w:val="00E5320E"/>
    <w:rsid w:val="00E53B1C"/>
    <w:rsid w:val="00E56B65"/>
    <w:rsid w:val="00E5765F"/>
    <w:rsid w:val="00E57C41"/>
    <w:rsid w:val="00E60478"/>
    <w:rsid w:val="00E60EC4"/>
    <w:rsid w:val="00E611B8"/>
    <w:rsid w:val="00E61402"/>
    <w:rsid w:val="00E61848"/>
    <w:rsid w:val="00E61861"/>
    <w:rsid w:val="00E64AFE"/>
    <w:rsid w:val="00E65520"/>
    <w:rsid w:val="00E6566D"/>
    <w:rsid w:val="00E65BE5"/>
    <w:rsid w:val="00E667C1"/>
    <w:rsid w:val="00E66853"/>
    <w:rsid w:val="00E67900"/>
    <w:rsid w:val="00E70E3F"/>
    <w:rsid w:val="00E70FCE"/>
    <w:rsid w:val="00E7227D"/>
    <w:rsid w:val="00E7268A"/>
    <w:rsid w:val="00E738F1"/>
    <w:rsid w:val="00E74956"/>
    <w:rsid w:val="00E74F76"/>
    <w:rsid w:val="00E75631"/>
    <w:rsid w:val="00E7703D"/>
    <w:rsid w:val="00E808ED"/>
    <w:rsid w:val="00E815E4"/>
    <w:rsid w:val="00E820BF"/>
    <w:rsid w:val="00E8238F"/>
    <w:rsid w:val="00E842C7"/>
    <w:rsid w:val="00E84D8E"/>
    <w:rsid w:val="00E8529A"/>
    <w:rsid w:val="00E85BFD"/>
    <w:rsid w:val="00E87C5B"/>
    <w:rsid w:val="00E906C9"/>
    <w:rsid w:val="00E93DBD"/>
    <w:rsid w:val="00E94CC0"/>
    <w:rsid w:val="00E94FF9"/>
    <w:rsid w:val="00E954E8"/>
    <w:rsid w:val="00E96D2B"/>
    <w:rsid w:val="00E97801"/>
    <w:rsid w:val="00E97DCB"/>
    <w:rsid w:val="00EA05CC"/>
    <w:rsid w:val="00EA0660"/>
    <w:rsid w:val="00EA09A7"/>
    <w:rsid w:val="00EA11F9"/>
    <w:rsid w:val="00EA1C05"/>
    <w:rsid w:val="00EA1D85"/>
    <w:rsid w:val="00EA21D6"/>
    <w:rsid w:val="00EA238D"/>
    <w:rsid w:val="00EA2A24"/>
    <w:rsid w:val="00EA2F7C"/>
    <w:rsid w:val="00EA35FD"/>
    <w:rsid w:val="00EA45F0"/>
    <w:rsid w:val="00EA5B24"/>
    <w:rsid w:val="00EA6F02"/>
    <w:rsid w:val="00EB1036"/>
    <w:rsid w:val="00EB1504"/>
    <w:rsid w:val="00EB2A87"/>
    <w:rsid w:val="00EB3A44"/>
    <w:rsid w:val="00EB3FB9"/>
    <w:rsid w:val="00EB4348"/>
    <w:rsid w:val="00EB519B"/>
    <w:rsid w:val="00EB7761"/>
    <w:rsid w:val="00EC01BE"/>
    <w:rsid w:val="00EC0EC9"/>
    <w:rsid w:val="00EC11D4"/>
    <w:rsid w:val="00EC1561"/>
    <w:rsid w:val="00EC1785"/>
    <w:rsid w:val="00EC5D10"/>
    <w:rsid w:val="00EC6BE2"/>
    <w:rsid w:val="00ED03ED"/>
    <w:rsid w:val="00ED04F1"/>
    <w:rsid w:val="00ED1D67"/>
    <w:rsid w:val="00ED21A1"/>
    <w:rsid w:val="00ED2403"/>
    <w:rsid w:val="00ED3439"/>
    <w:rsid w:val="00ED533A"/>
    <w:rsid w:val="00ED63C5"/>
    <w:rsid w:val="00ED670B"/>
    <w:rsid w:val="00ED7445"/>
    <w:rsid w:val="00EE0403"/>
    <w:rsid w:val="00EE0E0A"/>
    <w:rsid w:val="00EE17D3"/>
    <w:rsid w:val="00EE1803"/>
    <w:rsid w:val="00EE2307"/>
    <w:rsid w:val="00EE2324"/>
    <w:rsid w:val="00EE27B6"/>
    <w:rsid w:val="00EE41A3"/>
    <w:rsid w:val="00EE55B0"/>
    <w:rsid w:val="00EE5633"/>
    <w:rsid w:val="00EE6D56"/>
    <w:rsid w:val="00EF1011"/>
    <w:rsid w:val="00EF2A46"/>
    <w:rsid w:val="00EF2E2A"/>
    <w:rsid w:val="00EF35FA"/>
    <w:rsid w:val="00EF364F"/>
    <w:rsid w:val="00EF3E14"/>
    <w:rsid w:val="00EF53FC"/>
    <w:rsid w:val="00EF7E18"/>
    <w:rsid w:val="00F0071F"/>
    <w:rsid w:val="00F01D7F"/>
    <w:rsid w:val="00F020A2"/>
    <w:rsid w:val="00F028FF"/>
    <w:rsid w:val="00F02B41"/>
    <w:rsid w:val="00F02C02"/>
    <w:rsid w:val="00F03416"/>
    <w:rsid w:val="00F06C00"/>
    <w:rsid w:val="00F06F45"/>
    <w:rsid w:val="00F071CC"/>
    <w:rsid w:val="00F100F6"/>
    <w:rsid w:val="00F116DF"/>
    <w:rsid w:val="00F12BFC"/>
    <w:rsid w:val="00F133C4"/>
    <w:rsid w:val="00F138B4"/>
    <w:rsid w:val="00F13C53"/>
    <w:rsid w:val="00F14E9A"/>
    <w:rsid w:val="00F14F60"/>
    <w:rsid w:val="00F15BB4"/>
    <w:rsid w:val="00F15C11"/>
    <w:rsid w:val="00F16A1E"/>
    <w:rsid w:val="00F16A88"/>
    <w:rsid w:val="00F226A5"/>
    <w:rsid w:val="00F241E9"/>
    <w:rsid w:val="00F24DCE"/>
    <w:rsid w:val="00F2520C"/>
    <w:rsid w:val="00F253D8"/>
    <w:rsid w:val="00F274B0"/>
    <w:rsid w:val="00F27709"/>
    <w:rsid w:val="00F32345"/>
    <w:rsid w:val="00F32948"/>
    <w:rsid w:val="00F33439"/>
    <w:rsid w:val="00F36C86"/>
    <w:rsid w:val="00F417FE"/>
    <w:rsid w:val="00F42AC5"/>
    <w:rsid w:val="00F43068"/>
    <w:rsid w:val="00F43461"/>
    <w:rsid w:val="00F443EE"/>
    <w:rsid w:val="00F447B7"/>
    <w:rsid w:val="00F46C28"/>
    <w:rsid w:val="00F503DE"/>
    <w:rsid w:val="00F51E02"/>
    <w:rsid w:val="00F53462"/>
    <w:rsid w:val="00F535DD"/>
    <w:rsid w:val="00F53751"/>
    <w:rsid w:val="00F53D61"/>
    <w:rsid w:val="00F54A38"/>
    <w:rsid w:val="00F55004"/>
    <w:rsid w:val="00F559A5"/>
    <w:rsid w:val="00F56345"/>
    <w:rsid w:val="00F60BAD"/>
    <w:rsid w:val="00F67031"/>
    <w:rsid w:val="00F71A95"/>
    <w:rsid w:val="00F7343F"/>
    <w:rsid w:val="00F745BF"/>
    <w:rsid w:val="00F75FAF"/>
    <w:rsid w:val="00F812D6"/>
    <w:rsid w:val="00F820AD"/>
    <w:rsid w:val="00F822DF"/>
    <w:rsid w:val="00F82FC0"/>
    <w:rsid w:val="00F8352F"/>
    <w:rsid w:val="00F92299"/>
    <w:rsid w:val="00F924D4"/>
    <w:rsid w:val="00F92C14"/>
    <w:rsid w:val="00F93D50"/>
    <w:rsid w:val="00F95EDF"/>
    <w:rsid w:val="00F965D9"/>
    <w:rsid w:val="00F97152"/>
    <w:rsid w:val="00FA122A"/>
    <w:rsid w:val="00FA24D6"/>
    <w:rsid w:val="00FA3320"/>
    <w:rsid w:val="00FA3A2B"/>
    <w:rsid w:val="00FA4590"/>
    <w:rsid w:val="00FA4C42"/>
    <w:rsid w:val="00FA5949"/>
    <w:rsid w:val="00FA65A5"/>
    <w:rsid w:val="00FB02C6"/>
    <w:rsid w:val="00FB0FED"/>
    <w:rsid w:val="00FB19E0"/>
    <w:rsid w:val="00FB3B11"/>
    <w:rsid w:val="00FB46F1"/>
    <w:rsid w:val="00FB46FA"/>
    <w:rsid w:val="00FB4AA8"/>
    <w:rsid w:val="00FB4B46"/>
    <w:rsid w:val="00FB4B98"/>
    <w:rsid w:val="00FB4F7F"/>
    <w:rsid w:val="00FB5B4D"/>
    <w:rsid w:val="00FB7AEC"/>
    <w:rsid w:val="00FB7F80"/>
    <w:rsid w:val="00FC03F0"/>
    <w:rsid w:val="00FC09C2"/>
    <w:rsid w:val="00FC28DD"/>
    <w:rsid w:val="00FC609C"/>
    <w:rsid w:val="00FC7285"/>
    <w:rsid w:val="00FC7361"/>
    <w:rsid w:val="00FD11A0"/>
    <w:rsid w:val="00FD183C"/>
    <w:rsid w:val="00FD1966"/>
    <w:rsid w:val="00FD1B85"/>
    <w:rsid w:val="00FD5450"/>
    <w:rsid w:val="00FD59C5"/>
    <w:rsid w:val="00FD6221"/>
    <w:rsid w:val="00FD6570"/>
    <w:rsid w:val="00FD72D9"/>
    <w:rsid w:val="00FD7829"/>
    <w:rsid w:val="00FD7AA4"/>
    <w:rsid w:val="00FE0977"/>
    <w:rsid w:val="00FE1E2E"/>
    <w:rsid w:val="00FE20C7"/>
    <w:rsid w:val="00FE2F58"/>
    <w:rsid w:val="00FE4B17"/>
    <w:rsid w:val="00FF00AE"/>
    <w:rsid w:val="00FF0FC7"/>
    <w:rsid w:val="00FF1229"/>
    <w:rsid w:val="00FF217B"/>
    <w:rsid w:val="00FF24B3"/>
    <w:rsid w:val="00FF55E5"/>
    <w:rsid w:val="00FF5601"/>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F0D85"/>
  <w15:docId w15:val="{78213076-7653-C24A-A74F-F9FF1606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sz w:val="24"/>
      <w:szCs w:val="24"/>
      <w:lang w:val="es-CO"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0500">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194854610">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29412327">
      <w:bodyDiv w:val="1"/>
      <w:marLeft w:val="0"/>
      <w:marRight w:val="0"/>
      <w:marTop w:val="0"/>
      <w:marBottom w:val="0"/>
      <w:divBdr>
        <w:top w:val="none" w:sz="0" w:space="0" w:color="auto"/>
        <w:left w:val="none" w:sz="0" w:space="0" w:color="auto"/>
        <w:bottom w:val="none" w:sz="0" w:space="0" w:color="auto"/>
        <w:right w:val="none" w:sz="0" w:space="0" w:color="auto"/>
      </w:divBdr>
    </w:div>
    <w:div w:id="359474730">
      <w:bodyDiv w:val="1"/>
      <w:marLeft w:val="0"/>
      <w:marRight w:val="0"/>
      <w:marTop w:val="0"/>
      <w:marBottom w:val="0"/>
      <w:divBdr>
        <w:top w:val="none" w:sz="0" w:space="0" w:color="auto"/>
        <w:left w:val="none" w:sz="0" w:space="0" w:color="auto"/>
        <w:bottom w:val="none" w:sz="0" w:space="0" w:color="auto"/>
        <w:right w:val="none" w:sz="0" w:space="0" w:color="auto"/>
      </w:divBdr>
    </w:div>
    <w:div w:id="368342417">
      <w:bodyDiv w:val="1"/>
      <w:marLeft w:val="0"/>
      <w:marRight w:val="0"/>
      <w:marTop w:val="0"/>
      <w:marBottom w:val="0"/>
      <w:divBdr>
        <w:top w:val="none" w:sz="0" w:space="0" w:color="auto"/>
        <w:left w:val="none" w:sz="0" w:space="0" w:color="auto"/>
        <w:bottom w:val="none" w:sz="0" w:space="0" w:color="auto"/>
        <w:right w:val="none" w:sz="0" w:space="0" w:color="auto"/>
      </w:divBdr>
    </w:div>
    <w:div w:id="389350256">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8141278">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1237234">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0504">
      <w:bodyDiv w:val="1"/>
      <w:marLeft w:val="0"/>
      <w:marRight w:val="0"/>
      <w:marTop w:val="0"/>
      <w:marBottom w:val="0"/>
      <w:divBdr>
        <w:top w:val="none" w:sz="0" w:space="0" w:color="auto"/>
        <w:left w:val="none" w:sz="0" w:space="0" w:color="auto"/>
        <w:bottom w:val="none" w:sz="0" w:space="0" w:color="auto"/>
        <w:right w:val="none" w:sz="0" w:space="0" w:color="auto"/>
      </w:divBdr>
    </w:div>
    <w:div w:id="1445808071">
      <w:bodyDiv w:val="1"/>
      <w:marLeft w:val="0"/>
      <w:marRight w:val="0"/>
      <w:marTop w:val="0"/>
      <w:marBottom w:val="0"/>
      <w:divBdr>
        <w:top w:val="none" w:sz="0" w:space="0" w:color="auto"/>
        <w:left w:val="none" w:sz="0" w:space="0" w:color="auto"/>
        <w:bottom w:val="none" w:sz="0" w:space="0" w:color="auto"/>
        <w:right w:val="none" w:sz="0" w:space="0" w:color="auto"/>
      </w:divBdr>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3509">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02586929">
      <w:bodyDiv w:val="1"/>
      <w:marLeft w:val="0"/>
      <w:marRight w:val="0"/>
      <w:marTop w:val="0"/>
      <w:marBottom w:val="0"/>
      <w:divBdr>
        <w:top w:val="none" w:sz="0" w:space="0" w:color="auto"/>
        <w:left w:val="none" w:sz="0" w:space="0" w:color="auto"/>
        <w:bottom w:val="none" w:sz="0" w:space="0" w:color="auto"/>
        <w:right w:val="none" w:sz="0" w:space="0" w:color="auto"/>
      </w:divBdr>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2FDC11-2CB8-436C-BE18-B1EDD101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1938</Words>
  <Characters>10660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12573</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cp:keywords/>
  <dc:description/>
  <cp:lastModifiedBy>Alberto Olarte</cp:lastModifiedBy>
  <cp:revision>2</cp:revision>
  <cp:lastPrinted>2018-05-03T12:12:00Z</cp:lastPrinted>
  <dcterms:created xsi:type="dcterms:W3CDTF">2019-03-07T11:42:00Z</dcterms:created>
  <dcterms:modified xsi:type="dcterms:W3CDTF">2019-03-07T11:42:00Z</dcterms:modified>
</cp:coreProperties>
</file>