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F531" w14:textId="5FA49ACE" w:rsidR="00CF0B30" w:rsidRPr="00487E56" w:rsidRDefault="00CF0B30" w:rsidP="000A66C1">
      <w:pPr>
        <w:pStyle w:val="Ttulo"/>
        <w:jc w:val="center"/>
        <w:rPr>
          <w:rFonts w:ascii="Verdana" w:hAnsi="Verdana"/>
          <w:b/>
          <w:color w:val="000000"/>
          <w:sz w:val="32"/>
          <w:szCs w:val="22"/>
        </w:rPr>
      </w:pPr>
      <w:r w:rsidRPr="00487E56">
        <w:rPr>
          <w:rFonts w:ascii="Verdana" w:hAnsi="Verdana"/>
          <w:b/>
          <w:sz w:val="32"/>
          <w:szCs w:val="22"/>
        </w:rPr>
        <w:t xml:space="preserve">INFORME </w:t>
      </w:r>
      <w:r w:rsidR="003B26E1" w:rsidRPr="00487E56">
        <w:rPr>
          <w:rFonts w:ascii="Verdana" w:hAnsi="Verdana"/>
          <w:b/>
          <w:sz w:val="32"/>
          <w:szCs w:val="22"/>
        </w:rPr>
        <w:t>CNO 5</w:t>
      </w:r>
      <w:r w:rsidR="005928D2" w:rsidRPr="00487E56">
        <w:rPr>
          <w:rFonts w:ascii="Verdana" w:hAnsi="Verdana"/>
          <w:b/>
          <w:sz w:val="32"/>
          <w:szCs w:val="22"/>
        </w:rPr>
        <w:t>4</w:t>
      </w:r>
      <w:r w:rsidR="001E5AE6" w:rsidRPr="00487E56">
        <w:rPr>
          <w:rFonts w:ascii="Verdana" w:hAnsi="Verdana"/>
          <w:b/>
          <w:sz w:val="32"/>
          <w:szCs w:val="22"/>
        </w:rPr>
        <w:t>7</w:t>
      </w:r>
    </w:p>
    <w:p w14:paraId="42873F87" w14:textId="06012E84" w:rsidR="00CF0B30" w:rsidRPr="00487E56" w:rsidRDefault="00CF0B30" w:rsidP="0018416B">
      <w:pPr>
        <w:jc w:val="both"/>
        <w:rPr>
          <w:rFonts w:ascii="Verdana" w:hAnsi="Verdana" w:cs="Cambria"/>
          <w:color w:val="000000"/>
          <w:sz w:val="22"/>
          <w:szCs w:val="22"/>
        </w:rPr>
      </w:pPr>
    </w:p>
    <w:p w14:paraId="6BA34F1B" w14:textId="11F0E38B" w:rsidR="007F2666" w:rsidRPr="00DF0794" w:rsidRDefault="0006427E">
      <w:pPr>
        <w:jc w:val="both"/>
        <w:rPr>
          <w:rFonts w:ascii="Verdana" w:hAnsi="Verdana" w:cs="Cambria"/>
          <w:color w:val="000000"/>
          <w:sz w:val="22"/>
          <w:szCs w:val="22"/>
        </w:rPr>
      </w:pPr>
      <w:r w:rsidRPr="00DF0794">
        <w:rPr>
          <w:rFonts w:ascii="Verdana" w:hAnsi="Verdana" w:cs="Cambria"/>
          <w:color w:val="000000"/>
          <w:sz w:val="22"/>
          <w:szCs w:val="22"/>
        </w:rPr>
        <w:t>Fecha:</w:t>
      </w:r>
      <w:r w:rsidR="008339F8" w:rsidRPr="00DF0794">
        <w:rPr>
          <w:rFonts w:ascii="Verdana" w:hAnsi="Verdana" w:cs="Cambria"/>
          <w:color w:val="000000"/>
          <w:sz w:val="22"/>
          <w:szCs w:val="22"/>
        </w:rPr>
        <w:t xml:space="preserve"> </w:t>
      </w:r>
      <w:r w:rsidR="001E5AE6" w:rsidRPr="00DF0794">
        <w:rPr>
          <w:rFonts w:ascii="Verdana" w:hAnsi="Verdana" w:cs="Cambria"/>
          <w:color w:val="000000"/>
          <w:sz w:val="22"/>
          <w:szCs w:val="22"/>
        </w:rPr>
        <w:t>noviembre 8</w:t>
      </w:r>
      <w:r w:rsidR="00AA5BF4" w:rsidRPr="00DF0794">
        <w:rPr>
          <w:rFonts w:ascii="Verdana" w:hAnsi="Verdana" w:cs="Cambria"/>
          <w:color w:val="000000"/>
          <w:sz w:val="22"/>
          <w:szCs w:val="22"/>
        </w:rPr>
        <w:t xml:space="preserve"> </w:t>
      </w:r>
      <w:r w:rsidR="001A2B49" w:rsidRPr="00DF0794">
        <w:rPr>
          <w:rFonts w:ascii="Verdana" w:hAnsi="Verdana" w:cs="Cambria"/>
          <w:color w:val="000000"/>
          <w:sz w:val="22"/>
          <w:szCs w:val="22"/>
        </w:rPr>
        <w:t>de 2018</w:t>
      </w:r>
    </w:p>
    <w:p w14:paraId="564951D9" w14:textId="5C69CE2A" w:rsidR="00601475" w:rsidRPr="00DF0794" w:rsidRDefault="008D5A46">
      <w:pPr>
        <w:tabs>
          <w:tab w:val="left" w:pos="8134"/>
        </w:tabs>
        <w:jc w:val="both"/>
        <w:rPr>
          <w:rFonts w:ascii="Verdana" w:hAnsi="Verdana" w:cs="Cambria"/>
          <w:color w:val="000000"/>
          <w:sz w:val="22"/>
          <w:szCs w:val="22"/>
        </w:rPr>
      </w:pPr>
      <w:r w:rsidRPr="00DF0794">
        <w:rPr>
          <w:rFonts w:ascii="Verdana" w:hAnsi="Verdana" w:cs="Cambria"/>
          <w:color w:val="000000"/>
          <w:sz w:val="22"/>
          <w:szCs w:val="22"/>
        </w:rPr>
        <w:tab/>
      </w:r>
    </w:p>
    <w:p w14:paraId="7C1CF8A5" w14:textId="0B4C11A4" w:rsidR="007F2666" w:rsidRPr="00487E56" w:rsidRDefault="00580C1C" w:rsidP="00DC1C6A">
      <w:pPr>
        <w:jc w:val="both"/>
        <w:rPr>
          <w:rFonts w:ascii="Verdana" w:hAnsi="Verdana" w:cs="PTSans-Regular"/>
          <w:b/>
          <w:color w:val="000000" w:themeColor="text1"/>
          <w:sz w:val="22"/>
          <w:szCs w:val="22"/>
          <w:u w:val="single"/>
          <w:lang w:eastAsia="en-CA"/>
        </w:rPr>
      </w:pPr>
      <w:r w:rsidRPr="00487E56">
        <w:rPr>
          <w:rFonts w:ascii="Verdana" w:hAnsi="Verdana" w:cs="PTSans-Regular"/>
          <w:b/>
          <w:color w:val="000000" w:themeColor="text1"/>
          <w:sz w:val="22"/>
          <w:szCs w:val="22"/>
          <w:u w:val="single"/>
          <w:lang w:eastAsia="en-CA"/>
        </w:rPr>
        <w:t>ASPECTOS ADMINISTRATIVOS:</w:t>
      </w:r>
    </w:p>
    <w:p w14:paraId="613C599A" w14:textId="77777777" w:rsidR="00D60A54" w:rsidRPr="00487E56" w:rsidRDefault="00D60A54" w:rsidP="00D60A54">
      <w:pPr>
        <w:contextualSpacing/>
        <w:jc w:val="both"/>
        <w:rPr>
          <w:rFonts w:ascii="Verdana" w:hAnsi="Verdana" w:cs="Cambria"/>
          <w:color w:val="000000" w:themeColor="text1"/>
          <w:sz w:val="22"/>
          <w:szCs w:val="22"/>
        </w:rPr>
      </w:pPr>
    </w:p>
    <w:p w14:paraId="3C4A1ACB" w14:textId="77777777" w:rsidR="00EB3A44" w:rsidRPr="00487E56" w:rsidRDefault="00EB3A44" w:rsidP="00731ECB">
      <w:pPr>
        <w:contextualSpacing/>
        <w:jc w:val="both"/>
        <w:rPr>
          <w:rFonts w:ascii="Verdana" w:hAnsi="Verdana" w:cs="Cambria"/>
          <w:color w:val="000000" w:themeColor="text1"/>
          <w:sz w:val="22"/>
          <w:szCs w:val="22"/>
        </w:rPr>
      </w:pPr>
    </w:p>
    <w:p w14:paraId="400D1978" w14:textId="2D48FDE2" w:rsidR="00EB3A44" w:rsidRDefault="001C3E7C" w:rsidP="00DF0794">
      <w:pPr>
        <w:pStyle w:val="Prrafodelista"/>
        <w:numPr>
          <w:ilvl w:val="0"/>
          <w:numId w:val="24"/>
        </w:numPr>
        <w:contextualSpacing/>
        <w:jc w:val="both"/>
        <w:rPr>
          <w:rFonts w:ascii="Verdana" w:hAnsi="Verdana" w:cs="PTSans-Regular"/>
          <w:color w:val="000000" w:themeColor="text1"/>
          <w:sz w:val="22"/>
          <w:szCs w:val="22"/>
          <w:lang w:eastAsia="en-CA"/>
        </w:rPr>
      </w:pPr>
      <w:r w:rsidRPr="006A14E7">
        <w:rPr>
          <w:rFonts w:ascii="Verdana" w:hAnsi="Verdana" w:cs="PTSans-Regular"/>
          <w:color w:val="000000" w:themeColor="text1"/>
          <w:sz w:val="22"/>
          <w:szCs w:val="22"/>
          <w:lang w:eastAsia="en-CA"/>
        </w:rPr>
        <w:t>C</w:t>
      </w:r>
      <w:r w:rsidR="001E5AE6" w:rsidRPr="006A14E7">
        <w:rPr>
          <w:rFonts w:ascii="Verdana" w:hAnsi="Verdana" w:cs="PTSans-Regular"/>
          <w:color w:val="000000" w:themeColor="text1"/>
          <w:sz w:val="22"/>
          <w:szCs w:val="22"/>
          <w:lang w:eastAsia="en-CA"/>
        </w:rPr>
        <w:t xml:space="preserve">ongreso </w:t>
      </w:r>
      <w:r w:rsidRPr="006A14E7">
        <w:rPr>
          <w:rFonts w:ascii="Verdana" w:hAnsi="Verdana" w:cs="PTSans-Regular"/>
          <w:color w:val="000000" w:themeColor="text1"/>
          <w:sz w:val="22"/>
          <w:szCs w:val="22"/>
          <w:lang w:eastAsia="en-CA"/>
        </w:rPr>
        <w:t xml:space="preserve">MEM </w:t>
      </w:r>
      <w:r w:rsidR="001E5AE6" w:rsidRPr="006A14E7">
        <w:rPr>
          <w:rFonts w:ascii="Verdana" w:hAnsi="Verdana" w:cs="PTSans-Regular"/>
          <w:color w:val="000000" w:themeColor="text1"/>
          <w:sz w:val="22"/>
          <w:szCs w:val="22"/>
          <w:lang w:eastAsia="en-CA"/>
        </w:rPr>
        <w:t>24</w:t>
      </w:r>
      <w:r w:rsidRPr="006A14E7">
        <w:rPr>
          <w:rFonts w:ascii="Verdana" w:hAnsi="Verdana" w:cs="PTSans-Regular"/>
          <w:color w:val="000000" w:themeColor="text1"/>
          <w:sz w:val="22"/>
          <w:szCs w:val="22"/>
          <w:lang w:eastAsia="en-CA"/>
        </w:rPr>
        <w:t xml:space="preserve">: </w:t>
      </w:r>
      <w:r w:rsidR="00DF0794" w:rsidRPr="006A14E7">
        <w:rPr>
          <w:rFonts w:ascii="Verdana" w:hAnsi="Verdana" w:cs="PTSans-Regular"/>
          <w:color w:val="000000" w:themeColor="text1"/>
          <w:sz w:val="22"/>
          <w:szCs w:val="22"/>
          <w:lang w:eastAsia="en-CA"/>
        </w:rPr>
        <w:t xml:space="preserve">Se llevó a cabo la versión 24 del Congreso MEM con un agradecimiento a </w:t>
      </w:r>
      <w:r w:rsidR="006A14E7" w:rsidRPr="006A14E7">
        <w:rPr>
          <w:rFonts w:ascii="Verdana" w:hAnsi="Verdana" w:cs="PTSans-Regular"/>
          <w:color w:val="000000" w:themeColor="text1"/>
          <w:sz w:val="22"/>
          <w:szCs w:val="22"/>
          <w:lang w:eastAsia="en-CA"/>
        </w:rPr>
        <w:t>todos</w:t>
      </w:r>
      <w:r w:rsidR="00DF0794" w:rsidRPr="006A14E7">
        <w:rPr>
          <w:rFonts w:ascii="Verdana" w:hAnsi="Verdana" w:cs="PTSans-Regular"/>
          <w:color w:val="000000" w:themeColor="text1"/>
          <w:sz w:val="22"/>
          <w:szCs w:val="22"/>
          <w:lang w:eastAsia="en-CA"/>
        </w:rPr>
        <w:t xml:space="preserve"> los miembros que apoyaron con patrocinios y </w:t>
      </w:r>
      <w:r w:rsidR="006A14E7" w:rsidRPr="006A14E7">
        <w:rPr>
          <w:rFonts w:ascii="Verdana" w:hAnsi="Verdana" w:cs="PTSans-Regular"/>
          <w:color w:val="000000" w:themeColor="text1"/>
          <w:sz w:val="22"/>
          <w:szCs w:val="22"/>
          <w:lang w:eastAsia="en-CA"/>
        </w:rPr>
        <w:t>asi</w:t>
      </w:r>
      <w:r w:rsidR="006A14E7">
        <w:rPr>
          <w:rFonts w:ascii="Verdana" w:hAnsi="Verdana" w:cs="PTSans-Regular"/>
          <w:color w:val="000000" w:themeColor="text1"/>
          <w:sz w:val="22"/>
          <w:szCs w:val="22"/>
          <w:lang w:eastAsia="en-CA"/>
        </w:rPr>
        <w:t>s</w:t>
      </w:r>
      <w:r w:rsidR="006A14E7" w:rsidRPr="006A14E7">
        <w:rPr>
          <w:rFonts w:ascii="Verdana" w:hAnsi="Verdana" w:cs="PTSans-Regular"/>
          <w:color w:val="000000" w:themeColor="text1"/>
          <w:sz w:val="22"/>
          <w:szCs w:val="22"/>
          <w:lang w:eastAsia="en-CA"/>
        </w:rPr>
        <w:t>tencia.</w:t>
      </w:r>
      <w:r w:rsidR="00DF0794" w:rsidRPr="006A14E7">
        <w:rPr>
          <w:rFonts w:ascii="Verdana" w:hAnsi="Verdana" w:cs="PTSans-Regular"/>
          <w:color w:val="000000" w:themeColor="text1"/>
          <w:sz w:val="22"/>
          <w:szCs w:val="22"/>
          <w:lang w:eastAsia="en-CA"/>
        </w:rPr>
        <w:t xml:space="preserve"> En total asistieron 498 funcionarios</w:t>
      </w:r>
      <w:r w:rsidR="00DF0794">
        <w:rPr>
          <w:rFonts w:ascii="Verdana" w:hAnsi="Verdana" w:cs="PTSans-Regular"/>
          <w:color w:val="000000" w:themeColor="text1"/>
          <w:sz w:val="22"/>
          <w:szCs w:val="22"/>
          <w:lang w:eastAsia="en-CA"/>
        </w:rPr>
        <w:t xml:space="preserve"> de empresas, entidades de </w:t>
      </w:r>
      <w:r w:rsidR="006A14E7">
        <w:rPr>
          <w:rFonts w:ascii="Verdana" w:hAnsi="Verdana" w:cs="PTSans-Regular"/>
          <w:color w:val="000000" w:themeColor="text1"/>
          <w:sz w:val="22"/>
          <w:szCs w:val="22"/>
          <w:lang w:eastAsia="en-CA"/>
        </w:rPr>
        <w:t xml:space="preserve">gobierno, financieras y del sector gas. La presentación detallada del balance preliminar se adjunta. </w:t>
      </w:r>
      <w:r w:rsidR="00DF0794" w:rsidRPr="006A14E7">
        <w:rPr>
          <w:rFonts w:ascii="Verdana" w:hAnsi="Verdana" w:cs="PTSans-Regular"/>
          <w:color w:val="000000" w:themeColor="text1"/>
          <w:sz w:val="22"/>
          <w:szCs w:val="22"/>
          <w:lang w:eastAsia="en-CA"/>
        </w:rPr>
        <w:t xml:space="preserve"> </w:t>
      </w:r>
    </w:p>
    <w:p w14:paraId="6440A2E3" w14:textId="51FB27C7" w:rsidR="00E60478" w:rsidRPr="005D174B" w:rsidRDefault="00E60478" w:rsidP="00E60478">
      <w:pPr>
        <w:pStyle w:val="Prrafodelista"/>
        <w:numPr>
          <w:ilvl w:val="0"/>
          <w:numId w:val="24"/>
        </w:numPr>
        <w:contextualSpacing/>
        <w:jc w:val="both"/>
        <w:rPr>
          <w:rFonts w:ascii="Verdana" w:hAnsi="Verdana" w:cs="PTSans-Regular"/>
          <w:color w:val="000000" w:themeColor="text1"/>
          <w:sz w:val="22"/>
          <w:szCs w:val="22"/>
          <w:lang w:eastAsia="en-CA"/>
        </w:rPr>
      </w:pPr>
      <w:r w:rsidRPr="005D174B">
        <w:rPr>
          <w:rFonts w:ascii="Verdana" w:hAnsi="Verdana" w:cs="PTSans-Regular"/>
          <w:color w:val="000000" w:themeColor="text1"/>
          <w:sz w:val="22"/>
          <w:szCs w:val="22"/>
          <w:lang w:eastAsia="en-CA"/>
        </w:rPr>
        <w:t>Según lo previsto en el Reglamento Interno del CNO, este fin de semana se abre la convocatoria para la selección de los miembros por elección del Consejo (representantes de generación, transmisión y distribución) del año 2019.</w:t>
      </w:r>
    </w:p>
    <w:p w14:paraId="53839830" w14:textId="77777777" w:rsidR="001E5AE6" w:rsidRPr="00487E56" w:rsidRDefault="001E5AE6">
      <w:pPr>
        <w:contextualSpacing/>
        <w:jc w:val="both"/>
        <w:rPr>
          <w:rFonts w:ascii="Verdana" w:hAnsi="Verdana" w:cs="Cambria"/>
          <w:color w:val="000000" w:themeColor="text1"/>
          <w:sz w:val="22"/>
          <w:szCs w:val="22"/>
        </w:rPr>
      </w:pPr>
    </w:p>
    <w:p w14:paraId="1F9E465F" w14:textId="669D967B" w:rsidR="00057E7C" w:rsidRPr="00487E56" w:rsidRDefault="00580C1C" w:rsidP="00DC1C6A">
      <w:pPr>
        <w:jc w:val="both"/>
        <w:rPr>
          <w:rFonts w:ascii="Verdana" w:hAnsi="Verdana" w:cs="Cambria"/>
          <w:b/>
          <w:color w:val="000000" w:themeColor="text1"/>
          <w:sz w:val="22"/>
          <w:szCs w:val="22"/>
          <w:u w:val="single"/>
        </w:rPr>
      </w:pPr>
      <w:r w:rsidRPr="00487E56">
        <w:rPr>
          <w:rFonts w:ascii="Verdana" w:hAnsi="Verdana" w:cs="Cambria"/>
          <w:b/>
          <w:color w:val="000000" w:themeColor="text1"/>
          <w:sz w:val="22"/>
          <w:szCs w:val="22"/>
          <w:u w:val="single"/>
        </w:rPr>
        <w:t>ASPECTOS TÉCNICOS:</w:t>
      </w:r>
    </w:p>
    <w:p w14:paraId="71E33ABD" w14:textId="77777777" w:rsidR="00CF0B30" w:rsidRPr="00487E56" w:rsidRDefault="00CF0B30">
      <w:pPr>
        <w:keepNext/>
        <w:tabs>
          <w:tab w:val="left" w:pos="-426"/>
          <w:tab w:val="left" w:pos="540"/>
        </w:tabs>
        <w:autoSpaceDE w:val="0"/>
        <w:autoSpaceDN w:val="0"/>
        <w:adjustRightInd w:val="0"/>
        <w:jc w:val="both"/>
        <w:outlineLvl w:val="2"/>
        <w:rPr>
          <w:rFonts w:ascii="Verdana" w:hAnsi="Verdana" w:cs="Cambria"/>
          <w:bCs/>
          <w:color w:val="000000" w:themeColor="text1"/>
          <w:sz w:val="22"/>
          <w:szCs w:val="22"/>
        </w:rPr>
      </w:pPr>
    </w:p>
    <w:p w14:paraId="09D3C66D" w14:textId="57302C2D" w:rsidR="00DC1C6A" w:rsidRPr="003A3AB1" w:rsidRDefault="00911592" w:rsidP="008F62DB">
      <w:pPr>
        <w:pStyle w:val="Prrafodelista"/>
        <w:numPr>
          <w:ilvl w:val="0"/>
          <w:numId w:val="24"/>
        </w:numPr>
        <w:contextualSpacing/>
        <w:jc w:val="both"/>
        <w:rPr>
          <w:rFonts w:ascii="Verdana" w:hAnsi="Verdana"/>
          <w:sz w:val="22"/>
          <w:szCs w:val="22"/>
          <w:lang w:eastAsia="en-CA"/>
        </w:rPr>
      </w:pPr>
      <w:r w:rsidRPr="00487E56">
        <w:rPr>
          <w:rFonts w:ascii="Verdana" w:hAnsi="Verdana" w:cs="PTSans-Regular"/>
          <w:color w:val="000000" w:themeColor="text1"/>
          <w:sz w:val="22"/>
          <w:szCs w:val="22"/>
          <w:lang w:eastAsia="en-CA"/>
        </w:rPr>
        <w:t xml:space="preserve">El Comité de Distribución sigue trabajando en </w:t>
      </w:r>
      <w:r w:rsidR="001C3E7C" w:rsidRPr="00487E56">
        <w:rPr>
          <w:rFonts w:ascii="Verdana" w:hAnsi="Verdana" w:cs="PTSans-Regular"/>
          <w:color w:val="000000" w:themeColor="text1"/>
          <w:sz w:val="22"/>
          <w:szCs w:val="22"/>
          <w:lang w:eastAsia="en-CA"/>
        </w:rPr>
        <w:t>el documento de pruebas</w:t>
      </w:r>
      <w:r w:rsidR="008F6F85" w:rsidRPr="00487E56">
        <w:rPr>
          <w:rFonts w:ascii="Verdana" w:hAnsi="Verdana" w:cs="PTSans-Regular"/>
          <w:color w:val="000000" w:themeColor="text1"/>
          <w:sz w:val="22"/>
          <w:szCs w:val="22"/>
          <w:lang w:eastAsia="en-CA"/>
        </w:rPr>
        <w:t xml:space="preserve"> </w:t>
      </w:r>
      <w:r w:rsidRPr="00487E56">
        <w:rPr>
          <w:rFonts w:ascii="Verdana" w:hAnsi="Verdana" w:cs="PTSans-Regular"/>
          <w:color w:val="000000" w:themeColor="text1"/>
          <w:sz w:val="22"/>
          <w:szCs w:val="22"/>
          <w:lang w:eastAsia="en-CA"/>
        </w:rPr>
        <w:t>durante el proceso de conexión</w:t>
      </w:r>
      <w:r w:rsidR="00FC03F0" w:rsidRPr="00487E56">
        <w:rPr>
          <w:rFonts w:ascii="Verdana" w:hAnsi="Verdana" w:cs="PTSans-Regular"/>
          <w:color w:val="000000" w:themeColor="text1"/>
          <w:sz w:val="22"/>
          <w:szCs w:val="22"/>
          <w:lang w:eastAsia="en-CA"/>
        </w:rPr>
        <w:t xml:space="preserve"> de la Generación Distribuida-GD y la Auto Generación a Pequeña y Gran Escala (AGPE y AGGE con capacidad menor a 5 MW</w:t>
      </w:r>
      <w:r w:rsidR="00936049" w:rsidRPr="00487E56">
        <w:rPr>
          <w:rFonts w:ascii="Verdana" w:hAnsi="Verdana" w:cs="PTSans-Regular"/>
          <w:color w:val="000000" w:themeColor="text1"/>
          <w:sz w:val="22"/>
          <w:szCs w:val="22"/>
          <w:lang w:eastAsia="en-CA"/>
        </w:rPr>
        <w:t xml:space="preserve">). </w:t>
      </w:r>
      <w:r w:rsidR="00FC03F0" w:rsidRPr="00487E56">
        <w:rPr>
          <w:rFonts w:ascii="Verdana" w:hAnsi="Verdana" w:cs="PTSans-Regular"/>
          <w:color w:val="000000" w:themeColor="text1"/>
          <w:sz w:val="22"/>
          <w:szCs w:val="22"/>
          <w:lang w:eastAsia="en-CA"/>
        </w:rPr>
        <w:t xml:space="preserve">Ya fueron elaborados y puestos </w:t>
      </w:r>
      <w:r w:rsidR="00936049" w:rsidRPr="00487E56">
        <w:rPr>
          <w:rFonts w:ascii="Verdana" w:hAnsi="Verdana" w:cs="PTSans-Regular"/>
          <w:color w:val="000000" w:themeColor="text1"/>
          <w:sz w:val="22"/>
          <w:szCs w:val="22"/>
          <w:lang w:eastAsia="en-CA"/>
        </w:rPr>
        <w:t>en</w:t>
      </w:r>
      <w:r w:rsidR="00FC03F0" w:rsidRPr="00487E56">
        <w:rPr>
          <w:rFonts w:ascii="Verdana" w:hAnsi="Verdana" w:cs="PTSans-Regular"/>
          <w:color w:val="000000" w:themeColor="text1"/>
          <w:sz w:val="22"/>
          <w:szCs w:val="22"/>
          <w:lang w:eastAsia="en-CA"/>
        </w:rPr>
        <w:t xml:space="preserve"> consulta del público en general el formato simplificado para la conexión de la GD y </w:t>
      </w:r>
      <w:r w:rsidR="00936049" w:rsidRPr="00487E56">
        <w:rPr>
          <w:rFonts w:ascii="Verdana" w:hAnsi="Verdana" w:cs="PTSans-Regular"/>
          <w:color w:val="000000" w:themeColor="text1"/>
          <w:sz w:val="22"/>
          <w:szCs w:val="22"/>
          <w:lang w:eastAsia="en-CA"/>
        </w:rPr>
        <w:t>AGPE</w:t>
      </w:r>
      <w:r w:rsidR="00FC03F0" w:rsidRPr="00487E56">
        <w:rPr>
          <w:rFonts w:ascii="Verdana" w:hAnsi="Verdana" w:cs="PTSans-Regular"/>
          <w:color w:val="000000" w:themeColor="text1"/>
          <w:sz w:val="22"/>
          <w:szCs w:val="22"/>
          <w:lang w:eastAsia="en-CA"/>
        </w:rPr>
        <w:t xml:space="preserve"> </w:t>
      </w:r>
      <w:r w:rsidR="00936049" w:rsidRPr="00487E56">
        <w:rPr>
          <w:rFonts w:ascii="Verdana" w:hAnsi="Verdana" w:cs="PTSans-Regular"/>
          <w:color w:val="000000" w:themeColor="text1"/>
          <w:sz w:val="22"/>
          <w:szCs w:val="22"/>
          <w:lang w:eastAsia="en-CA"/>
        </w:rPr>
        <w:t xml:space="preserve">con capacidad </w:t>
      </w:r>
      <w:r w:rsidR="00FC03F0" w:rsidRPr="00487E56">
        <w:rPr>
          <w:rFonts w:ascii="Verdana" w:hAnsi="Verdana" w:cs="PTSans-Regular"/>
          <w:color w:val="000000" w:themeColor="text1"/>
          <w:sz w:val="22"/>
          <w:szCs w:val="22"/>
          <w:lang w:eastAsia="en-CA"/>
        </w:rPr>
        <w:t xml:space="preserve">menor a 0.1 MW, al igual que el documento de contenido y lineamientos para la elaboración de </w:t>
      </w:r>
      <w:r w:rsidR="00936049" w:rsidRPr="00487E56">
        <w:rPr>
          <w:rFonts w:ascii="Verdana" w:hAnsi="Verdana" w:cs="PTSans-Regular"/>
          <w:color w:val="000000" w:themeColor="text1"/>
          <w:sz w:val="22"/>
          <w:szCs w:val="22"/>
          <w:lang w:eastAsia="en-CA"/>
        </w:rPr>
        <w:t xml:space="preserve">los </w:t>
      </w:r>
      <w:r w:rsidR="00FC03F0" w:rsidRPr="00487E56">
        <w:rPr>
          <w:rFonts w:ascii="Verdana" w:hAnsi="Verdana" w:cs="PTSans-Regular"/>
          <w:color w:val="000000" w:themeColor="text1"/>
          <w:sz w:val="22"/>
          <w:szCs w:val="22"/>
          <w:lang w:eastAsia="en-CA"/>
        </w:rPr>
        <w:t>estudios de conexión simplificados</w:t>
      </w:r>
      <w:r w:rsidR="00936049" w:rsidRPr="00487E56">
        <w:rPr>
          <w:rFonts w:ascii="Verdana" w:hAnsi="Verdana" w:cs="PTSans-Regular"/>
          <w:color w:val="000000" w:themeColor="text1"/>
          <w:sz w:val="22"/>
          <w:szCs w:val="22"/>
          <w:lang w:eastAsia="en-CA"/>
        </w:rPr>
        <w:t>. Respecto a estos dos últimos productos, se recibieron observaciones hasta el martes 06 de noviembre del año en curso. Próximamente se convocará una reunión extraordinaria del Comité de Distribución para revisar los comentarios y finalizar el documento de pruebas.</w:t>
      </w:r>
    </w:p>
    <w:p w14:paraId="71F40584" w14:textId="77777777" w:rsidR="001E5AE6" w:rsidRPr="003A3AB1" w:rsidRDefault="001E5AE6" w:rsidP="001E5AE6">
      <w:pPr>
        <w:contextualSpacing/>
        <w:jc w:val="both"/>
        <w:rPr>
          <w:rFonts w:ascii="Verdana" w:hAnsi="Verdana"/>
          <w:sz w:val="22"/>
          <w:szCs w:val="22"/>
          <w:lang w:eastAsia="en-CA"/>
        </w:rPr>
      </w:pPr>
    </w:p>
    <w:p w14:paraId="2E2079D6" w14:textId="3BE8DFC4" w:rsidR="001E5AE6" w:rsidRDefault="00D60A54" w:rsidP="00A27726">
      <w:pPr>
        <w:pStyle w:val="Prrafodelista"/>
        <w:numPr>
          <w:ilvl w:val="0"/>
          <w:numId w:val="24"/>
        </w:numPr>
        <w:jc w:val="both"/>
        <w:rPr>
          <w:rFonts w:ascii="Verdana" w:hAnsi="Verdana" w:cs="PTSans-Regular"/>
          <w:color w:val="000000" w:themeColor="text1"/>
          <w:sz w:val="22"/>
          <w:szCs w:val="22"/>
          <w:lang w:eastAsia="en-CA"/>
        </w:rPr>
      </w:pPr>
      <w:r w:rsidRPr="00487E56">
        <w:rPr>
          <w:rFonts w:ascii="Verdana" w:hAnsi="Verdana" w:cs="PTSans-Regular"/>
          <w:color w:val="000000" w:themeColor="text1"/>
          <w:sz w:val="22"/>
          <w:szCs w:val="22"/>
          <w:lang w:eastAsia="en-CA"/>
        </w:rPr>
        <w:t xml:space="preserve">El </w:t>
      </w:r>
      <w:r w:rsidR="00C620D1" w:rsidRPr="00487E56">
        <w:rPr>
          <w:rFonts w:ascii="Verdana" w:hAnsi="Verdana" w:cs="PTSans-Regular"/>
          <w:color w:val="000000" w:themeColor="text1"/>
          <w:sz w:val="22"/>
          <w:szCs w:val="22"/>
          <w:lang w:eastAsia="en-CA"/>
        </w:rPr>
        <w:t xml:space="preserve">consultor </w:t>
      </w:r>
      <w:r w:rsidRPr="00487E56">
        <w:rPr>
          <w:rFonts w:ascii="Verdana" w:hAnsi="Verdana" w:cs="PTSans-Regular"/>
          <w:color w:val="000000" w:themeColor="text1"/>
          <w:sz w:val="22"/>
          <w:szCs w:val="22"/>
          <w:lang w:eastAsia="en-CA"/>
        </w:rPr>
        <w:t>de</w:t>
      </w:r>
      <w:r w:rsidR="005A5905" w:rsidRPr="00487E56">
        <w:rPr>
          <w:rFonts w:ascii="Verdana" w:hAnsi="Verdana" w:cs="PTSans-Regular"/>
          <w:color w:val="000000" w:themeColor="text1"/>
          <w:sz w:val="22"/>
          <w:szCs w:val="22"/>
          <w:lang w:eastAsia="en-CA"/>
        </w:rPr>
        <w:t xml:space="preserve"> la</w:t>
      </w:r>
      <w:r w:rsidRPr="00487E56">
        <w:rPr>
          <w:rFonts w:ascii="Verdana" w:hAnsi="Verdana" w:cs="PTSans-Regular"/>
          <w:color w:val="000000" w:themeColor="text1"/>
          <w:sz w:val="22"/>
          <w:szCs w:val="22"/>
          <w:lang w:eastAsia="en-CA"/>
        </w:rPr>
        <w:t xml:space="preserve"> </w:t>
      </w:r>
      <w:r w:rsidR="005A5905" w:rsidRPr="00487E56">
        <w:rPr>
          <w:rFonts w:ascii="Verdana" w:hAnsi="Verdana" w:cs="PTSans-Regular"/>
          <w:color w:val="000000" w:themeColor="text1"/>
          <w:sz w:val="22"/>
          <w:szCs w:val="22"/>
          <w:lang w:eastAsia="en-CA"/>
        </w:rPr>
        <w:t>CREG contratado para la revisión del Código de Redes</w:t>
      </w:r>
      <w:r w:rsidRPr="00487E56">
        <w:rPr>
          <w:rFonts w:ascii="Verdana" w:hAnsi="Verdana" w:cs="PTSans-Regular"/>
          <w:color w:val="000000" w:themeColor="text1"/>
          <w:sz w:val="22"/>
          <w:szCs w:val="22"/>
          <w:lang w:eastAsia="en-CA"/>
        </w:rPr>
        <w:t xml:space="preserve"> </w:t>
      </w:r>
      <w:r w:rsidR="00F8352F" w:rsidRPr="00487E56">
        <w:rPr>
          <w:rFonts w:ascii="Verdana" w:hAnsi="Verdana" w:cs="PTSans-Regular"/>
          <w:color w:val="000000" w:themeColor="text1"/>
          <w:sz w:val="22"/>
          <w:szCs w:val="22"/>
          <w:lang w:eastAsia="en-CA"/>
        </w:rPr>
        <w:t xml:space="preserve">tuvo </w:t>
      </w:r>
      <w:r w:rsidR="00C620D1" w:rsidRPr="00487E56">
        <w:rPr>
          <w:rFonts w:ascii="Verdana" w:hAnsi="Verdana" w:cs="PTSans-Regular"/>
          <w:color w:val="000000" w:themeColor="text1"/>
          <w:sz w:val="22"/>
          <w:szCs w:val="22"/>
          <w:lang w:eastAsia="en-CA"/>
        </w:rPr>
        <w:t>una reunión</w:t>
      </w:r>
      <w:r w:rsidR="00F8352F" w:rsidRPr="00487E56">
        <w:rPr>
          <w:rFonts w:ascii="Verdana" w:hAnsi="Verdana" w:cs="PTSans-Regular"/>
          <w:color w:val="000000" w:themeColor="text1"/>
          <w:sz w:val="22"/>
          <w:szCs w:val="22"/>
          <w:lang w:eastAsia="en-CA"/>
        </w:rPr>
        <w:t xml:space="preserve"> </w:t>
      </w:r>
      <w:r w:rsidR="00833461" w:rsidRPr="00487E56">
        <w:rPr>
          <w:rFonts w:ascii="Verdana" w:hAnsi="Verdana" w:cs="PTSans-Regular"/>
          <w:color w:val="000000" w:themeColor="text1"/>
          <w:sz w:val="22"/>
          <w:szCs w:val="22"/>
          <w:lang w:eastAsia="en-CA"/>
        </w:rPr>
        <w:t>con el</w:t>
      </w:r>
      <w:r w:rsidR="00C95715" w:rsidRPr="00487E56">
        <w:rPr>
          <w:rFonts w:ascii="Verdana" w:hAnsi="Verdana" w:cs="PTSans-Regular"/>
          <w:color w:val="000000" w:themeColor="text1"/>
          <w:sz w:val="22"/>
          <w:szCs w:val="22"/>
          <w:lang w:eastAsia="en-CA"/>
        </w:rPr>
        <w:t xml:space="preserve"> Comité </w:t>
      </w:r>
      <w:r w:rsidR="001C3E7C" w:rsidRPr="00487E56">
        <w:rPr>
          <w:rFonts w:ascii="Verdana" w:hAnsi="Verdana" w:cs="PTSans-Regular"/>
          <w:color w:val="000000" w:themeColor="text1"/>
          <w:sz w:val="22"/>
          <w:szCs w:val="22"/>
          <w:lang w:eastAsia="en-CA"/>
        </w:rPr>
        <w:t>T</w:t>
      </w:r>
      <w:r w:rsidR="001E5AE6" w:rsidRPr="00487E56">
        <w:rPr>
          <w:rFonts w:ascii="Verdana" w:hAnsi="Verdana" w:cs="PTSans-Regular"/>
          <w:color w:val="000000" w:themeColor="text1"/>
          <w:sz w:val="22"/>
          <w:szCs w:val="22"/>
          <w:lang w:eastAsia="en-CA"/>
        </w:rPr>
        <w:t xml:space="preserve">ecnológico </w:t>
      </w:r>
      <w:r w:rsidR="00BC7DE4" w:rsidRPr="00487E56">
        <w:rPr>
          <w:rFonts w:ascii="Verdana" w:hAnsi="Verdana" w:cs="PTSans-Regular"/>
          <w:color w:val="000000" w:themeColor="text1"/>
          <w:sz w:val="22"/>
          <w:szCs w:val="22"/>
          <w:lang w:eastAsia="en-CA"/>
        </w:rPr>
        <w:t>para tratar temas específicos</w:t>
      </w:r>
      <w:r w:rsidR="002277C6" w:rsidRPr="00487E56">
        <w:rPr>
          <w:rFonts w:ascii="Verdana" w:hAnsi="Verdana" w:cs="PTSans-Regular"/>
          <w:color w:val="000000" w:themeColor="text1"/>
          <w:sz w:val="22"/>
          <w:szCs w:val="22"/>
          <w:lang w:eastAsia="en-CA"/>
        </w:rPr>
        <w:t xml:space="preserve"> (CSIR</w:t>
      </w:r>
      <w:r w:rsidR="003A3AB1">
        <w:rPr>
          <w:rFonts w:ascii="Verdana" w:hAnsi="Verdana" w:cs="PTSans-Regular"/>
          <w:color w:val="000000" w:themeColor="text1"/>
          <w:sz w:val="22"/>
          <w:szCs w:val="22"/>
          <w:lang w:eastAsia="en-CA"/>
        </w:rPr>
        <w:t>T</w:t>
      </w:r>
      <w:r w:rsidR="002277C6" w:rsidRPr="00487E56">
        <w:rPr>
          <w:rFonts w:ascii="Verdana" w:hAnsi="Verdana" w:cs="PTSans-Regular"/>
          <w:color w:val="000000" w:themeColor="text1"/>
          <w:sz w:val="22"/>
          <w:szCs w:val="22"/>
          <w:lang w:eastAsia="en-CA"/>
        </w:rPr>
        <w:t>, arquitectura del SIN, ciberseguridad, espectro electromagnético dedicado, medición inteligente, entre otros).</w:t>
      </w:r>
      <w:r w:rsidR="00936049" w:rsidRPr="00487E56">
        <w:rPr>
          <w:rFonts w:ascii="Verdana" w:hAnsi="Verdana" w:cs="PTSans-Regular"/>
          <w:color w:val="000000" w:themeColor="text1"/>
          <w:sz w:val="22"/>
          <w:szCs w:val="22"/>
          <w:lang w:eastAsia="en-CA"/>
        </w:rPr>
        <w:t xml:space="preserve"> </w:t>
      </w:r>
    </w:p>
    <w:p w14:paraId="4EFE6879" w14:textId="77777777" w:rsidR="003A3AB1" w:rsidRPr="00DF0794" w:rsidRDefault="003A3AB1" w:rsidP="00DF0794">
      <w:pPr>
        <w:pStyle w:val="Prrafodelista"/>
        <w:rPr>
          <w:rFonts w:ascii="Verdana" w:hAnsi="Verdana" w:cs="PTSans-Regular"/>
          <w:color w:val="000000" w:themeColor="text1"/>
          <w:sz w:val="22"/>
          <w:szCs w:val="22"/>
          <w:lang w:eastAsia="en-CA"/>
        </w:rPr>
      </w:pPr>
    </w:p>
    <w:p w14:paraId="2DCF5053" w14:textId="128E9CB5" w:rsidR="00487E56" w:rsidRPr="005D174B" w:rsidRDefault="003A3AB1" w:rsidP="005D174B">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El Alto Consejero para la </w:t>
      </w:r>
      <w:r w:rsidR="006A14E7">
        <w:rPr>
          <w:rFonts w:ascii="Verdana" w:hAnsi="Verdana" w:cs="PTSans-Regular"/>
          <w:color w:val="000000" w:themeColor="text1"/>
          <w:sz w:val="22"/>
          <w:szCs w:val="22"/>
          <w:lang w:eastAsia="en-CA"/>
        </w:rPr>
        <w:t>S</w:t>
      </w:r>
      <w:r>
        <w:rPr>
          <w:rFonts w:ascii="Verdana" w:hAnsi="Verdana" w:cs="PTSans-Regular"/>
          <w:color w:val="000000" w:themeColor="text1"/>
          <w:sz w:val="22"/>
          <w:szCs w:val="22"/>
          <w:lang w:eastAsia="en-CA"/>
        </w:rPr>
        <w:t>eguridad Digital cit</w:t>
      </w:r>
      <w:r w:rsidR="00E60478">
        <w:rPr>
          <w:rFonts w:ascii="Verdana" w:hAnsi="Verdana" w:cs="PTSans-Regular"/>
          <w:color w:val="000000" w:themeColor="text1"/>
          <w:sz w:val="22"/>
          <w:szCs w:val="22"/>
          <w:lang w:eastAsia="en-CA"/>
        </w:rPr>
        <w:t>ó</w:t>
      </w:r>
      <w:r>
        <w:rPr>
          <w:rFonts w:ascii="Verdana" w:hAnsi="Verdana" w:cs="PTSans-Regular"/>
          <w:color w:val="000000" w:themeColor="text1"/>
          <w:sz w:val="22"/>
          <w:szCs w:val="22"/>
          <w:lang w:eastAsia="en-CA"/>
        </w:rPr>
        <w:t xml:space="preserve"> a una reunión con la CREG, XM </w:t>
      </w:r>
      <w:r w:rsidR="00E60478">
        <w:rPr>
          <w:rFonts w:ascii="Verdana" w:hAnsi="Verdana" w:cs="PTSans-Regular"/>
          <w:color w:val="000000" w:themeColor="text1"/>
          <w:sz w:val="22"/>
          <w:szCs w:val="22"/>
          <w:lang w:eastAsia="en-CA"/>
        </w:rPr>
        <w:t>y</w:t>
      </w:r>
      <w:r>
        <w:rPr>
          <w:rFonts w:ascii="Verdana" w:hAnsi="Verdana" w:cs="PTSans-Regular"/>
          <w:color w:val="000000" w:themeColor="text1"/>
          <w:sz w:val="22"/>
          <w:szCs w:val="22"/>
          <w:lang w:eastAsia="en-CA"/>
        </w:rPr>
        <w:t xml:space="preserve"> CNO para conocer el </w:t>
      </w:r>
      <w:r w:rsidR="00E60478">
        <w:rPr>
          <w:rFonts w:ascii="Verdana" w:hAnsi="Verdana" w:cs="PTSans-Regular"/>
          <w:color w:val="000000" w:themeColor="text1"/>
          <w:sz w:val="22"/>
          <w:szCs w:val="22"/>
          <w:lang w:eastAsia="en-CA"/>
        </w:rPr>
        <w:t>estado de</w:t>
      </w:r>
      <w:r>
        <w:rPr>
          <w:rFonts w:ascii="Verdana" w:hAnsi="Verdana" w:cs="PTSans-Regular"/>
          <w:color w:val="000000" w:themeColor="text1"/>
          <w:sz w:val="22"/>
          <w:szCs w:val="22"/>
          <w:lang w:eastAsia="en-CA"/>
        </w:rPr>
        <w:t xml:space="preserve"> avance de conformación del CSIRT del sector eléctrico. </w:t>
      </w:r>
      <w:r w:rsidR="006A14E7">
        <w:rPr>
          <w:rFonts w:ascii="Verdana" w:hAnsi="Verdana" w:cs="PTSans-Regular"/>
          <w:color w:val="000000" w:themeColor="text1"/>
          <w:sz w:val="22"/>
          <w:szCs w:val="22"/>
          <w:lang w:eastAsia="en-CA"/>
        </w:rPr>
        <w:t>Co</w:t>
      </w:r>
      <w:r>
        <w:rPr>
          <w:rFonts w:ascii="Verdana" w:hAnsi="Verdana" w:cs="PTSans-Regular"/>
          <w:color w:val="000000" w:themeColor="text1"/>
          <w:sz w:val="22"/>
          <w:szCs w:val="22"/>
          <w:lang w:eastAsia="en-CA"/>
        </w:rPr>
        <w:t>m</w:t>
      </w:r>
      <w:r w:rsidR="006A14E7">
        <w:rPr>
          <w:rFonts w:ascii="Verdana" w:hAnsi="Verdana" w:cs="PTSans-Regular"/>
          <w:color w:val="000000" w:themeColor="text1"/>
          <w:sz w:val="22"/>
          <w:szCs w:val="22"/>
          <w:lang w:eastAsia="en-CA"/>
        </w:rPr>
        <w:t>o</w:t>
      </w:r>
      <w:r>
        <w:rPr>
          <w:rFonts w:ascii="Verdana" w:hAnsi="Verdana" w:cs="PTSans-Regular"/>
          <w:color w:val="000000" w:themeColor="text1"/>
          <w:sz w:val="22"/>
          <w:szCs w:val="22"/>
          <w:lang w:eastAsia="en-CA"/>
        </w:rPr>
        <w:t xml:space="preserve"> resultado de esta reunión y con el grado de urgencia manifestado por el Gobierno, la CREG solictó una reunión con los expertos del sector para tener la manifestación de respaldo a la creación formal del Centro de Respuesta ante Incidente </w:t>
      </w:r>
      <w:r w:rsidR="006A14E7">
        <w:rPr>
          <w:rFonts w:ascii="Verdana" w:hAnsi="Verdana" w:cs="PTSans-Regular"/>
          <w:color w:val="000000" w:themeColor="text1"/>
          <w:sz w:val="22"/>
          <w:szCs w:val="22"/>
          <w:lang w:eastAsia="en-CA"/>
        </w:rPr>
        <w:t>Cibernéticos</w:t>
      </w:r>
      <w:r>
        <w:rPr>
          <w:rFonts w:ascii="Verdana" w:hAnsi="Verdana" w:cs="PTSans-Regular"/>
          <w:color w:val="000000" w:themeColor="text1"/>
          <w:sz w:val="22"/>
          <w:szCs w:val="22"/>
          <w:lang w:eastAsia="en-CA"/>
        </w:rPr>
        <w:t xml:space="preserve">. En el día de ayer se convocó la reunión con los expertos nombrados por las </w:t>
      </w:r>
      <w:r w:rsidR="006A14E7">
        <w:rPr>
          <w:rFonts w:ascii="Verdana" w:hAnsi="Verdana" w:cs="PTSans-Regular"/>
          <w:color w:val="000000" w:themeColor="text1"/>
          <w:sz w:val="22"/>
          <w:szCs w:val="22"/>
          <w:lang w:eastAsia="en-CA"/>
        </w:rPr>
        <w:t>empresas, que</w:t>
      </w:r>
      <w:r>
        <w:rPr>
          <w:rFonts w:ascii="Verdana" w:hAnsi="Verdana" w:cs="PTSans-Regular"/>
          <w:color w:val="000000" w:themeColor="text1"/>
          <w:sz w:val="22"/>
          <w:szCs w:val="22"/>
          <w:lang w:eastAsia="en-CA"/>
        </w:rPr>
        <w:t xml:space="preserve"> manifestaron en consenso su respaldo a la creación del </w:t>
      </w:r>
      <w:r w:rsidR="006A14E7">
        <w:rPr>
          <w:rFonts w:ascii="Verdana" w:hAnsi="Verdana" w:cs="PTSans-Regular"/>
          <w:color w:val="000000" w:themeColor="text1"/>
          <w:sz w:val="22"/>
          <w:szCs w:val="22"/>
          <w:lang w:eastAsia="en-CA"/>
        </w:rPr>
        <w:t>CSIRT.</w:t>
      </w:r>
      <w:r>
        <w:rPr>
          <w:rFonts w:ascii="Verdana" w:hAnsi="Verdana" w:cs="PTSans-Regular"/>
          <w:color w:val="000000" w:themeColor="text1"/>
          <w:sz w:val="22"/>
          <w:szCs w:val="22"/>
          <w:lang w:eastAsia="en-CA"/>
        </w:rPr>
        <w:t xml:space="preserve"> Solicitamos al Consejo la autorización de envío de </w:t>
      </w:r>
      <w:r w:rsidR="00E60478">
        <w:rPr>
          <w:rFonts w:ascii="Verdana" w:hAnsi="Verdana" w:cs="PTSans-Regular"/>
          <w:color w:val="000000" w:themeColor="text1"/>
          <w:sz w:val="22"/>
          <w:szCs w:val="22"/>
          <w:lang w:eastAsia="en-CA"/>
        </w:rPr>
        <w:t xml:space="preserve">la </w:t>
      </w:r>
      <w:r>
        <w:rPr>
          <w:rFonts w:ascii="Verdana" w:hAnsi="Verdana" w:cs="PTSans-Regular"/>
          <w:color w:val="000000" w:themeColor="text1"/>
          <w:sz w:val="22"/>
          <w:szCs w:val="22"/>
          <w:lang w:eastAsia="en-CA"/>
        </w:rPr>
        <w:t xml:space="preserve">comunicación a la CREG con este requisito solicitado por el </w:t>
      </w:r>
      <w:r w:rsidR="00E60478">
        <w:rPr>
          <w:rFonts w:ascii="Verdana" w:hAnsi="Verdana" w:cs="PTSans-Regular"/>
          <w:color w:val="000000" w:themeColor="text1"/>
          <w:sz w:val="22"/>
          <w:szCs w:val="22"/>
          <w:lang w:eastAsia="en-CA"/>
        </w:rPr>
        <w:t>r</w:t>
      </w:r>
      <w:r>
        <w:rPr>
          <w:rFonts w:ascii="Verdana" w:hAnsi="Verdana" w:cs="PTSans-Regular"/>
          <w:color w:val="000000" w:themeColor="text1"/>
          <w:sz w:val="22"/>
          <w:szCs w:val="22"/>
          <w:lang w:eastAsia="en-CA"/>
        </w:rPr>
        <w:t>egulador para adelantar las gestiones correspondientes.</w:t>
      </w:r>
    </w:p>
    <w:p w14:paraId="2EEEDFE9" w14:textId="77777777" w:rsidR="001E5AE6" w:rsidRPr="00487E56" w:rsidRDefault="001E5AE6" w:rsidP="001E5AE6">
      <w:pPr>
        <w:pStyle w:val="Prrafodelista"/>
        <w:rPr>
          <w:rFonts w:ascii="Verdana" w:hAnsi="Verdana" w:cs="PTSans-Regular"/>
          <w:color w:val="000000" w:themeColor="text1"/>
          <w:sz w:val="22"/>
          <w:szCs w:val="22"/>
          <w:lang w:eastAsia="en-CA"/>
        </w:rPr>
      </w:pPr>
    </w:p>
    <w:p w14:paraId="649D6A42" w14:textId="3627FB10" w:rsidR="000D1AA2" w:rsidRPr="005D174B" w:rsidRDefault="00BC7DE4" w:rsidP="00E60478">
      <w:pPr>
        <w:pStyle w:val="Prrafodelista"/>
        <w:numPr>
          <w:ilvl w:val="0"/>
          <w:numId w:val="24"/>
        </w:numPr>
        <w:jc w:val="both"/>
        <w:rPr>
          <w:rFonts w:ascii="Verdana" w:hAnsi="Verdana" w:cs="PTSans-Regular"/>
          <w:color w:val="000000" w:themeColor="text1"/>
          <w:sz w:val="22"/>
          <w:szCs w:val="22"/>
          <w:lang w:eastAsia="en-CA"/>
        </w:rPr>
      </w:pPr>
      <w:r w:rsidRPr="00E60478">
        <w:rPr>
          <w:rFonts w:ascii="Verdana" w:hAnsi="Verdana" w:cs="PTSans-Regular"/>
          <w:color w:val="000000" w:themeColor="text1"/>
          <w:sz w:val="22"/>
          <w:szCs w:val="22"/>
          <w:lang w:eastAsia="en-CA"/>
        </w:rPr>
        <w:t xml:space="preserve">En cumplimiento del mandato de la Resolución CREG 089 de 2018, </w:t>
      </w:r>
      <w:r w:rsidR="001E5AE6" w:rsidRPr="00E60478">
        <w:rPr>
          <w:rFonts w:ascii="Verdana" w:hAnsi="Verdana" w:cs="PTSans-Regular"/>
          <w:color w:val="000000" w:themeColor="text1"/>
          <w:sz w:val="22"/>
          <w:szCs w:val="22"/>
          <w:lang w:eastAsia="en-CA"/>
        </w:rPr>
        <w:t>s</w:t>
      </w:r>
      <w:r w:rsidR="00E505D6" w:rsidRPr="00E60478">
        <w:rPr>
          <w:rFonts w:ascii="Verdana" w:hAnsi="Verdana" w:cs="PTSans-Regular"/>
          <w:color w:val="000000" w:themeColor="text1"/>
          <w:sz w:val="22"/>
          <w:szCs w:val="22"/>
          <w:lang w:eastAsia="en-CA"/>
        </w:rPr>
        <w:t xml:space="preserve">e solicitó concepto a </w:t>
      </w:r>
      <w:r w:rsidR="00C04902" w:rsidRPr="00E60478">
        <w:rPr>
          <w:rFonts w:ascii="Verdana" w:hAnsi="Verdana" w:cs="PTSans-Regular"/>
          <w:color w:val="000000" w:themeColor="text1"/>
          <w:sz w:val="22"/>
          <w:szCs w:val="22"/>
          <w:lang w:eastAsia="en-CA"/>
        </w:rPr>
        <w:t xml:space="preserve">la </w:t>
      </w:r>
      <w:r w:rsidR="00E505D6" w:rsidRPr="00E60478">
        <w:rPr>
          <w:rFonts w:ascii="Verdana" w:hAnsi="Verdana" w:cs="PTSans-Regular"/>
          <w:color w:val="000000" w:themeColor="text1"/>
          <w:sz w:val="22"/>
          <w:szCs w:val="22"/>
          <w:lang w:eastAsia="en-CA"/>
        </w:rPr>
        <w:t>CREG para ampliar la lista a firmas de ingeniería</w:t>
      </w:r>
      <w:r w:rsidR="00D91CCB" w:rsidRPr="00E60478">
        <w:rPr>
          <w:rFonts w:ascii="Verdana" w:hAnsi="Verdana" w:cs="PTSans-Regular"/>
          <w:color w:val="000000" w:themeColor="text1"/>
          <w:sz w:val="22"/>
          <w:szCs w:val="22"/>
          <w:lang w:eastAsia="en-CA"/>
        </w:rPr>
        <w:t xml:space="preserve"> y consultoría</w:t>
      </w:r>
      <w:r w:rsidR="00E505D6" w:rsidRPr="00E60478">
        <w:rPr>
          <w:rFonts w:ascii="Verdana" w:hAnsi="Verdana" w:cs="PTSans-Regular"/>
          <w:color w:val="000000" w:themeColor="text1"/>
          <w:sz w:val="22"/>
          <w:szCs w:val="22"/>
          <w:lang w:eastAsia="en-CA"/>
        </w:rPr>
        <w:t>.</w:t>
      </w:r>
      <w:r w:rsidR="001C3E7C" w:rsidRPr="00E60478">
        <w:rPr>
          <w:rFonts w:ascii="Verdana" w:hAnsi="Verdana" w:cs="PTSans-Regular"/>
          <w:color w:val="000000" w:themeColor="text1"/>
          <w:sz w:val="22"/>
          <w:szCs w:val="22"/>
          <w:lang w:eastAsia="en-CA"/>
        </w:rPr>
        <w:t xml:space="preserve"> La CREG respondió </w:t>
      </w:r>
      <w:r w:rsidR="005D174B" w:rsidRPr="00E60478">
        <w:rPr>
          <w:rFonts w:ascii="Verdana" w:hAnsi="Verdana" w:cs="PTSans-Regular"/>
          <w:color w:val="000000" w:themeColor="text1"/>
          <w:sz w:val="22"/>
          <w:szCs w:val="22"/>
          <w:lang w:eastAsia="en-CA"/>
        </w:rPr>
        <w:t>que,</w:t>
      </w:r>
      <w:r w:rsidR="00E60478">
        <w:rPr>
          <w:rFonts w:ascii="Verdana" w:hAnsi="Verdana" w:cs="PTSans-Regular"/>
          <w:color w:val="000000" w:themeColor="text1"/>
          <w:sz w:val="22"/>
          <w:szCs w:val="22"/>
          <w:lang w:eastAsia="en-CA"/>
        </w:rPr>
        <w:t xml:space="preserve"> </w:t>
      </w:r>
      <w:r w:rsidR="001C3E7C" w:rsidRPr="00E60478">
        <w:rPr>
          <w:rFonts w:ascii="Verdana" w:hAnsi="Verdana" w:cs="PTSans-Regular"/>
          <w:color w:val="000000" w:themeColor="text1"/>
          <w:sz w:val="22"/>
          <w:szCs w:val="22"/>
          <w:lang w:eastAsia="en-CA"/>
        </w:rPr>
        <w:t>si el Consejo lo considera</w:t>
      </w:r>
      <w:r w:rsidR="00E60478" w:rsidRPr="00E60478">
        <w:rPr>
          <w:rFonts w:ascii="Verdana" w:hAnsi="Verdana" w:cs="PTSans-Regular"/>
          <w:color w:val="000000" w:themeColor="text1"/>
          <w:sz w:val="22"/>
          <w:szCs w:val="22"/>
          <w:lang w:eastAsia="en-CA"/>
        </w:rPr>
        <w:t>ba</w:t>
      </w:r>
      <w:r w:rsidR="002277C6" w:rsidRPr="00E60478">
        <w:rPr>
          <w:rFonts w:ascii="Verdana" w:hAnsi="Verdana" w:cs="PTSans-Regular"/>
          <w:color w:val="000000" w:themeColor="text1"/>
          <w:sz w:val="22"/>
          <w:szCs w:val="22"/>
          <w:lang w:eastAsia="en-CA"/>
        </w:rPr>
        <w:t xml:space="preserve"> necesario,</w:t>
      </w:r>
      <w:r w:rsidR="001C3E7C" w:rsidRPr="00E60478">
        <w:rPr>
          <w:rFonts w:ascii="Verdana" w:hAnsi="Verdana" w:cs="PTSans-Regular"/>
          <w:color w:val="000000" w:themeColor="text1"/>
          <w:sz w:val="22"/>
          <w:szCs w:val="22"/>
          <w:lang w:eastAsia="en-CA"/>
        </w:rPr>
        <w:t xml:space="preserve"> </w:t>
      </w:r>
      <w:r w:rsidR="002277C6" w:rsidRPr="00E60478">
        <w:rPr>
          <w:rFonts w:ascii="Verdana" w:hAnsi="Verdana" w:cs="PTSans-Regular"/>
          <w:color w:val="000000" w:themeColor="text1"/>
          <w:sz w:val="22"/>
          <w:szCs w:val="22"/>
          <w:lang w:eastAsia="en-CA"/>
        </w:rPr>
        <w:t>e</w:t>
      </w:r>
      <w:r w:rsidR="00E60478">
        <w:rPr>
          <w:rFonts w:ascii="Verdana" w:hAnsi="Verdana" w:cs="PTSans-Regular"/>
          <w:color w:val="000000" w:themeColor="text1"/>
          <w:sz w:val="22"/>
          <w:szCs w:val="22"/>
          <w:lang w:eastAsia="en-CA"/>
        </w:rPr>
        <w:t>ra</w:t>
      </w:r>
      <w:r w:rsidR="002277C6" w:rsidRPr="00E60478">
        <w:rPr>
          <w:rFonts w:ascii="Verdana" w:hAnsi="Verdana" w:cs="PTSans-Regular"/>
          <w:color w:val="000000" w:themeColor="text1"/>
          <w:sz w:val="22"/>
          <w:szCs w:val="22"/>
          <w:lang w:eastAsia="en-CA"/>
        </w:rPr>
        <w:t xml:space="preserve"> posible dicha ampliación</w:t>
      </w:r>
      <w:r w:rsidR="001C3E7C" w:rsidRPr="00E60478">
        <w:rPr>
          <w:rFonts w:ascii="Verdana" w:hAnsi="Verdana" w:cs="PTSans-Regular"/>
          <w:color w:val="000000" w:themeColor="text1"/>
          <w:sz w:val="22"/>
          <w:szCs w:val="22"/>
          <w:lang w:eastAsia="en-CA"/>
        </w:rPr>
        <w:t>.</w:t>
      </w:r>
      <w:r w:rsidR="00E505D6" w:rsidRPr="00E60478">
        <w:rPr>
          <w:rFonts w:ascii="Verdana" w:hAnsi="Verdana" w:cs="PTSans-Regular"/>
          <w:color w:val="000000" w:themeColor="text1"/>
          <w:sz w:val="22"/>
          <w:szCs w:val="22"/>
          <w:lang w:eastAsia="en-CA"/>
        </w:rPr>
        <w:t xml:space="preserve"> </w:t>
      </w:r>
      <w:r w:rsidR="00E60478" w:rsidRPr="00E60478">
        <w:rPr>
          <w:rFonts w:ascii="Verdana" w:hAnsi="Verdana" w:cs="PTSans-Regular"/>
          <w:color w:val="000000" w:themeColor="text1"/>
          <w:sz w:val="22"/>
          <w:szCs w:val="22"/>
          <w:lang w:eastAsia="en-CA"/>
        </w:rPr>
        <w:t>Se modificaron los t</w:t>
      </w:r>
      <w:r w:rsidR="00E60478" w:rsidRPr="00F924D4">
        <w:rPr>
          <w:rFonts w:ascii="Verdana" w:hAnsi="Verdana" w:cs="PTSans-Regular"/>
          <w:color w:val="000000" w:themeColor="text1"/>
          <w:sz w:val="22"/>
          <w:szCs w:val="22"/>
          <w:lang w:eastAsia="en-CA"/>
        </w:rPr>
        <w:t>érminos de referencia de integraci</w:t>
      </w:r>
      <w:r w:rsidR="00E60478" w:rsidRPr="00E60478">
        <w:rPr>
          <w:rFonts w:ascii="Verdana" w:hAnsi="Verdana" w:cs="PTSans-Regular"/>
          <w:color w:val="000000" w:themeColor="text1"/>
          <w:sz w:val="22"/>
          <w:szCs w:val="22"/>
          <w:lang w:eastAsia="en-CA"/>
        </w:rPr>
        <w:t xml:space="preserve">ón de la lista </w:t>
      </w:r>
      <w:r w:rsidR="00E60478">
        <w:rPr>
          <w:rFonts w:ascii="Verdana" w:hAnsi="Verdana" w:cs="PTSans-Regular"/>
          <w:color w:val="000000" w:themeColor="text1"/>
          <w:sz w:val="22"/>
          <w:szCs w:val="22"/>
          <w:lang w:eastAsia="en-CA"/>
        </w:rPr>
        <w:t xml:space="preserve">de firmas auditoras de los precios y cantidades de los combustibles </w:t>
      </w:r>
      <w:r w:rsidR="00E60478">
        <w:rPr>
          <w:rFonts w:ascii="Verdana" w:hAnsi="Verdana" w:cs="PTSans-Regular"/>
          <w:color w:val="000000" w:themeColor="text1"/>
          <w:sz w:val="22"/>
          <w:szCs w:val="22"/>
          <w:lang w:eastAsia="en-CA"/>
        </w:rPr>
        <w:lastRenderedPageBreak/>
        <w:t>declarados para la determinación del precio marginal de escasez y se expidió el Acuerdo 1104 por el cual se amplió la lista antes mencionada.</w:t>
      </w:r>
    </w:p>
    <w:p w14:paraId="48555749" w14:textId="77777777" w:rsidR="00FD6570" w:rsidRPr="00487E56" w:rsidRDefault="00FD6570" w:rsidP="00C50523">
      <w:pPr>
        <w:pStyle w:val="Prrafodelista"/>
        <w:ind w:left="360"/>
        <w:jc w:val="both"/>
        <w:rPr>
          <w:rFonts w:ascii="Verdana" w:hAnsi="Verdana" w:cs="PTSans-Regular"/>
          <w:color w:val="000000" w:themeColor="text1"/>
          <w:sz w:val="22"/>
          <w:szCs w:val="22"/>
          <w:lang w:eastAsia="en-CA"/>
        </w:rPr>
      </w:pPr>
    </w:p>
    <w:p w14:paraId="010AE4E5" w14:textId="2082A3FF" w:rsidR="00CC5D56" w:rsidRPr="00DF0794" w:rsidRDefault="00EF1011" w:rsidP="00DF0794">
      <w:pPr>
        <w:pStyle w:val="Prrafodelista"/>
        <w:numPr>
          <w:ilvl w:val="0"/>
          <w:numId w:val="24"/>
        </w:numPr>
        <w:jc w:val="both"/>
        <w:rPr>
          <w:rFonts w:ascii="Verdana" w:hAnsi="Verdana" w:cs="PTSans-Regular"/>
          <w:color w:val="000000" w:themeColor="text1"/>
          <w:sz w:val="22"/>
          <w:szCs w:val="22"/>
          <w:lang w:eastAsia="en-CA"/>
        </w:rPr>
      </w:pPr>
      <w:r w:rsidRPr="00487E56">
        <w:rPr>
          <w:rFonts w:ascii="Verdana" w:hAnsi="Verdana" w:cs="PTSans-Regular"/>
          <w:color w:val="000000" w:themeColor="text1"/>
          <w:sz w:val="22"/>
          <w:szCs w:val="22"/>
          <w:lang w:eastAsia="en-CA"/>
        </w:rPr>
        <w:t xml:space="preserve">Dado que la resolución transitoria del Código de Redes aún no ha sido expedida por parte de la CREG, actualmente se identifican algunas dificultades para desarrollar </w:t>
      </w:r>
      <w:r w:rsidR="00487E56" w:rsidRPr="00487E56">
        <w:rPr>
          <w:rFonts w:ascii="Verdana" w:hAnsi="Verdana" w:cs="PTSans-Regular"/>
          <w:color w:val="000000" w:themeColor="text1"/>
          <w:sz w:val="22"/>
          <w:szCs w:val="22"/>
          <w:lang w:eastAsia="en-CA"/>
        </w:rPr>
        <w:t xml:space="preserve">ciertas </w:t>
      </w:r>
      <w:r w:rsidRPr="00487E56">
        <w:rPr>
          <w:rFonts w:ascii="Verdana" w:hAnsi="Verdana" w:cs="PTSans-Regular"/>
          <w:color w:val="000000" w:themeColor="text1"/>
          <w:sz w:val="22"/>
          <w:szCs w:val="22"/>
          <w:lang w:eastAsia="en-CA"/>
        </w:rPr>
        <w:t>pruebas que están contenidas en el actual Código</w:t>
      </w:r>
      <w:r w:rsidR="00F924D4">
        <w:rPr>
          <w:rFonts w:ascii="Verdana" w:hAnsi="Verdana" w:cs="PTSans-Regular"/>
          <w:color w:val="000000" w:themeColor="text1"/>
          <w:sz w:val="22"/>
          <w:szCs w:val="22"/>
          <w:lang w:eastAsia="en-CA"/>
        </w:rPr>
        <w:t xml:space="preserve"> </w:t>
      </w:r>
      <w:r w:rsidR="002277C6" w:rsidRPr="00487E56">
        <w:rPr>
          <w:rFonts w:ascii="Verdana" w:hAnsi="Verdana" w:cs="PTSans-Regular"/>
          <w:color w:val="000000" w:themeColor="text1"/>
          <w:sz w:val="22"/>
          <w:szCs w:val="22"/>
          <w:lang w:eastAsia="en-CA"/>
        </w:rPr>
        <w:t>para las nuevas tecnologías de generación</w:t>
      </w:r>
      <w:r w:rsidRPr="00487E56">
        <w:rPr>
          <w:rFonts w:ascii="Verdana" w:hAnsi="Verdana" w:cs="PTSans-Regular"/>
          <w:color w:val="000000" w:themeColor="text1"/>
          <w:sz w:val="22"/>
          <w:szCs w:val="22"/>
          <w:lang w:eastAsia="en-CA"/>
        </w:rPr>
        <w:t xml:space="preserve">. En el caso de las pruebas de </w:t>
      </w:r>
      <w:r w:rsidR="00CC5D56" w:rsidRPr="00487E56">
        <w:rPr>
          <w:rFonts w:ascii="Verdana" w:hAnsi="Verdana" w:cs="PTSans-Regular"/>
          <w:color w:val="000000" w:themeColor="text1"/>
          <w:sz w:val="22"/>
          <w:szCs w:val="22"/>
          <w:lang w:eastAsia="en-CA"/>
        </w:rPr>
        <w:t>verificación de respuesta en frecuencia</w:t>
      </w:r>
      <w:r w:rsidR="002277C6" w:rsidRPr="00487E56">
        <w:rPr>
          <w:rFonts w:ascii="Verdana" w:hAnsi="Verdana" w:cs="PTSans-Regular"/>
          <w:color w:val="000000" w:themeColor="text1"/>
          <w:sz w:val="22"/>
          <w:szCs w:val="22"/>
          <w:lang w:eastAsia="en-CA"/>
        </w:rPr>
        <w:t xml:space="preserve"> para las plantas solares fotovoltaicas</w:t>
      </w:r>
      <w:r w:rsidR="00CC5D56" w:rsidRPr="00487E56">
        <w:rPr>
          <w:rFonts w:ascii="Verdana" w:hAnsi="Verdana" w:cs="PTSans-Regular"/>
          <w:color w:val="000000" w:themeColor="text1"/>
          <w:sz w:val="22"/>
          <w:szCs w:val="22"/>
          <w:lang w:eastAsia="en-CA"/>
        </w:rPr>
        <w:t xml:space="preserve">, </w:t>
      </w:r>
      <w:r w:rsidR="002277C6" w:rsidRPr="00487E56">
        <w:rPr>
          <w:rFonts w:ascii="Verdana" w:hAnsi="Verdana" w:cs="PTSans-Regular"/>
          <w:color w:val="000000" w:themeColor="text1"/>
          <w:sz w:val="22"/>
          <w:szCs w:val="22"/>
          <w:lang w:eastAsia="en-CA"/>
        </w:rPr>
        <w:t>se solicitó concepto a la CREG respecto a los ajustes de los protocolos antes de la</w:t>
      </w:r>
      <w:r w:rsidR="00487E56" w:rsidRPr="00487E56">
        <w:rPr>
          <w:rFonts w:ascii="Verdana" w:hAnsi="Verdana" w:cs="PTSans-Regular"/>
          <w:color w:val="000000" w:themeColor="text1"/>
          <w:sz w:val="22"/>
          <w:szCs w:val="22"/>
          <w:lang w:eastAsia="en-CA"/>
        </w:rPr>
        <w:t xml:space="preserve"> expedición de la</w:t>
      </w:r>
      <w:r w:rsidR="002277C6" w:rsidRPr="00487E56">
        <w:rPr>
          <w:rFonts w:ascii="Verdana" w:hAnsi="Verdana" w:cs="PTSans-Regular"/>
          <w:color w:val="000000" w:themeColor="text1"/>
          <w:sz w:val="22"/>
          <w:szCs w:val="22"/>
          <w:lang w:eastAsia="en-CA"/>
        </w:rPr>
        <w:t xml:space="preserve"> citada resolución transitoria. La Comisión indicó que los eventuales ajustes deben hacerse en el marco de la reglamentación vigente. </w:t>
      </w:r>
    </w:p>
    <w:p w14:paraId="0A113C75" w14:textId="77777777" w:rsidR="001E5AE6" w:rsidRPr="00487E56" w:rsidRDefault="001E5AE6" w:rsidP="001E5AE6">
      <w:pPr>
        <w:jc w:val="both"/>
        <w:rPr>
          <w:rFonts w:ascii="Verdana" w:hAnsi="Verdana" w:cs="PTSans-Regular"/>
          <w:color w:val="000000" w:themeColor="text1"/>
          <w:sz w:val="22"/>
          <w:szCs w:val="22"/>
          <w:lang w:eastAsia="en-CA"/>
        </w:rPr>
      </w:pPr>
    </w:p>
    <w:p w14:paraId="6B364E4C" w14:textId="6CAA9D88" w:rsidR="001E5AE6" w:rsidRPr="00487E56" w:rsidRDefault="00D01C41" w:rsidP="00096A50">
      <w:pPr>
        <w:pStyle w:val="Prrafodelista"/>
        <w:numPr>
          <w:ilvl w:val="0"/>
          <w:numId w:val="24"/>
        </w:numPr>
        <w:jc w:val="both"/>
        <w:rPr>
          <w:rFonts w:ascii="Verdana" w:hAnsi="Verdana" w:cs="PTSans-Regular"/>
          <w:color w:val="000000" w:themeColor="text1"/>
          <w:sz w:val="22"/>
          <w:szCs w:val="22"/>
          <w:lang w:eastAsia="en-CA"/>
        </w:rPr>
      </w:pPr>
      <w:r w:rsidRPr="00487E56">
        <w:rPr>
          <w:rFonts w:ascii="Verdana" w:hAnsi="Verdana" w:cs="PTSans-Regular"/>
          <w:color w:val="000000" w:themeColor="text1"/>
          <w:sz w:val="22"/>
          <w:szCs w:val="22"/>
          <w:lang w:eastAsia="en-CA"/>
        </w:rPr>
        <w:t xml:space="preserve">Se reactivó la </w:t>
      </w:r>
      <w:r w:rsidR="00FE4B17" w:rsidRPr="00487E56">
        <w:rPr>
          <w:rFonts w:ascii="Verdana" w:hAnsi="Verdana" w:cs="PTSans-Regular"/>
          <w:color w:val="000000" w:themeColor="text1"/>
          <w:sz w:val="22"/>
          <w:szCs w:val="22"/>
          <w:lang w:eastAsia="en-CA"/>
        </w:rPr>
        <w:t xml:space="preserve">guía </w:t>
      </w:r>
      <w:r w:rsidRPr="00487E56">
        <w:rPr>
          <w:rFonts w:ascii="Verdana" w:hAnsi="Verdana" w:cs="PTSans-Regular"/>
          <w:color w:val="000000" w:themeColor="text1"/>
          <w:sz w:val="22"/>
          <w:szCs w:val="22"/>
          <w:lang w:eastAsia="en-CA"/>
        </w:rPr>
        <w:t>metodol</w:t>
      </w:r>
      <w:r w:rsidR="00FE4B17" w:rsidRPr="00487E56">
        <w:rPr>
          <w:rFonts w:ascii="Verdana" w:hAnsi="Verdana" w:cs="PTSans-Regular"/>
          <w:color w:val="000000" w:themeColor="text1"/>
          <w:sz w:val="22"/>
          <w:szCs w:val="22"/>
          <w:lang w:eastAsia="en-CA"/>
        </w:rPr>
        <w:t>ógica para</w:t>
      </w:r>
      <w:r w:rsidRPr="00487E56">
        <w:rPr>
          <w:rFonts w:ascii="Verdana" w:hAnsi="Verdana" w:cs="PTSans-Regular"/>
          <w:color w:val="000000" w:themeColor="text1"/>
          <w:sz w:val="22"/>
          <w:szCs w:val="22"/>
          <w:lang w:eastAsia="en-CA"/>
        </w:rPr>
        <w:t xml:space="preserve"> e</w:t>
      </w:r>
      <w:r w:rsidR="00FE4B17" w:rsidRPr="00487E56">
        <w:rPr>
          <w:rFonts w:ascii="Verdana" w:hAnsi="Verdana" w:cs="PTSans-Regular"/>
          <w:color w:val="000000" w:themeColor="text1"/>
          <w:sz w:val="22"/>
          <w:szCs w:val="22"/>
          <w:lang w:eastAsia="en-CA"/>
        </w:rPr>
        <w:t>l</w:t>
      </w:r>
      <w:r w:rsidRPr="00487E56">
        <w:rPr>
          <w:rFonts w:ascii="Verdana" w:hAnsi="Verdana" w:cs="PTSans-Regular"/>
          <w:color w:val="000000" w:themeColor="text1"/>
          <w:sz w:val="22"/>
          <w:szCs w:val="22"/>
          <w:lang w:eastAsia="en-CA"/>
        </w:rPr>
        <w:t xml:space="preserve"> cálculo del caudal ambiental por parte del MADS. El pasado viernes 02 de noviembre se llevó a cabo una reunión </w:t>
      </w:r>
      <w:r w:rsidR="00111FB4" w:rsidRPr="00487E56">
        <w:rPr>
          <w:rFonts w:ascii="Verdana" w:hAnsi="Verdana" w:cs="PTSans-Regular"/>
          <w:color w:val="000000" w:themeColor="text1"/>
          <w:sz w:val="22"/>
          <w:szCs w:val="22"/>
          <w:lang w:eastAsia="en-CA"/>
        </w:rPr>
        <w:t xml:space="preserve">con </w:t>
      </w:r>
      <w:r w:rsidR="00FE4B17" w:rsidRPr="00487E56">
        <w:rPr>
          <w:rFonts w:ascii="Verdana" w:hAnsi="Verdana" w:cs="PTSans-Regular"/>
          <w:color w:val="000000" w:themeColor="text1"/>
          <w:sz w:val="22"/>
          <w:szCs w:val="22"/>
          <w:lang w:eastAsia="en-CA"/>
        </w:rPr>
        <w:t>dicho</w:t>
      </w:r>
      <w:r w:rsidR="00111FB4" w:rsidRPr="00487E56">
        <w:rPr>
          <w:rFonts w:ascii="Verdana" w:hAnsi="Verdana" w:cs="PTSans-Regular"/>
          <w:color w:val="000000" w:themeColor="text1"/>
          <w:sz w:val="22"/>
          <w:szCs w:val="22"/>
          <w:lang w:eastAsia="en-CA"/>
        </w:rPr>
        <w:t xml:space="preserve"> Ministerio</w:t>
      </w:r>
      <w:r w:rsidR="00FE4B17" w:rsidRPr="00487E56">
        <w:rPr>
          <w:rFonts w:ascii="Verdana" w:hAnsi="Verdana" w:cs="PTSans-Regular"/>
          <w:color w:val="000000" w:themeColor="text1"/>
          <w:sz w:val="22"/>
          <w:szCs w:val="22"/>
          <w:lang w:eastAsia="en-CA"/>
        </w:rPr>
        <w:t xml:space="preserve">, </w:t>
      </w:r>
      <w:r w:rsidR="00111FB4" w:rsidRPr="00487E56">
        <w:rPr>
          <w:rFonts w:ascii="Verdana" w:hAnsi="Verdana" w:cs="PTSans-Regular"/>
          <w:color w:val="000000" w:themeColor="text1"/>
          <w:sz w:val="22"/>
          <w:szCs w:val="22"/>
          <w:lang w:eastAsia="en-CA"/>
        </w:rPr>
        <w:t xml:space="preserve">donde se presentaron los principales </w:t>
      </w:r>
      <w:r w:rsidR="00FE4B17" w:rsidRPr="00487E56">
        <w:rPr>
          <w:rFonts w:ascii="Verdana" w:hAnsi="Verdana" w:cs="PTSans-Regular"/>
          <w:color w:val="000000" w:themeColor="text1"/>
          <w:sz w:val="22"/>
          <w:szCs w:val="22"/>
          <w:lang w:eastAsia="en-CA"/>
        </w:rPr>
        <w:t>ajustes</w:t>
      </w:r>
      <w:r w:rsidR="00111FB4" w:rsidRPr="00487E56">
        <w:rPr>
          <w:rFonts w:ascii="Verdana" w:hAnsi="Verdana" w:cs="PTSans-Regular"/>
          <w:color w:val="000000" w:themeColor="text1"/>
          <w:sz w:val="22"/>
          <w:szCs w:val="22"/>
          <w:lang w:eastAsia="en-CA"/>
        </w:rPr>
        <w:t xml:space="preserve"> a </w:t>
      </w:r>
      <w:r w:rsidR="00FE4B17" w:rsidRPr="00487E56">
        <w:rPr>
          <w:rFonts w:ascii="Verdana" w:hAnsi="Verdana" w:cs="PTSans-Regular"/>
          <w:color w:val="000000" w:themeColor="text1"/>
          <w:sz w:val="22"/>
          <w:szCs w:val="22"/>
          <w:lang w:eastAsia="en-CA"/>
        </w:rPr>
        <w:t>la guía</w:t>
      </w:r>
      <w:r w:rsidR="00111FB4" w:rsidRPr="00487E56">
        <w:rPr>
          <w:rFonts w:ascii="Verdana" w:hAnsi="Verdana" w:cs="PTSans-Regular"/>
          <w:color w:val="000000" w:themeColor="text1"/>
          <w:sz w:val="22"/>
          <w:szCs w:val="22"/>
          <w:lang w:eastAsia="en-CA"/>
        </w:rPr>
        <w:t xml:space="preserve">. Básicamente se identifican </w:t>
      </w:r>
      <w:r w:rsidR="00FE4B17" w:rsidRPr="00487E56">
        <w:rPr>
          <w:rFonts w:ascii="Verdana" w:hAnsi="Verdana" w:cs="PTSans-Regular"/>
          <w:color w:val="000000" w:themeColor="text1"/>
          <w:sz w:val="22"/>
          <w:szCs w:val="22"/>
          <w:lang w:eastAsia="en-CA"/>
        </w:rPr>
        <w:t>cuatro</w:t>
      </w:r>
      <w:r w:rsidR="00111FB4" w:rsidRPr="00487E56">
        <w:rPr>
          <w:rFonts w:ascii="Verdana" w:hAnsi="Verdana" w:cs="PTSans-Regular"/>
          <w:color w:val="000000" w:themeColor="text1"/>
          <w:sz w:val="22"/>
          <w:szCs w:val="22"/>
          <w:lang w:eastAsia="en-CA"/>
        </w:rPr>
        <w:t xml:space="preserve"> grandes cambios: </w:t>
      </w:r>
      <w:r w:rsidR="00111FB4" w:rsidRPr="00DF0794">
        <w:rPr>
          <w:rFonts w:ascii="Verdana" w:hAnsi="Verdana" w:cs="PTSans-Regular"/>
          <w:b/>
          <w:color w:val="000000" w:themeColor="text1"/>
          <w:sz w:val="22"/>
          <w:szCs w:val="22"/>
          <w:lang w:eastAsia="en-CA"/>
        </w:rPr>
        <w:t>i)</w:t>
      </w:r>
      <w:r w:rsidR="00111FB4" w:rsidRPr="00487E56">
        <w:rPr>
          <w:rFonts w:ascii="Verdana" w:hAnsi="Verdana" w:cs="PTSans-Regular"/>
          <w:color w:val="000000" w:themeColor="text1"/>
          <w:sz w:val="22"/>
          <w:szCs w:val="22"/>
          <w:lang w:eastAsia="en-CA"/>
        </w:rPr>
        <w:t xml:space="preserve"> la definición de una fase 0 donde la autoridad ambiental establece la condición ecológica deseada; </w:t>
      </w:r>
      <w:r w:rsidR="00111FB4" w:rsidRPr="00DF0794">
        <w:rPr>
          <w:rFonts w:ascii="Verdana" w:hAnsi="Verdana" w:cs="PTSans-Regular"/>
          <w:b/>
          <w:color w:val="000000" w:themeColor="text1"/>
          <w:sz w:val="22"/>
          <w:szCs w:val="22"/>
          <w:lang w:eastAsia="en-CA"/>
        </w:rPr>
        <w:t xml:space="preserve">ii) </w:t>
      </w:r>
      <w:r w:rsidR="00FE4B17" w:rsidRPr="00487E56">
        <w:rPr>
          <w:rFonts w:ascii="Verdana" w:hAnsi="Verdana" w:cs="PTSans-Regular"/>
          <w:color w:val="000000" w:themeColor="text1"/>
          <w:sz w:val="22"/>
          <w:szCs w:val="22"/>
          <w:lang w:eastAsia="en-CA"/>
        </w:rPr>
        <w:t>ajuste al procedimiento</w:t>
      </w:r>
      <w:r w:rsidR="00111FB4" w:rsidRPr="00487E56">
        <w:rPr>
          <w:rFonts w:ascii="Verdana" w:hAnsi="Verdana" w:cs="PTSans-Regular"/>
          <w:color w:val="000000" w:themeColor="text1"/>
          <w:sz w:val="22"/>
          <w:szCs w:val="22"/>
          <w:lang w:eastAsia="en-CA"/>
        </w:rPr>
        <w:t xml:space="preserve"> de cálculo de los eventos de interés ecológico</w:t>
      </w:r>
      <w:r w:rsidR="00FE4B17" w:rsidRPr="00487E56">
        <w:rPr>
          <w:rFonts w:ascii="Verdana" w:hAnsi="Verdana" w:cs="PTSans-Regular"/>
          <w:color w:val="000000" w:themeColor="text1"/>
          <w:sz w:val="22"/>
          <w:szCs w:val="22"/>
          <w:lang w:eastAsia="en-CA"/>
        </w:rPr>
        <w:t xml:space="preserve">; </w:t>
      </w:r>
      <w:r w:rsidR="00111FB4" w:rsidRPr="00DF0794">
        <w:rPr>
          <w:rFonts w:ascii="Verdana" w:hAnsi="Verdana" w:cs="PTSans-Regular"/>
          <w:b/>
          <w:color w:val="000000" w:themeColor="text1"/>
          <w:sz w:val="22"/>
          <w:szCs w:val="22"/>
          <w:lang w:eastAsia="en-CA"/>
        </w:rPr>
        <w:t>iii)</w:t>
      </w:r>
      <w:r w:rsidR="00111FB4" w:rsidRPr="00487E56">
        <w:rPr>
          <w:rFonts w:ascii="Verdana" w:hAnsi="Verdana" w:cs="PTSans-Regular"/>
          <w:color w:val="000000" w:themeColor="text1"/>
          <w:sz w:val="22"/>
          <w:szCs w:val="22"/>
          <w:lang w:eastAsia="en-CA"/>
        </w:rPr>
        <w:t xml:space="preserve"> </w:t>
      </w:r>
      <w:r w:rsidR="00C02766" w:rsidRPr="00487E56">
        <w:rPr>
          <w:rFonts w:ascii="Verdana" w:hAnsi="Verdana" w:cs="PTSans-Regular"/>
          <w:color w:val="000000" w:themeColor="text1"/>
          <w:sz w:val="22"/>
          <w:szCs w:val="22"/>
          <w:lang w:eastAsia="en-CA"/>
        </w:rPr>
        <w:t>la inclusión</w:t>
      </w:r>
      <w:r w:rsidR="00111FB4" w:rsidRPr="00487E56">
        <w:rPr>
          <w:rFonts w:ascii="Verdana" w:hAnsi="Verdana" w:cs="PTSans-Regular"/>
          <w:color w:val="000000" w:themeColor="text1"/>
          <w:sz w:val="22"/>
          <w:szCs w:val="22"/>
          <w:lang w:eastAsia="en-CA"/>
        </w:rPr>
        <w:t xml:space="preserve"> de una metodología complementaria </w:t>
      </w:r>
      <w:r w:rsidR="00FE4B17" w:rsidRPr="00487E56">
        <w:rPr>
          <w:rFonts w:ascii="Verdana" w:hAnsi="Verdana" w:cs="PTSans-Regular"/>
          <w:color w:val="000000" w:themeColor="text1"/>
          <w:sz w:val="22"/>
          <w:szCs w:val="22"/>
          <w:lang w:eastAsia="en-CA"/>
        </w:rPr>
        <w:t xml:space="preserve">para determinar si hay alteración del régimen de flujo a través del cálculo de los indicadores IHA (índices de alteración hidrológica superior al 40 %); y </w:t>
      </w:r>
      <w:r w:rsidR="00FE4B17" w:rsidRPr="00DF0794">
        <w:rPr>
          <w:rFonts w:ascii="Verdana" w:hAnsi="Verdana" w:cs="PTSans-Regular"/>
          <w:b/>
          <w:color w:val="000000" w:themeColor="text1"/>
          <w:sz w:val="22"/>
          <w:szCs w:val="22"/>
          <w:lang w:eastAsia="en-CA"/>
        </w:rPr>
        <w:t>iv)</w:t>
      </w:r>
      <w:r w:rsidR="00FE4B17" w:rsidRPr="00487E56">
        <w:rPr>
          <w:rFonts w:ascii="Verdana" w:hAnsi="Verdana" w:cs="PTSans-Regular"/>
          <w:color w:val="000000" w:themeColor="text1"/>
          <w:sz w:val="22"/>
          <w:szCs w:val="22"/>
          <w:lang w:eastAsia="en-CA"/>
        </w:rPr>
        <w:t xml:space="preserve"> la </w:t>
      </w:r>
      <w:r w:rsidR="00C02766" w:rsidRPr="00487E56">
        <w:rPr>
          <w:rFonts w:ascii="Verdana" w:hAnsi="Verdana" w:cs="PTSans-Regular"/>
          <w:color w:val="000000" w:themeColor="text1"/>
          <w:sz w:val="22"/>
          <w:szCs w:val="22"/>
          <w:lang w:eastAsia="en-CA"/>
        </w:rPr>
        <w:t>propuesta</w:t>
      </w:r>
      <w:r w:rsidR="00FE4B17" w:rsidRPr="00487E56">
        <w:rPr>
          <w:rFonts w:ascii="Verdana" w:hAnsi="Verdana" w:cs="PTSans-Regular"/>
          <w:color w:val="000000" w:themeColor="text1"/>
          <w:sz w:val="22"/>
          <w:szCs w:val="22"/>
          <w:lang w:eastAsia="en-CA"/>
        </w:rPr>
        <w:t xml:space="preserve"> de un régimen transitorio. Durante la reunión la </w:t>
      </w:r>
      <w:r w:rsidR="00C02766" w:rsidRPr="00487E56">
        <w:rPr>
          <w:rFonts w:ascii="Verdana" w:hAnsi="Verdana" w:cs="PTSans-Regular"/>
          <w:color w:val="000000" w:themeColor="text1"/>
          <w:sz w:val="22"/>
          <w:szCs w:val="22"/>
          <w:lang w:eastAsia="en-CA"/>
        </w:rPr>
        <w:t>viceministra</w:t>
      </w:r>
      <w:r w:rsidR="00FE4B17" w:rsidRPr="00487E56">
        <w:rPr>
          <w:rFonts w:ascii="Verdana" w:hAnsi="Verdana" w:cs="PTSans-Regular"/>
          <w:color w:val="000000" w:themeColor="text1"/>
          <w:sz w:val="22"/>
          <w:szCs w:val="22"/>
          <w:lang w:eastAsia="en-CA"/>
        </w:rPr>
        <w:t xml:space="preserve"> del MADS solicitó de manera urgente la valoración del impacto, razón por la cual el día de ayer se llevó a cabo una reunión </w:t>
      </w:r>
      <w:r w:rsidR="00C02766" w:rsidRPr="00487E56">
        <w:rPr>
          <w:rFonts w:ascii="Verdana" w:hAnsi="Verdana" w:cs="PTSans-Regular"/>
          <w:color w:val="000000" w:themeColor="text1"/>
          <w:sz w:val="22"/>
          <w:szCs w:val="22"/>
          <w:lang w:eastAsia="en-CA"/>
        </w:rPr>
        <w:t xml:space="preserve">con su equipo técnico </w:t>
      </w:r>
      <w:r w:rsidR="00FE4B17" w:rsidRPr="00487E56">
        <w:rPr>
          <w:rFonts w:ascii="Verdana" w:hAnsi="Verdana" w:cs="PTSans-Regular"/>
          <w:color w:val="000000" w:themeColor="text1"/>
          <w:sz w:val="22"/>
          <w:szCs w:val="22"/>
          <w:lang w:eastAsia="en-CA"/>
        </w:rPr>
        <w:t xml:space="preserve">para </w:t>
      </w:r>
      <w:r w:rsidR="00C02766" w:rsidRPr="00487E56">
        <w:rPr>
          <w:rFonts w:ascii="Verdana" w:hAnsi="Verdana" w:cs="PTSans-Regular"/>
          <w:color w:val="000000" w:themeColor="text1"/>
          <w:sz w:val="22"/>
          <w:szCs w:val="22"/>
          <w:lang w:eastAsia="en-CA"/>
        </w:rPr>
        <w:t>determinar las causas de</w:t>
      </w:r>
      <w:r w:rsidR="00FE4B17" w:rsidRPr="00487E56">
        <w:rPr>
          <w:rFonts w:ascii="Verdana" w:hAnsi="Verdana" w:cs="PTSans-Regular"/>
          <w:color w:val="000000" w:themeColor="text1"/>
          <w:sz w:val="22"/>
          <w:szCs w:val="22"/>
          <w:lang w:eastAsia="en-CA"/>
        </w:rPr>
        <w:t xml:space="preserve"> las diferencias</w:t>
      </w:r>
      <w:r w:rsidR="00C02766" w:rsidRPr="00487E56">
        <w:rPr>
          <w:rFonts w:ascii="Verdana" w:hAnsi="Verdana" w:cs="PTSans-Regular"/>
          <w:color w:val="000000" w:themeColor="text1"/>
          <w:sz w:val="22"/>
          <w:szCs w:val="22"/>
          <w:lang w:eastAsia="en-CA"/>
        </w:rPr>
        <w:t xml:space="preserve"> en la magnitud de los aprovechamientos teóricos y reales. </w:t>
      </w:r>
      <w:r w:rsidR="00652374">
        <w:rPr>
          <w:rFonts w:ascii="Verdana" w:hAnsi="Verdana" w:cs="PTSans-Regular"/>
          <w:color w:val="000000" w:themeColor="text1"/>
          <w:sz w:val="22"/>
          <w:szCs w:val="22"/>
          <w:lang w:eastAsia="en-CA"/>
        </w:rPr>
        <w:t>S</w:t>
      </w:r>
      <w:r w:rsidR="00C02766" w:rsidRPr="00487E56">
        <w:rPr>
          <w:rFonts w:ascii="Verdana" w:hAnsi="Verdana" w:cs="PTSans-Regular"/>
          <w:color w:val="000000" w:themeColor="text1"/>
          <w:sz w:val="22"/>
          <w:szCs w:val="22"/>
          <w:lang w:eastAsia="en-CA"/>
        </w:rPr>
        <w:t>e agend</w:t>
      </w:r>
      <w:r w:rsidR="00EB1036">
        <w:rPr>
          <w:rFonts w:ascii="Verdana" w:hAnsi="Verdana" w:cs="PTSans-Regular"/>
          <w:color w:val="000000" w:themeColor="text1"/>
          <w:sz w:val="22"/>
          <w:szCs w:val="22"/>
          <w:lang w:eastAsia="en-CA"/>
        </w:rPr>
        <w:t>ó</w:t>
      </w:r>
      <w:r w:rsidR="00C02766" w:rsidRPr="00487E56">
        <w:rPr>
          <w:rFonts w:ascii="Verdana" w:hAnsi="Verdana" w:cs="PTSans-Regular"/>
          <w:color w:val="000000" w:themeColor="text1"/>
          <w:sz w:val="22"/>
          <w:szCs w:val="22"/>
          <w:lang w:eastAsia="en-CA"/>
        </w:rPr>
        <w:t xml:space="preserve"> una nueva reunión</w:t>
      </w:r>
      <w:r w:rsidR="00DF0794">
        <w:rPr>
          <w:rFonts w:ascii="Verdana" w:hAnsi="Verdana" w:cs="PTSans-Regular"/>
          <w:color w:val="000000" w:themeColor="text1"/>
          <w:sz w:val="22"/>
          <w:szCs w:val="22"/>
          <w:lang w:eastAsia="en-CA"/>
        </w:rPr>
        <w:t xml:space="preserve"> con los funcionarios que corren los modelos para verificar los datos de entrada</w:t>
      </w:r>
      <w:r w:rsidR="00C02766" w:rsidRPr="00487E56">
        <w:rPr>
          <w:rFonts w:ascii="Verdana" w:hAnsi="Verdana" w:cs="PTSans-Regular"/>
          <w:color w:val="000000" w:themeColor="text1"/>
          <w:sz w:val="22"/>
          <w:szCs w:val="22"/>
          <w:lang w:eastAsia="en-CA"/>
        </w:rPr>
        <w:t xml:space="preserve"> para este viernes 9 de noviembre. Es importante mencionar que el grupo de trabajo UPME-XM-CNO hará la valoración de impacto </w:t>
      </w:r>
      <w:r w:rsidR="00487E56" w:rsidRPr="00487E56">
        <w:rPr>
          <w:rFonts w:ascii="Verdana" w:hAnsi="Verdana" w:cs="PTSans-Regular"/>
          <w:color w:val="000000" w:themeColor="text1"/>
          <w:sz w:val="22"/>
          <w:szCs w:val="22"/>
          <w:lang w:eastAsia="en-CA"/>
        </w:rPr>
        <w:t>nuevamente, una</w:t>
      </w:r>
      <w:r w:rsidR="00C02766" w:rsidRPr="00487E56">
        <w:rPr>
          <w:rFonts w:ascii="Verdana" w:hAnsi="Verdana" w:cs="PTSans-Regular"/>
          <w:color w:val="000000" w:themeColor="text1"/>
          <w:sz w:val="22"/>
          <w:szCs w:val="22"/>
          <w:lang w:eastAsia="en-CA"/>
        </w:rPr>
        <w:t xml:space="preserve"> vez se llegue a un punto común de entendimiento con el MADS respecto a dichos aprovechamientos.   </w:t>
      </w:r>
      <w:r w:rsidR="00FE4B17" w:rsidRPr="00487E56">
        <w:rPr>
          <w:rFonts w:ascii="Verdana" w:hAnsi="Verdana" w:cs="PTSans-Regular"/>
          <w:color w:val="000000" w:themeColor="text1"/>
          <w:sz w:val="22"/>
          <w:szCs w:val="22"/>
          <w:lang w:eastAsia="en-CA"/>
        </w:rPr>
        <w:t xml:space="preserve">  </w:t>
      </w:r>
      <w:r w:rsidR="00111FB4" w:rsidRPr="00487E56">
        <w:rPr>
          <w:rFonts w:ascii="Verdana" w:hAnsi="Verdana" w:cs="PTSans-Regular"/>
          <w:color w:val="000000" w:themeColor="text1"/>
          <w:sz w:val="22"/>
          <w:szCs w:val="22"/>
          <w:lang w:eastAsia="en-CA"/>
        </w:rPr>
        <w:t xml:space="preserve"> </w:t>
      </w:r>
      <w:r w:rsidRPr="00487E56">
        <w:rPr>
          <w:rFonts w:ascii="Verdana" w:hAnsi="Verdana" w:cs="PTSans-Regular"/>
          <w:color w:val="000000" w:themeColor="text1"/>
          <w:sz w:val="22"/>
          <w:szCs w:val="22"/>
          <w:lang w:eastAsia="en-CA"/>
        </w:rPr>
        <w:t xml:space="preserve"> </w:t>
      </w:r>
    </w:p>
    <w:p w14:paraId="5324FF9A" w14:textId="77777777" w:rsidR="001C3E7C" w:rsidRPr="00487E56" w:rsidRDefault="001C3E7C" w:rsidP="001C3E7C">
      <w:pPr>
        <w:pStyle w:val="Prrafodelista"/>
        <w:rPr>
          <w:rFonts w:ascii="Verdana" w:hAnsi="Verdana" w:cs="PTSans-Regular"/>
          <w:color w:val="000000" w:themeColor="text1"/>
          <w:sz w:val="22"/>
          <w:szCs w:val="22"/>
          <w:lang w:eastAsia="en-CA"/>
        </w:rPr>
      </w:pPr>
    </w:p>
    <w:p w14:paraId="2EA6E17B" w14:textId="20F5EA0E" w:rsidR="001C3E7C" w:rsidRPr="005D174B" w:rsidRDefault="00F924D4" w:rsidP="00096A50">
      <w:pPr>
        <w:pStyle w:val="Prrafodelista"/>
        <w:numPr>
          <w:ilvl w:val="0"/>
          <w:numId w:val="24"/>
        </w:numPr>
        <w:jc w:val="both"/>
        <w:rPr>
          <w:rFonts w:ascii="Verdana" w:hAnsi="Verdana" w:cs="PTSans-Regular"/>
          <w:color w:val="000000" w:themeColor="text1"/>
          <w:sz w:val="22"/>
          <w:szCs w:val="22"/>
          <w:lang w:eastAsia="en-CA"/>
        </w:rPr>
      </w:pPr>
      <w:r w:rsidRPr="005D174B">
        <w:rPr>
          <w:rFonts w:ascii="Verdana" w:hAnsi="Verdana" w:cs="PTSans-Regular"/>
          <w:color w:val="000000" w:themeColor="text1"/>
          <w:sz w:val="22"/>
          <w:szCs w:val="22"/>
          <w:lang w:eastAsia="en-CA"/>
        </w:rPr>
        <w:t xml:space="preserve">El miércoles 31 de octubre llegó la comunicación de </w:t>
      </w:r>
      <w:r w:rsidR="001C3E7C" w:rsidRPr="005D174B">
        <w:rPr>
          <w:rFonts w:ascii="Verdana" w:hAnsi="Verdana" w:cs="PTSans-Regular"/>
          <w:color w:val="000000" w:themeColor="text1"/>
          <w:sz w:val="22"/>
          <w:szCs w:val="22"/>
          <w:lang w:eastAsia="en-CA"/>
        </w:rPr>
        <w:t>DRUMMOND</w:t>
      </w:r>
      <w:r>
        <w:rPr>
          <w:rFonts w:ascii="Verdana" w:hAnsi="Verdana" w:cs="PTSans-Regular"/>
          <w:color w:val="000000" w:themeColor="text1"/>
          <w:sz w:val="22"/>
          <w:szCs w:val="22"/>
          <w:lang w:eastAsia="en-CA"/>
        </w:rPr>
        <w:t xml:space="preserve">, en </w:t>
      </w:r>
      <w:r w:rsidRPr="005D174B">
        <w:rPr>
          <w:rFonts w:ascii="Verdana" w:hAnsi="Verdana" w:cs="PTSans-Regular"/>
          <w:color w:val="000000" w:themeColor="text1"/>
          <w:sz w:val="22"/>
          <w:szCs w:val="22"/>
          <w:lang w:eastAsia="en-CA"/>
        </w:rPr>
        <w:t>la que solicita al Consejo la reconsideración de la solicitud de conexión en T como usuario del servicio público de electricidad</w:t>
      </w:r>
      <w:r>
        <w:rPr>
          <w:rFonts w:ascii="Verdana" w:hAnsi="Verdana" w:cs="PTSans-Regular"/>
          <w:color w:val="000000" w:themeColor="text1"/>
          <w:sz w:val="22"/>
          <w:szCs w:val="22"/>
          <w:lang w:eastAsia="en-CA"/>
        </w:rPr>
        <w:t xml:space="preserve">, en </w:t>
      </w:r>
      <w:r w:rsidRPr="005D174B">
        <w:rPr>
          <w:rFonts w:ascii="Verdana" w:hAnsi="Verdana" w:cs="PTSans-Regular"/>
          <w:color w:val="000000" w:themeColor="text1"/>
          <w:sz w:val="22"/>
          <w:szCs w:val="22"/>
          <w:lang w:eastAsia="en-CA"/>
        </w:rPr>
        <w:t xml:space="preserve">aplicación de la excepción de inconstitucionalidad a la Resolución CREG 093 de 1996. El tema será revisado </w:t>
      </w:r>
      <w:r>
        <w:rPr>
          <w:rFonts w:ascii="Verdana" w:hAnsi="Verdana" w:cs="PTSans-Regular"/>
          <w:color w:val="000000" w:themeColor="text1"/>
          <w:sz w:val="22"/>
          <w:szCs w:val="22"/>
          <w:lang w:eastAsia="en-CA"/>
        </w:rPr>
        <w:t xml:space="preserve">por el Comité Legal </w:t>
      </w:r>
      <w:r w:rsidRPr="005D174B">
        <w:rPr>
          <w:rFonts w:ascii="Verdana" w:hAnsi="Verdana" w:cs="PTSans-Regular"/>
          <w:color w:val="000000" w:themeColor="text1"/>
          <w:sz w:val="22"/>
          <w:szCs w:val="22"/>
          <w:lang w:eastAsia="en-CA"/>
        </w:rPr>
        <w:t>en reunion del próximo 14 de noviembre.</w:t>
      </w:r>
    </w:p>
    <w:p w14:paraId="782A6BCB" w14:textId="77777777" w:rsidR="001C3E7C" w:rsidRPr="00487E56" w:rsidRDefault="001C3E7C" w:rsidP="001C3E7C">
      <w:pPr>
        <w:pStyle w:val="Prrafodelista"/>
        <w:rPr>
          <w:rFonts w:ascii="Verdana" w:hAnsi="Verdana" w:cs="PTSans-Regular"/>
          <w:color w:val="000000" w:themeColor="text1"/>
          <w:sz w:val="22"/>
          <w:szCs w:val="22"/>
          <w:lang w:eastAsia="en-CA"/>
        </w:rPr>
      </w:pPr>
    </w:p>
    <w:p w14:paraId="54F0B0A9" w14:textId="28A6A4B5" w:rsidR="005F082A" w:rsidRPr="00DF0794" w:rsidRDefault="00C84A24" w:rsidP="00DF0794">
      <w:pPr>
        <w:pStyle w:val="Prrafodelista"/>
        <w:numPr>
          <w:ilvl w:val="0"/>
          <w:numId w:val="24"/>
        </w:numPr>
        <w:jc w:val="both"/>
        <w:rPr>
          <w:rFonts w:ascii="Verdana" w:hAnsi="Verdana" w:cs="PTSans-Regular"/>
          <w:color w:val="000000" w:themeColor="text1"/>
          <w:sz w:val="22"/>
          <w:szCs w:val="22"/>
          <w:lang w:eastAsia="en-CA"/>
        </w:rPr>
      </w:pPr>
      <w:r w:rsidRPr="00487E56">
        <w:rPr>
          <w:rFonts w:ascii="Verdana" w:hAnsi="Verdana" w:cs="PTSans-Regular"/>
          <w:color w:val="000000" w:themeColor="text1"/>
          <w:sz w:val="22"/>
          <w:szCs w:val="22"/>
          <w:lang w:eastAsia="en-CA"/>
        </w:rPr>
        <w:t xml:space="preserve">A través de la </w:t>
      </w:r>
      <w:r w:rsidR="00F924D4">
        <w:rPr>
          <w:rFonts w:ascii="Verdana" w:hAnsi="Verdana" w:cs="PTSans-Regular"/>
          <w:color w:val="000000" w:themeColor="text1"/>
          <w:sz w:val="22"/>
          <w:szCs w:val="22"/>
          <w:lang w:eastAsia="en-CA"/>
        </w:rPr>
        <w:t>C</w:t>
      </w:r>
      <w:r w:rsidRPr="00487E56">
        <w:rPr>
          <w:rFonts w:ascii="Verdana" w:hAnsi="Verdana" w:cs="PTSans-Regular"/>
          <w:color w:val="000000" w:themeColor="text1"/>
          <w:sz w:val="22"/>
          <w:szCs w:val="22"/>
          <w:lang w:eastAsia="en-CA"/>
        </w:rPr>
        <w:t xml:space="preserve">ircular </w:t>
      </w:r>
      <w:r w:rsidR="00CB1A48" w:rsidRPr="00487E56">
        <w:rPr>
          <w:rFonts w:ascii="Verdana" w:hAnsi="Verdana" w:cs="PTSans-Regular"/>
          <w:color w:val="000000" w:themeColor="text1"/>
          <w:sz w:val="22"/>
          <w:szCs w:val="22"/>
          <w:lang w:eastAsia="en-CA"/>
        </w:rPr>
        <w:t>082 la CREG publicó el tercer informe del estudio “</w:t>
      </w:r>
      <w:r w:rsidR="00CB1A48" w:rsidRPr="00DF0794">
        <w:rPr>
          <w:rFonts w:ascii="Verdana" w:hAnsi="Verdana" w:cs="PTSans-Regular"/>
          <w:i/>
          <w:color w:val="000000" w:themeColor="text1"/>
          <w:sz w:val="22"/>
          <w:szCs w:val="22"/>
          <w:lang w:eastAsia="en-CA"/>
        </w:rPr>
        <w:t>Análisis de los Servicios Complementarios para el Sistema Interconectado Nacional (SIN)”.</w:t>
      </w:r>
      <w:r w:rsidR="00CB1A48" w:rsidRPr="00487E56">
        <w:rPr>
          <w:rFonts w:ascii="Verdana" w:hAnsi="Verdana" w:cs="PTSans-Regular"/>
          <w:i/>
          <w:color w:val="000000" w:themeColor="text1"/>
          <w:sz w:val="22"/>
          <w:szCs w:val="22"/>
          <w:lang w:eastAsia="en-CA"/>
        </w:rPr>
        <w:t xml:space="preserve"> </w:t>
      </w:r>
      <w:r w:rsidR="00B11578" w:rsidRPr="00487E56">
        <w:rPr>
          <w:rFonts w:ascii="Verdana" w:hAnsi="Verdana" w:cs="PTSans-Regular"/>
          <w:color w:val="000000" w:themeColor="text1"/>
          <w:sz w:val="22"/>
          <w:szCs w:val="22"/>
          <w:lang w:eastAsia="en-CA"/>
        </w:rPr>
        <w:t xml:space="preserve">Las observaciones serán recibidas </w:t>
      </w:r>
      <w:r w:rsidR="00FF217B" w:rsidRPr="00487E56">
        <w:rPr>
          <w:rFonts w:ascii="Verdana" w:hAnsi="Verdana" w:cs="PTSans-Regular"/>
          <w:color w:val="000000" w:themeColor="text1"/>
          <w:sz w:val="22"/>
          <w:szCs w:val="22"/>
          <w:lang w:eastAsia="en-CA"/>
        </w:rPr>
        <w:t xml:space="preserve">por la CREG </w:t>
      </w:r>
      <w:r w:rsidR="00B11578" w:rsidRPr="00487E56">
        <w:rPr>
          <w:rFonts w:ascii="Verdana" w:hAnsi="Verdana" w:cs="PTSans-Regular"/>
          <w:color w:val="000000" w:themeColor="text1"/>
          <w:sz w:val="22"/>
          <w:szCs w:val="22"/>
          <w:lang w:eastAsia="en-CA"/>
        </w:rPr>
        <w:t>hasta el viernes 9 de noviembre del año en curso. En el Subcomité de Plantas y Comité de Operación se</w:t>
      </w:r>
      <w:r w:rsidR="00FF217B" w:rsidRPr="00487E56">
        <w:rPr>
          <w:rFonts w:ascii="Verdana" w:hAnsi="Verdana" w:cs="PTSans-Regular"/>
          <w:color w:val="000000" w:themeColor="text1"/>
          <w:sz w:val="22"/>
          <w:szCs w:val="22"/>
          <w:lang w:eastAsia="en-CA"/>
        </w:rPr>
        <w:t xml:space="preserve"> formularon varios comentarios, los cuales se </w:t>
      </w:r>
      <w:r w:rsidR="00CB4175" w:rsidRPr="00487E56">
        <w:rPr>
          <w:rFonts w:ascii="Verdana" w:hAnsi="Verdana" w:cs="PTSans-Regular"/>
          <w:color w:val="000000" w:themeColor="text1"/>
          <w:sz w:val="22"/>
          <w:szCs w:val="22"/>
          <w:lang w:eastAsia="en-CA"/>
        </w:rPr>
        <w:t xml:space="preserve">detallan en el documento y </w:t>
      </w:r>
      <w:r w:rsidR="0013347C" w:rsidRPr="00487E56">
        <w:rPr>
          <w:rFonts w:ascii="Verdana" w:hAnsi="Verdana" w:cs="PTSans-Regular"/>
          <w:color w:val="000000" w:themeColor="text1"/>
          <w:sz w:val="22"/>
          <w:szCs w:val="22"/>
          <w:lang w:eastAsia="en-CA"/>
        </w:rPr>
        <w:t>diapositiva adjunta</w:t>
      </w:r>
      <w:r w:rsidR="000C57BF" w:rsidRPr="00487E56">
        <w:rPr>
          <w:rFonts w:ascii="Verdana" w:hAnsi="Verdana" w:cs="PTSans-Regular"/>
          <w:color w:val="000000" w:themeColor="text1"/>
          <w:sz w:val="22"/>
          <w:szCs w:val="22"/>
          <w:lang w:eastAsia="en-CA"/>
        </w:rPr>
        <w:t>.</w:t>
      </w:r>
    </w:p>
    <w:p w14:paraId="7C2D4AA0" w14:textId="663E4A6D" w:rsidR="00FC03F0" w:rsidRPr="00DF0794" w:rsidRDefault="00FC03F0" w:rsidP="00DF0794">
      <w:pPr>
        <w:pStyle w:val="Prrafodelista"/>
        <w:rPr>
          <w:rFonts w:ascii="Verdana" w:hAnsi="Verdana" w:cs="PTSans-Regular"/>
          <w:color w:val="000000" w:themeColor="text1"/>
          <w:sz w:val="22"/>
          <w:szCs w:val="22"/>
          <w:lang w:eastAsia="en-CA"/>
        </w:rPr>
      </w:pPr>
    </w:p>
    <w:p w14:paraId="02C991A2" w14:textId="5FCCEBF5" w:rsidR="00144C0B" w:rsidRPr="00487E56" w:rsidRDefault="00936049" w:rsidP="00096A50">
      <w:pPr>
        <w:pStyle w:val="Prrafodelista"/>
        <w:numPr>
          <w:ilvl w:val="0"/>
          <w:numId w:val="24"/>
        </w:numPr>
        <w:jc w:val="both"/>
        <w:rPr>
          <w:rFonts w:ascii="Verdana" w:hAnsi="Verdana" w:cs="PTSans-Regular"/>
          <w:color w:val="000000" w:themeColor="text1"/>
          <w:sz w:val="22"/>
          <w:szCs w:val="22"/>
          <w:lang w:eastAsia="en-CA"/>
        </w:rPr>
      </w:pPr>
      <w:r w:rsidRPr="00487E56">
        <w:rPr>
          <w:rFonts w:ascii="Verdana" w:hAnsi="Verdana" w:cs="PTSans-Regular"/>
          <w:color w:val="000000" w:themeColor="text1"/>
          <w:sz w:val="22"/>
          <w:szCs w:val="22"/>
          <w:lang w:eastAsia="en-CA"/>
        </w:rPr>
        <w:t xml:space="preserve">XM publicó recientemente el Informe Trimestral de Restricciones, donde se evalúo energéticamente cada una de las alternativas en corriente continua para evacuar mas de 2000 MW de potencia eólica en la subárea Guajira/Cesar/Magdalena-GCM. Los resultados obtenidos por el CND sugieren que </w:t>
      </w:r>
      <w:r w:rsidR="002C5C7C" w:rsidRPr="00487E56">
        <w:rPr>
          <w:rFonts w:ascii="Verdana" w:hAnsi="Verdana" w:cs="PTSans-Regular"/>
          <w:color w:val="000000" w:themeColor="text1"/>
          <w:sz w:val="22"/>
          <w:szCs w:val="22"/>
          <w:lang w:eastAsia="en-CA"/>
        </w:rPr>
        <w:t>el enlace planteado al área Oriental bajo la tecnología</w:t>
      </w:r>
      <w:r w:rsidRPr="00487E56">
        <w:rPr>
          <w:rFonts w:ascii="Verdana" w:hAnsi="Verdana" w:cs="PTSans-Regular"/>
          <w:color w:val="000000" w:themeColor="text1"/>
          <w:sz w:val="22"/>
          <w:szCs w:val="22"/>
          <w:lang w:eastAsia="en-CA"/>
        </w:rPr>
        <w:t xml:space="preserve"> LCC</w:t>
      </w:r>
      <w:r w:rsidR="002C5C7C" w:rsidRPr="00487E56">
        <w:rPr>
          <w:rFonts w:ascii="Verdana" w:hAnsi="Verdana" w:cs="PTSans-Regular"/>
          <w:color w:val="000000" w:themeColor="text1"/>
          <w:sz w:val="22"/>
          <w:szCs w:val="22"/>
          <w:lang w:eastAsia="en-CA"/>
        </w:rPr>
        <w:t xml:space="preserve"> tendría un nivel de carga inferior al 45 % en estado estable, ya que la </w:t>
      </w:r>
      <w:r w:rsidR="005424A9" w:rsidRPr="00487E56">
        <w:rPr>
          <w:rFonts w:ascii="Verdana" w:hAnsi="Verdana" w:cs="PTSans-Regular"/>
          <w:color w:val="000000" w:themeColor="text1"/>
          <w:sz w:val="22"/>
          <w:szCs w:val="22"/>
          <w:lang w:eastAsia="en-CA"/>
        </w:rPr>
        <w:t xml:space="preserve">mayoría de la </w:t>
      </w:r>
      <w:r w:rsidR="002C5C7C" w:rsidRPr="00487E56">
        <w:rPr>
          <w:rFonts w:ascii="Verdana" w:hAnsi="Verdana" w:cs="PTSans-Regular"/>
          <w:color w:val="000000" w:themeColor="text1"/>
          <w:sz w:val="22"/>
          <w:szCs w:val="22"/>
          <w:lang w:eastAsia="en-CA"/>
        </w:rPr>
        <w:t>producción renovable se consumiría localmente en el área Caribe. Por otro lado, si se contempla la alternativa VSC en Cerromatoso, dich</w:t>
      </w:r>
      <w:r w:rsidR="00144C0B" w:rsidRPr="00487E56">
        <w:rPr>
          <w:rFonts w:ascii="Verdana" w:hAnsi="Verdana" w:cs="PTSans-Regular"/>
          <w:color w:val="000000" w:themeColor="text1"/>
          <w:sz w:val="22"/>
          <w:szCs w:val="22"/>
          <w:lang w:eastAsia="en-CA"/>
        </w:rPr>
        <w:t>a</w:t>
      </w:r>
      <w:r w:rsidR="002C5C7C" w:rsidRPr="00487E56">
        <w:rPr>
          <w:rFonts w:ascii="Verdana" w:hAnsi="Verdana" w:cs="PTSans-Regular"/>
          <w:color w:val="000000" w:themeColor="text1"/>
          <w:sz w:val="22"/>
          <w:szCs w:val="22"/>
          <w:lang w:eastAsia="en-CA"/>
        </w:rPr>
        <w:t xml:space="preserve"> línea soportaría toda la potencia eólica, pero la misma se devolvería hacia el área Caribe por los diferentes enlaces en corriente continua. Finalmente, para la alternativa VSC</w:t>
      </w:r>
      <w:r w:rsidR="00144C0B" w:rsidRPr="00487E56">
        <w:rPr>
          <w:rFonts w:ascii="Verdana" w:hAnsi="Verdana" w:cs="PTSans-Regular"/>
          <w:color w:val="000000" w:themeColor="text1"/>
          <w:sz w:val="22"/>
          <w:szCs w:val="22"/>
          <w:lang w:eastAsia="en-CA"/>
        </w:rPr>
        <w:t xml:space="preserve"> </w:t>
      </w:r>
      <w:r w:rsidR="00144C0B" w:rsidRPr="00487E56">
        <w:rPr>
          <w:rFonts w:ascii="Verdana" w:hAnsi="Verdana" w:cs="PTSans-Regular"/>
          <w:color w:val="000000" w:themeColor="text1"/>
          <w:sz w:val="22"/>
          <w:szCs w:val="22"/>
          <w:lang w:eastAsia="en-CA"/>
        </w:rPr>
        <w:lastRenderedPageBreak/>
        <w:t>al área Oriental, esta generación se inyectaría en su totalidad en dicha zona, evidenciándose que, en los momentos de altos aportes hídricos en los meses de julio y agosto, cuando precisamente se presentan las crecientes en el piedemonte llanero, el área Oriental exportaría potencia al resto del SIN.</w:t>
      </w:r>
    </w:p>
    <w:p w14:paraId="09E49593" w14:textId="77777777" w:rsidR="00144C0B" w:rsidRPr="00DF0794" w:rsidRDefault="00144C0B" w:rsidP="00DF0794">
      <w:pPr>
        <w:pStyle w:val="Prrafodelista"/>
        <w:rPr>
          <w:rFonts w:ascii="Verdana" w:hAnsi="Verdana" w:cs="PTSans-Regular"/>
          <w:color w:val="000000" w:themeColor="text1"/>
          <w:sz w:val="22"/>
          <w:szCs w:val="22"/>
          <w:lang w:eastAsia="en-CA"/>
        </w:rPr>
      </w:pPr>
    </w:p>
    <w:p w14:paraId="7720E914" w14:textId="79AB454F" w:rsidR="002C5C7C" w:rsidRPr="00487E56" w:rsidRDefault="00144C0B" w:rsidP="00DF0794">
      <w:pPr>
        <w:pStyle w:val="Prrafodelista"/>
        <w:ind w:left="360"/>
        <w:jc w:val="both"/>
        <w:rPr>
          <w:rFonts w:ascii="Verdana" w:hAnsi="Verdana" w:cs="PTSans-Regular"/>
          <w:color w:val="000000" w:themeColor="text1"/>
          <w:sz w:val="22"/>
          <w:szCs w:val="22"/>
          <w:lang w:eastAsia="en-CA"/>
        </w:rPr>
      </w:pPr>
      <w:r w:rsidRPr="00487E56">
        <w:rPr>
          <w:rFonts w:ascii="Verdana" w:hAnsi="Verdana" w:cs="PTSans-Regular"/>
          <w:color w:val="000000" w:themeColor="text1"/>
          <w:sz w:val="22"/>
          <w:szCs w:val="22"/>
          <w:lang w:eastAsia="en-CA"/>
        </w:rPr>
        <w:t>Dadas las implicaciones de los resultados encontrados por el CND</w:t>
      </w:r>
      <w:r w:rsidR="005424A9" w:rsidRPr="00487E56">
        <w:rPr>
          <w:rFonts w:ascii="Verdana" w:hAnsi="Verdana" w:cs="PTSans-Regular"/>
          <w:color w:val="000000" w:themeColor="text1"/>
          <w:sz w:val="22"/>
          <w:szCs w:val="22"/>
          <w:lang w:eastAsia="en-CA"/>
        </w:rPr>
        <w:t xml:space="preserve"> para</w:t>
      </w:r>
      <w:r w:rsidRPr="00487E56">
        <w:rPr>
          <w:rFonts w:ascii="Verdana" w:hAnsi="Verdana" w:cs="PTSans-Regular"/>
          <w:color w:val="000000" w:themeColor="text1"/>
          <w:sz w:val="22"/>
          <w:szCs w:val="22"/>
          <w:lang w:eastAsia="en-CA"/>
        </w:rPr>
        <w:t xml:space="preserve"> </w:t>
      </w:r>
      <w:r w:rsidR="005424A9" w:rsidRPr="00487E56">
        <w:rPr>
          <w:rFonts w:ascii="Verdana" w:hAnsi="Verdana" w:cs="PTSans-Regular"/>
          <w:color w:val="000000" w:themeColor="text1"/>
          <w:sz w:val="22"/>
          <w:szCs w:val="22"/>
          <w:lang w:eastAsia="en-CA"/>
        </w:rPr>
        <w:t>el cálculo de los beneficios</w:t>
      </w:r>
      <w:r w:rsidRPr="00487E56">
        <w:rPr>
          <w:rFonts w:ascii="Verdana" w:hAnsi="Verdana" w:cs="PTSans-Regular"/>
          <w:color w:val="000000" w:themeColor="text1"/>
          <w:sz w:val="22"/>
          <w:szCs w:val="22"/>
          <w:lang w:eastAsia="en-CA"/>
        </w:rPr>
        <w:t xml:space="preserve"> </w:t>
      </w:r>
      <w:r w:rsidR="005424A9" w:rsidRPr="00487E56">
        <w:rPr>
          <w:rFonts w:ascii="Verdana" w:hAnsi="Verdana" w:cs="PTSans-Regular"/>
          <w:color w:val="000000" w:themeColor="text1"/>
          <w:sz w:val="22"/>
          <w:szCs w:val="22"/>
          <w:lang w:eastAsia="en-CA"/>
        </w:rPr>
        <w:t xml:space="preserve">de cada una de las opciones en corriente continua y sus efectos en la operación del SIN en el largo plazo (reducción de costos operativos, disminución del costo marginal de la demanda e incremento de los límites de importación), </w:t>
      </w:r>
      <w:r w:rsidRPr="00487E56">
        <w:rPr>
          <w:rFonts w:ascii="Verdana" w:hAnsi="Verdana" w:cs="PTSans-Regular"/>
          <w:color w:val="000000" w:themeColor="text1"/>
          <w:sz w:val="22"/>
          <w:szCs w:val="22"/>
          <w:lang w:eastAsia="en-CA"/>
        </w:rPr>
        <w:t>se convocará una reunión conjunta entre los Comités de Transmisión, Distribución</w:t>
      </w:r>
      <w:r w:rsidR="005424A9" w:rsidRPr="00487E56">
        <w:rPr>
          <w:rFonts w:ascii="Verdana" w:hAnsi="Verdana" w:cs="PTSans-Regular"/>
          <w:color w:val="000000" w:themeColor="text1"/>
          <w:sz w:val="22"/>
          <w:szCs w:val="22"/>
          <w:lang w:eastAsia="en-CA"/>
        </w:rPr>
        <w:t xml:space="preserve"> y Operación</w:t>
      </w:r>
      <w:r w:rsidRPr="00487E56">
        <w:rPr>
          <w:rFonts w:ascii="Verdana" w:hAnsi="Verdana" w:cs="PTSans-Regular"/>
          <w:color w:val="000000" w:themeColor="text1"/>
          <w:sz w:val="22"/>
          <w:szCs w:val="22"/>
          <w:lang w:eastAsia="en-CA"/>
        </w:rPr>
        <w:t xml:space="preserve"> para analizar </w:t>
      </w:r>
      <w:r w:rsidR="005424A9" w:rsidRPr="00487E56">
        <w:rPr>
          <w:rFonts w:ascii="Verdana" w:hAnsi="Verdana" w:cs="PTSans-Regular"/>
          <w:color w:val="000000" w:themeColor="text1"/>
          <w:sz w:val="22"/>
          <w:szCs w:val="22"/>
          <w:lang w:eastAsia="en-CA"/>
        </w:rPr>
        <w:t xml:space="preserve">dichos resultados </w:t>
      </w:r>
      <w:r w:rsidRPr="00487E56">
        <w:rPr>
          <w:rFonts w:ascii="Verdana" w:hAnsi="Verdana" w:cs="PTSans-Regular"/>
          <w:color w:val="000000" w:themeColor="text1"/>
          <w:sz w:val="22"/>
          <w:szCs w:val="22"/>
          <w:lang w:eastAsia="en-CA"/>
        </w:rPr>
        <w:t>(también serán analizados en el Subcomité de Planeamiento Operativo-SPO).</w:t>
      </w:r>
    </w:p>
    <w:p w14:paraId="6F571E2B" w14:textId="0D6858BC" w:rsidR="00FC03F0" w:rsidRPr="00DF0794" w:rsidRDefault="002C5C7C" w:rsidP="00DF0794">
      <w:pPr>
        <w:jc w:val="both"/>
        <w:rPr>
          <w:rFonts w:ascii="Verdana" w:hAnsi="Verdana" w:cs="PTSans-Regular"/>
          <w:color w:val="000000" w:themeColor="text1"/>
          <w:sz w:val="22"/>
          <w:szCs w:val="22"/>
          <w:lang w:eastAsia="en-CA"/>
        </w:rPr>
      </w:pPr>
      <w:r w:rsidRPr="00DF0794">
        <w:rPr>
          <w:rFonts w:ascii="Verdana" w:hAnsi="Verdana" w:cs="PTSans-Regular"/>
          <w:color w:val="000000" w:themeColor="text1"/>
          <w:sz w:val="22"/>
          <w:szCs w:val="22"/>
          <w:lang w:eastAsia="en-CA"/>
        </w:rPr>
        <w:t xml:space="preserve">  </w:t>
      </w:r>
      <w:r w:rsidR="00936049" w:rsidRPr="00DF0794">
        <w:rPr>
          <w:rFonts w:ascii="Verdana" w:hAnsi="Verdana" w:cs="PTSans-Regular"/>
          <w:color w:val="000000" w:themeColor="text1"/>
          <w:sz w:val="22"/>
          <w:szCs w:val="22"/>
          <w:lang w:eastAsia="en-CA"/>
        </w:rPr>
        <w:t xml:space="preserve"> </w:t>
      </w:r>
    </w:p>
    <w:p w14:paraId="34698416" w14:textId="1C098042" w:rsidR="00B24D3D" w:rsidRPr="00487E56" w:rsidRDefault="005424A9" w:rsidP="00B24D3D">
      <w:pPr>
        <w:pStyle w:val="Prrafodelista"/>
        <w:numPr>
          <w:ilvl w:val="0"/>
          <w:numId w:val="24"/>
        </w:numPr>
        <w:jc w:val="both"/>
        <w:rPr>
          <w:rFonts w:ascii="Verdana" w:hAnsi="Verdana" w:cs="PTSans-Regular"/>
          <w:color w:val="000000" w:themeColor="text1"/>
          <w:sz w:val="22"/>
          <w:szCs w:val="22"/>
          <w:lang w:eastAsia="en-CA"/>
        </w:rPr>
      </w:pPr>
      <w:r w:rsidRPr="00487E56">
        <w:rPr>
          <w:rFonts w:ascii="Verdana" w:hAnsi="Verdana" w:cs="PTSans-Regular"/>
          <w:color w:val="000000" w:themeColor="text1"/>
          <w:sz w:val="22"/>
          <w:szCs w:val="22"/>
          <w:lang w:eastAsia="en-CA"/>
        </w:rPr>
        <w:t xml:space="preserve">A través de la </w:t>
      </w:r>
      <w:r w:rsidR="00F924D4">
        <w:rPr>
          <w:rFonts w:ascii="Verdana" w:hAnsi="Verdana" w:cs="PTSans-Regular"/>
          <w:color w:val="000000" w:themeColor="text1"/>
          <w:sz w:val="22"/>
          <w:szCs w:val="22"/>
          <w:lang w:eastAsia="en-CA"/>
        </w:rPr>
        <w:t>C</w:t>
      </w:r>
      <w:r w:rsidRPr="00487E56">
        <w:rPr>
          <w:rFonts w:ascii="Verdana" w:hAnsi="Verdana" w:cs="PTSans-Regular"/>
          <w:color w:val="000000" w:themeColor="text1"/>
          <w:sz w:val="22"/>
          <w:szCs w:val="22"/>
          <w:lang w:eastAsia="en-CA"/>
        </w:rPr>
        <w:t xml:space="preserve">ircular 078 la CREG publicó para comentarios </w:t>
      </w:r>
      <w:r w:rsidR="00B24D3D" w:rsidRPr="00487E56">
        <w:rPr>
          <w:rFonts w:ascii="Verdana" w:hAnsi="Verdana" w:cs="PTSans-Regular"/>
          <w:color w:val="000000" w:themeColor="text1"/>
          <w:sz w:val="22"/>
          <w:szCs w:val="22"/>
          <w:lang w:eastAsia="en-CA"/>
        </w:rPr>
        <w:t>el segundo informe del “</w:t>
      </w:r>
      <w:r w:rsidR="00B24D3D" w:rsidRPr="00DF0794">
        <w:rPr>
          <w:rFonts w:ascii="Verdana" w:hAnsi="Verdana" w:cs="PTSans-Regular"/>
          <w:i/>
          <w:color w:val="000000" w:themeColor="text1"/>
          <w:sz w:val="22"/>
          <w:szCs w:val="22"/>
          <w:lang w:eastAsia="en-CA"/>
        </w:rPr>
        <w:t>Estudio para el Diseño de Indicadores de Seguimiento y Evaluación de la integración de la Autogeneración y la Generación Distribuidas en el Sistema Interconectado Nacional</w:t>
      </w:r>
      <w:r w:rsidR="00B24D3D" w:rsidRPr="00487E56">
        <w:rPr>
          <w:rFonts w:ascii="Verdana" w:hAnsi="Verdana" w:cs="PTSans-Regular"/>
          <w:color w:val="000000" w:themeColor="text1"/>
          <w:sz w:val="22"/>
          <w:szCs w:val="22"/>
          <w:lang w:eastAsia="en-CA"/>
        </w:rPr>
        <w:t>”.  A través del Subcomité de Planeamiento Operativo se construy</w:t>
      </w:r>
      <w:r w:rsidR="00F16A88" w:rsidRPr="00487E56">
        <w:rPr>
          <w:rFonts w:ascii="Verdana" w:hAnsi="Verdana" w:cs="PTSans-Regular"/>
          <w:color w:val="000000" w:themeColor="text1"/>
          <w:sz w:val="22"/>
          <w:szCs w:val="22"/>
          <w:lang w:eastAsia="en-CA"/>
        </w:rPr>
        <w:t>ó</w:t>
      </w:r>
      <w:r w:rsidR="00B24D3D" w:rsidRPr="00487E56">
        <w:rPr>
          <w:rFonts w:ascii="Verdana" w:hAnsi="Verdana" w:cs="PTSans-Regular"/>
          <w:color w:val="000000" w:themeColor="text1"/>
          <w:sz w:val="22"/>
          <w:szCs w:val="22"/>
          <w:lang w:eastAsia="en-CA"/>
        </w:rPr>
        <w:t xml:space="preserve"> una comunicación con observaciones, </w:t>
      </w:r>
      <w:r w:rsidR="00F16A88" w:rsidRPr="00487E56">
        <w:rPr>
          <w:rFonts w:ascii="Verdana" w:hAnsi="Verdana" w:cs="PTSans-Regular"/>
          <w:color w:val="000000" w:themeColor="text1"/>
          <w:sz w:val="22"/>
          <w:szCs w:val="22"/>
          <w:lang w:eastAsia="en-CA"/>
        </w:rPr>
        <w:t>la cual</w:t>
      </w:r>
      <w:r w:rsidR="00B24D3D" w:rsidRPr="00487E56">
        <w:rPr>
          <w:rFonts w:ascii="Verdana" w:hAnsi="Verdana" w:cs="PTSans-Regular"/>
          <w:color w:val="000000" w:themeColor="text1"/>
          <w:sz w:val="22"/>
          <w:szCs w:val="22"/>
          <w:lang w:eastAsia="en-CA"/>
        </w:rPr>
        <w:t xml:space="preserve"> puede ser consultada en la página web del Consejo. Los ejes fundamentales de las observaciones </w:t>
      </w:r>
      <w:r w:rsidR="00F16A88" w:rsidRPr="00487E56">
        <w:rPr>
          <w:rFonts w:ascii="Verdana" w:hAnsi="Verdana" w:cs="PTSans-Regular"/>
          <w:color w:val="000000" w:themeColor="text1"/>
          <w:sz w:val="22"/>
          <w:szCs w:val="22"/>
          <w:lang w:eastAsia="en-CA"/>
        </w:rPr>
        <w:t>fueron</w:t>
      </w:r>
      <w:r w:rsidR="00B24D3D" w:rsidRPr="00487E56">
        <w:rPr>
          <w:rFonts w:ascii="Verdana" w:hAnsi="Verdana" w:cs="PTSans-Regular"/>
          <w:color w:val="000000" w:themeColor="text1"/>
          <w:sz w:val="22"/>
          <w:szCs w:val="22"/>
          <w:lang w:eastAsia="en-CA"/>
        </w:rPr>
        <w:t>:</w:t>
      </w:r>
    </w:p>
    <w:p w14:paraId="25EC87CB" w14:textId="77777777" w:rsidR="00FF217B" w:rsidRPr="00487E56" w:rsidRDefault="00FF217B" w:rsidP="00DF0794">
      <w:pPr>
        <w:pStyle w:val="Prrafodelista"/>
        <w:ind w:left="360"/>
        <w:jc w:val="both"/>
        <w:rPr>
          <w:rFonts w:ascii="Verdana" w:hAnsi="Verdana" w:cs="PTSans-Regular"/>
          <w:color w:val="000000" w:themeColor="text1"/>
          <w:sz w:val="22"/>
          <w:szCs w:val="22"/>
          <w:lang w:eastAsia="en-CA"/>
        </w:rPr>
      </w:pPr>
    </w:p>
    <w:p w14:paraId="79EEB1C3" w14:textId="3B02FB82" w:rsidR="00B24D3D" w:rsidRPr="00487E56" w:rsidRDefault="00B24D3D" w:rsidP="00B24D3D">
      <w:pPr>
        <w:pStyle w:val="Prrafodelista"/>
        <w:numPr>
          <w:ilvl w:val="0"/>
          <w:numId w:val="28"/>
        </w:numPr>
        <w:jc w:val="both"/>
        <w:rPr>
          <w:rFonts w:ascii="Verdana" w:hAnsi="Verdana" w:cs="PTSans-Regular"/>
          <w:color w:val="000000" w:themeColor="text1"/>
          <w:sz w:val="22"/>
          <w:szCs w:val="22"/>
          <w:lang w:eastAsia="en-CA"/>
        </w:rPr>
      </w:pPr>
      <w:r w:rsidRPr="00487E56">
        <w:rPr>
          <w:rFonts w:ascii="Verdana" w:hAnsi="Verdana" w:cs="PTSans-Regular"/>
          <w:color w:val="000000" w:themeColor="text1"/>
          <w:sz w:val="22"/>
          <w:szCs w:val="22"/>
          <w:lang w:eastAsia="en-CA"/>
        </w:rPr>
        <w:t>Limitación a una única fuente de información para la construcción de las trayectorias y los escenarios, es decir, el Plan de Expansión de Referencia Generación y Transmisión versión 2017-2031.</w:t>
      </w:r>
    </w:p>
    <w:p w14:paraId="5553771D" w14:textId="77777777" w:rsidR="00F16A88" w:rsidRPr="00487E56" w:rsidRDefault="00B24D3D" w:rsidP="00B24D3D">
      <w:pPr>
        <w:pStyle w:val="Prrafodelista"/>
        <w:numPr>
          <w:ilvl w:val="0"/>
          <w:numId w:val="28"/>
        </w:numPr>
        <w:jc w:val="both"/>
        <w:rPr>
          <w:rFonts w:ascii="Verdana" w:hAnsi="Verdana" w:cs="PTSans-Regular"/>
          <w:color w:val="000000" w:themeColor="text1"/>
          <w:sz w:val="22"/>
          <w:szCs w:val="22"/>
          <w:lang w:eastAsia="en-CA"/>
        </w:rPr>
      </w:pPr>
      <w:r w:rsidRPr="00487E56">
        <w:rPr>
          <w:rFonts w:ascii="Verdana" w:hAnsi="Verdana" w:cs="PTSans-Regular"/>
          <w:color w:val="000000" w:themeColor="text1"/>
          <w:sz w:val="22"/>
          <w:szCs w:val="22"/>
          <w:lang w:eastAsia="en-CA"/>
        </w:rPr>
        <w:t xml:space="preserve">Solo contemplar </w:t>
      </w:r>
      <w:r w:rsidR="00F16A88" w:rsidRPr="00487E56">
        <w:rPr>
          <w:rFonts w:ascii="Verdana" w:hAnsi="Verdana" w:cs="PTSans-Regular"/>
          <w:color w:val="000000" w:themeColor="text1"/>
          <w:sz w:val="22"/>
          <w:szCs w:val="22"/>
          <w:lang w:eastAsia="en-CA"/>
        </w:rPr>
        <w:t>a las plantas solares fotovoltaicas como insumo principal para la construcción de las trayectorias, omitiendo otros recursos energéticos distribuidos, como las pequeñas centrales hidroeléctricas, las plantas térmicas menores y la biomasa.</w:t>
      </w:r>
    </w:p>
    <w:p w14:paraId="6EFC2561" w14:textId="397AB946" w:rsidR="00F16A88" w:rsidRPr="00487E56" w:rsidRDefault="00F16A88" w:rsidP="00B24D3D">
      <w:pPr>
        <w:pStyle w:val="Prrafodelista"/>
        <w:numPr>
          <w:ilvl w:val="0"/>
          <w:numId w:val="28"/>
        </w:numPr>
        <w:jc w:val="both"/>
        <w:rPr>
          <w:rFonts w:ascii="Verdana" w:hAnsi="Verdana" w:cs="PTSans-Regular"/>
          <w:color w:val="000000" w:themeColor="text1"/>
          <w:sz w:val="22"/>
          <w:szCs w:val="22"/>
          <w:lang w:eastAsia="en-CA"/>
        </w:rPr>
      </w:pPr>
      <w:r w:rsidRPr="00487E56">
        <w:rPr>
          <w:rFonts w:ascii="Verdana" w:hAnsi="Verdana" w:cs="PTSans-Regular"/>
          <w:color w:val="000000" w:themeColor="text1"/>
          <w:sz w:val="22"/>
          <w:szCs w:val="22"/>
          <w:lang w:eastAsia="en-CA"/>
        </w:rPr>
        <w:t>Extrapolación de la modelación multi zonal de la UPME a nivel de los STR´s y STN, a cada uno de los SDL´s.</w:t>
      </w:r>
    </w:p>
    <w:p w14:paraId="4EA85A5D" w14:textId="1F1FE6B2" w:rsidR="00B24D3D" w:rsidRPr="00487E56" w:rsidRDefault="00F16A88" w:rsidP="00B24D3D">
      <w:pPr>
        <w:pStyle w:val="Prrafodelista"/>
        <w:numPr>
          <w:ilvl w:val="0"/>
          <w:numId w:val="28"/>
        </w:numPr>
        <w:jc w:val="both"/>
        <w:rPr>
          <w:rFonts w:ascii="Verdana" w:hAnsi="Verdana" w:cs="PTSans-Regular"/>
          <w:color w:val="000000" w:themeColor="text1"/>
          <w:sz w:val="22"/>
          <w:szCs w:val="22"/>
          <w:lang w:eastAsia="en-CA"/>
        </w:rPr>
      </w:pPr>
      <w:r w:rsidRPr="00487E56">
        <w:rPr>
          <w:rFonts w:ascii="Verdana" w:hAnsi="Verdana" w:cs="PTSans-Regular"/>
          <w:color w:val="000000" w:themeColor="text1"/>
          <w:sz w:val="22"/>
          <w:szCs w:val="22"/>
          <w:lang w:eastAsia="en-CA"/>
        </w:rPr>
        <w:t xml:space="preserve">Restricción del crecimiento de la Generación Distribuida al 5 % anual, dada la </w:t>
      </w:r>
      <w:r w:rsidR="00EB1036">
        <w:rPr>
          <w:rFonts w:ascii="Verdana" w:hAnsi="Verdana" w:cs="PTSans-Regular"/>
          <w:color w:val="000000" w:themeColor="text1"/>
          <w:sz w:val="22"/>
          <w:szCs w:val="22"/>
          <w:lang w:eastAsia="en-CA"/>
        </w:rPr>
        <w:t>limitación</w:t>
      </w:r>
      <w:r w:rsidRPr="00487E56">
        <w:rPr>
          <w:rFonts w:ascii="Verdana" w:hAnsi="Verdana" w:cs="PTSans-Regular"/>
          <w:color w:val="000000" w:themeColor="text1"/>
          <w:sz w:val="22"/>
          <w:szCs w:val="22"/>
          <w:lang w:eastAsia="en-CA"/>
        </w:rPr>
        <w:t xml:space="preserve"> interna contemplada por la UPME, motivada por la Resolución CREG 121 de 2017.</w:t>
      </w:r>
    </w:p>
    <w:p w14:paraId="6917CD08" w14:textId="7A59F647" w:rsidR="00FC03F0" w:rsidRPr="00DF0794" w:rsidRDefault="00F16A88" w:rsidP="00DF0794">
      <w:pPr>
        <w:pStyle w:val="Prrafodelista"/>
        <w:numPr>
          <w:ilvl w:val="0"/>
          <w:numId w:val="28"/>
        </w:numPr>
        <w:jc w:val="both"/>
        <w:rPr>
          <w:rFonts w:ascii="Verdana" w:hAnsi="Verdana" w:cs="PTSans-Regular"/>
          <w:color w:val="000000" w:themeColor="text1"/>
          <w:sz w:val="22"/>
          <w:szCs w:val="22"/>
          <w:lang w:eastAsia="en-CA"/>
        </w:rPr>
      </w:pPr>
      <w:r w:rsidRPr="00487E56">
        <w:rPr>
          <w:rFonts w:ascii="Verdana" w:hAnsi="Verdana" w:cs="PTSans-Regular"/>
          <w:color w:val="000000" w:themeColor="text1"/>
          <w:sz w:val="22"/>
          <w:szCs w:val="22"/>
          <w:lang w:eastAsia="en-CA"/>
        </w:rPr>
        <w:t xml:space="preserve">Modelación incorrecta de la producción de la Generación Distribuida, ya que se asume un autoconsumo del 40 % (solo se inyectaría el 60 % al SIN), desconociendo los supuestos de modelación de la UPME (la producción </w:t>
      </w:r>
      <w:r w:rsidR="002A0AD2" w:rsidRPr="00487E56">
        <w:rPr>
          <w:rFonts w:ascii="Verdana" w:hAnsi="Verdana" w:cs="PTSans-Regular"/>
          <w:color w:val="000000" w:themeColor="text1"/>
          <w:sz w:val="22"/>
          <w:szCs w:val="22"/>
          <w:lang w:eastAsia="en-CA"/>
        </w:rPr>
        <w:t>de la Generación Distribuida en la modelación de la Unidad se inyecta en su totalidad a la red</w:t>
      </w:r>
      <w:r w:rsidRPr="00487E56">
        <w:rPr>
          <w:rFonts w:ascii="Verdana" w:hAnsi="Verdana" w:cs="PTSans-Regular"/>
          <w:color w:val="000000" w:themeColor="text1"/>
          <w:sz w:val="22"/>
          <w:szCs w:val="22"/>
          <w:lang w:eastAsia="en-CA"/>
        </w:rPr>
        <w:t>)</w:t>
      </w:r>
      <w:r w:rsidR="002A0AD2" w:rsidRPr="00487E56">
        <w:rPr>
          <w:rFonts w:ascii="Verdana" w:hAnsi="Verdana" w:cs="PTSans-Regular"/>
          <w:color w:val="000000" w:themeColor="text1"/>
          <w:sz w:val="22"/>
          <w:szCs w:val="22"/>
          <w:lang w:eastAsia="en-CA"/>
        </w:rPr>
        <w:t>.</w:t>
      </w:r>
    </w:p>
    <w:p w14:paraId="35F37873" w14:textId="77777777" w:rsidR="005424A9" w:rsidRPr="00487E56" w:rsidRDefault="005424A9" w:rsidP="00DF0794">
      <w:pPr>
        <w:pStyle w:val="Prrafodelista"/>
        <w:ind w:left="360"/>
        <w:jc w:val="both"/>
        <w:rPr>
          <w:rFonts w:ascii="Verdana" w:hAnsi="Verdana" w:cs="PTSans-Regular"/>
          <w:color w:val="000000" w:themeColor="text1"/>
          <w:sz w:val="22"/>
          <w:szCs w:val="22"/>
          <w:lang w:eastAsia="en-CA"/>
        </w:rPr>
      </w:pPr>
    </w:p>
    <w:p w14:paraId="4C689714" w14:textId="7F43501B" w:rsidR="008B4390" w:rsidRPr="00487E56" w:rsidRDefault="002A0AD2" w:rsidP="008B4390">
      <w:pPr>
        <w:pStyle w:val="Prrafodelista"/>
        <w:numPr>
          <w:ilvl w:val="0"/>
          <w:numId w:val="24"/>
        </w:numPr>
        <w:jc w:val="both"/>
        <w:rPr>
          <w:rFonts w:ascii="Verdana" w:hAnsi="Verdana" w:cs="PTSans-Regular"/>
          <w:color w:val="000000" w:themeColor="text1"/>
          <w:sz w:val="22"/>
          <w:szCs w:val="22"/>
          <w:lang w:eastAsia="en-CA"/>
        </w:rPr>
      </w:pPr>
      <w:r w:rsidRPr="00487E56">
        <w:rPr>
          <w:rFonts w:ascii="Verdana" w:hAnsi="Verdana" w:cs="PTSans-Regular"/>
          <w:color w:val="000000" w:themeColor="text1"/>
          <w:sz w:val="22"/>
          <w:szCs w:val="22"/>
          <w:lang w:eastAsia="en-CA"/>
        </w:rPr>
        <w:t xml:space="preserve">El Consejo junto con la Universidad de los Andes definieron los protocolos para el cálculo de la Capacidad Efectiva Neta-CEN de las plantas eólicas y solares fotovoltaicas. Para el primer caso ya se cuenta con la recomendación de la </w:t>
      </w:r>
      <w:r w:rsidR="00F924D4">
        <w:rPr>
          <w:rFonts w:ascii="Verdana" w:hAnsi="Verdana" w:cs="PTSans-Regular"/>
          <w:color w:val="000000" w:themeColor="text1"/>
          <w:sz w:val="22"/>
          <w:szCs w:val="22"/>
          <w:lang w:eastAsia="en-CA"/>
        </w:rPr>
        <w:t>C</w:t>
      </w:r>
      <w:r w:rsidRPr="00487E56">
        <w:rPr>
          <w:rFonts w:ascii="Verdana" w:hAnsi="Verdana" w:cs="PTSans-Regular"/>
          <w:color w:val="000000" w:themeColor="text1"/>
          <w:sz w:val="22"/>
          <w:szCs w:val="22"/>
          <w:lang w:eastAsia="en-CA"/>
        </w:rPr>
        <w:t>omisión</w:t>
      </w:r>
      <w:r w:rsidR="0003236C" w:rsidRPr="00487E56">
        <w:rPr>
          <w:rFonts w:ascii="Verdana" w:hAnsi="Verdana" w:cs="PTSans-Regular"/>
          <w:color w:val="000000" w:themeColor="text1"/>
          <w:sz w:val="22"/>
          <w:szCs w:val="22"/>
          <w:lang w:eastAsia="en-CA"/>
        </w:rPr>
        <w:t xml:space="preserve"> </w:t>
      </w:r>
      <w:r w:rsidR="00F924D4">
        <w:rPr>
          <w:rFonts w:ascii="Verdana" w:hAnsi="Verdana" w:cs="PTSans-Regular"/>
          <w:color w:val="000000" w:themeColor="text1"/>
          <w:sz w:val="22"/>
          <w:szCs w:val="22"/>
          <w:lang w:eastAsia="en-CA"/>
        </w:rPr>
        <w:t>T</w:t>
      </w:r>
      <w:r w:rsidR="0003236C" w:rsidRPr="00487E56">
        <w:rPr>
          <w:rFonts w:ascii="Verdana" w:hAnsi="Verdana" w:cs="PTSans-Regular"/>
          <w:color w:val="000000" w:themeColor="text1"/>
          <w:sz w:val="22"/>
          <w:szCs w:val="22"/>
          <w:lang w:eastAsia="en-CA"/>
        </w:rPr>
        <w:t xml:space="preserve">emporal de </w:t>
      </w:r>
      <w:r w:rsidR="00F924D4">
        <w:rPr>
          <w:rFonts w:ascii="Verdana" w:hAnsi="Verdana" w:cs="PTSans-Regular"/>
          <w:color w:val="000000" w:themeColor="text1"/>
          <w:sz w:val="22"/>
          <w:szCs w:val="22"/>
          <w:lang w:eastAsia="en-CA"/>
        </w:rPr>
        <w:t>Trabajo de P</w:t>
      </w:r>
      <w:r w:rsidR="0003236C" w:rsidRPr="00487E56">
        <w:rPr>
          <w:rFonts w:ascii="Verdana" w:hAnsi="Verdana" w:cs="PTSans-Regular"/>
          <w:color w:val="000000" w:themeColor="text1"/>
          <w:sz w:val="22"/>
          <w:szCs w:val="22"/>
          <w:lang w:eastAsia="en-CA"/>
        </w:rPr>
        <w:t xml:space="preserve">lantas </w:t>
      </w:r>
      <w:r w:rsidR="00F924D4">
        <w:rPr>
          <w:rFonts w:ascii="Verdana" w:hAnsi="Verdana" w:cs="PTSans-Regular"/>
          <w:color w:val="000000" w:themeColor="text1"/>
          <w:sz w:val="22"/>
          <w:szCs w:val="22"/>
          <w:lang w:eastAsia="en-CA"/>
        </w:rPr>
        <w:t>E</w:t>
      </w:r>
      <w:r w:rsidR="0003236C" w:rsidRPr="00487E56">
        <w:rPr>
          <w:rFonts w:ascii="Verdana" w:hAnsi="Verdana" w:cs="PTSans-Regular"/>
          <w:color w:val="000000" w:themeColor="text1"/>
          <w:sz w:val="22"/>
          <w:szCs w:val="22"/>
          <w:lang w:eastAsia="en-CA"/>
        </w:rPr>
        <w:t xml:space="preserve">ólicas para elevarlo a la categoría de Acuerdo. En el segundo caso, si bien ya hay un punto común de entendimiento, aún no es posible recomendar </w:t>
      </w:r>
      <w:r w:rsidR="00CC0519" w:rsidRPr="00487E56">
        <w:rPr>
          <w:rFonts w:ascii="Verdana" w:hAnsi="Verdana" w:cs="PTSans-Regular"/>
          <w:color w:val="000000" w:themeColor="text1"/>
          <w:sz w:val="22"/>
          <w:szCs w:val="22"/>
          <w:lang w:eastAsia="en-CA"/>
        </w:rPr>
        <w:t xml:space="preserve">su adopción, lo anterior por el error identificado en el cálculo de la ENFICC </w:t>
      </w:r>
      <w:r w:rsidR="00EB1036">
        <w:rPr>
          <w:rFonts w:ascii="Verdana" w:hAnsi="Verdana" w:cs="PTSans-Regular"/>
          <w:color w:val="000000" w:themeColor="text1"/>
          <w:sz w:val="22"/>
          <w:szCs w:val="22"/>
          <w:lang w:eastAsia="en-CA"/>
        </w:rPr>
        <w:t>de</w:t>
      </w:r>
      <w:r w:rsidR="00CC0519" w:rsidRPr="00487E56">
        <w:rPr>
          <w:rFonts w:ascii="Verdana" w:hAnsi="Verdana" w:cs="PTSans-Regular"/>
          <w:color w:val="000000" w:themeColor="text1"/>
          <w:sz w:val="22"/>
          <w:szCs w:val="22"/>
          <w:lang w:eastAsia="en-CA"/>
        </w:rPr>
        <w:t xml:space="preserve"> </w:t>
      </w:r>
      <w:r w:rsidR="008B4390" w:rsidRPr="00487E56">
        <w:rPr>
          <w:rFonts w:ascii="Verdana" w:hAnsi="Verdana" w:cs="PTSans-Regular"/>
          <w:color w:val="000000" w:themeColor="text1"/>
          <w:sz w:val="22"/>
          <w:szCs w:val="22"/>
          <w:lang w:eastAsia="en-CA"/>
        </w:rPr>
        <w:t>la Re</w:t>
      </w:r>
      <w:r w:rsidR="00CC0519" w:rsidRPr="00487E56">
        <w:rPr>
          <w:rFonts w:ascii="Verdana" w:hAnsi="Verdana" w:cs="PTSans-Regular"/>
          <w:color w:val="000000" w:themeColor="text1"/>
          <w:sz w:val="22"/>
          <w:szCs w:val="22"/>
          <w:lang w:eastAsia="en-CA"/>
        </w:rPr>
        <w:t>solución</w:t>
      </w:r>
      <w:r w:rsidR="008B4390" w:rsidRPr="00487E56">
        <w:rPr>
          <w:rFonts w:ascii="Verdana" w:hAnsi="Verdana" w:cs="PTSans-Regular"/>
          <w:color w:val="000000" w:themeColor="text1"/>
          <w:sz w:val="22"/>
          <w:szCs w:val="22"/>
          <w:lang w:eastAsia="en-CA"/>
        </w:rPr>
        <w:t xml:space="preserve"> CREG 201 de 2017</w:t>
      </w:r>
      <w:r w:rsidR="00963FFA" w:rsidRPr="00487E56">
        <w:rPr>
          <w:rFonts w:ascii="Verdana" w:hAnsi="Verdana" w:cs="PTSans-Regular"/>
          <w:color w:val="000000" w:themeColor="text1"/>
          <w:sz w:val="22"/>
          <w:szCs w:val="22"/>
          <w:lang w:eastAsia="en-CA"/>
        </w:rPr>
        <w:t xml:space="preserve"> y su repercusión en el cálculo de la CEN</w:t>
      </w:r>
      <w:r w:rsidR="008B4390" w:rsidRPr="00487E56">
        <w:rPr>
          <w:rFonts w:ascii="Verdana" w:hAnsi="Verdana" w:cs="PTSans-Regular"/>
          <w:color w:val="000000" w:themeColor="text1"/>
          <w:sz w:val="22"/>
          <w:szCs w:val="22"/>
          <w:lang w:eastAsia="en-CA"/>
        </w:rPr>
        <w:t xml:space="preserve"> (se debe cambiar </w:t>
      </w:r>
      <w:r w:rsidR="00963FFA" w:rsidRPr="00487E56">
        <w:rPr>
          <w:rFonts w:ascii="Verdana" w:hAnsi="Verdana" w:cs="PTSans-Regular"/>
          <w:color w:val="000000" w:themeColor="text1"/>
          <w:sz w:val="22"/>
          <w:szCs w:val="22"/>
          <w:lang w:eastAsia="en-CA"/>
        </w:rPr>
        <w:t>dicho parámetro</w:t>
      </w:r>
      <w:r w:rsidR="00CC0519" w:rsidRPr="00487E56">
        <w:rPr>
          <w:rFonts w:ascii="Verdana" w:hAnsi="Verdana" w:cs="PTSans-Regular"/>
          <w:color w:val="000000" w:themeColor="text1"/>
          <w:sz w:val="22"/>
          <w:szCs w:val="22"/>
          <w:lang w:eastAsia="en-CA"/>
        </w:rPr>
        <w:t xml:space="preserve"> por la POT DC</w:t>
      </w:r>
      <w:r w:rsidR="008B4390" w:rsidRPr="00487E56">
        <w:rPr>
          <w:rFonts w:ascii="Verdana" w:hAnsi="Verdana" w:cs="PTSans-Regular"/>
          <w:color w:val="000000" w:themeColor="text1"/>
          <w:sz w:val="22"/>
          <w:szCs w:val="22"/>
          <w:lang w:eastAsia="en-CA"/>
        </w:rPr>
        <w:t xml:space="preserve"> en la ecuación 1</w:t>
      </w:r>
      <w:r w:rsidR="00CC0519" w:rsidRPr="00487E56">
        <w:rPr>
          <w:rFonts w:ascii="Verdana" w:hAnsi="Verdana" w:cs="PTSans-Regular"/>
          <w:color w:val="000000" w:themeColor="text1"/>
          <w:sz w:val="22"/>
          <w:szCs w:val="22"/>
          <w:lang w:eastAsia="en-CA"/>
        </w:rPr>
        <w:t xml:space="preserve">). Es importante mencionar que la </w:t>
      </w:r>
      <w:r w:rsidR="008B4390" w:rsidRPr="00487E56">
        <w:rPr>
          <w:rFonts w:ascii="Verdana" w:hAnsi="Verdana" w:cs="PTSans-Regular"/>
          <w:color w:val="000000" w:themeColor="text1"/>
          <w:sz w:val="22"/>
          <w:szCs w:val="22"/>
          <w:lang w:eastAsia="en-CA"/>
        </w:rPr>
        <w:t>CREG</w:t>
      </w:r>
      <w:r w:rsidR="00CC0519" w:rsidRPr="00487E56">
        <w:rPr>
          <w:rFonts w:ascii="Verdana" w:hAnsi="Verdana" w:cs="PTSans-Regular"/>
          <w:color w:val="000000" w:themeColor="text1"/>
          <w:sz w:val="22"/>
          <w:szCs w:val="22"/>
          <w:lang w:eastAsia="en-CA"/>
        </w:rPr>
        <w:t xml:space="preserve"> informó al Consejo que está estudiando modificar </w:t>
      </w:r>
      <w:r w:rsidR="008B4390" w:rsidRPr="00487E56">
        <w:rPr>
          <w:rFonts w:ascii="Verdana" w:hAnsi="Verdana" w:cs="PTSans-Regular"/>
          <w:color w:val="000000" w:themeColor="text1"/>
          <w:sz w:val="22"/>
          <w:szCs w:val="22"/>
          <w:lang w:eastAsia="en-CA"/>
        </w:rPr>
        <w:t>dicha</w:t>
      </w:r>
      <w:r w:rsidR="00CC0519" w:rsidRPr="00487E56">
        <w:rPr>
          <w:rFonts w:ascii="Verdana" w:hAnsi="Verdana" w:cs="PTSans-Regular"/>
          <w:color w:val="000000" w:themeColor="text1"/>
          <w:sz w:val="22"/>
          <w:szCs w:val="22"/>
          <w:lang w:eastAsia="en-CA"/>
        </w:rPr>
        <w:t xml:space="preserve"> resolución después de la próxima subasta del Cargo por Confiabilidad, abordando un enfoque parecido al cálculo de la ENFICC eólica (</w:t>
      </w:r>
      <w:r w:rsidR="008B4390" w:rsidRPr="00487E56">
        <w:rPr>
          <w:rFonts w:ascii="Verdana" w:hAnsi="Verdana" w:cs="PTSans-Regular"/>
          <w:color w:val="000000" w:themeColor="text1"/>
          <w:sz w:val="22"/>
          <w:szCs w:val="22"/>
          <w:lang w:eastAsia="en-CA"/>
        </w:rPr>
        <w:t>modelación detallada de los parques).</w:t>
      </w:r>
    </w:p>
    <w:p w14:paraId="059144C0" w14:textId="0A806D6C" w:rsidR="008B4390" w:rsidRPr="00487E56" w:rsidRDefault="008B4390" w:rsidP="00DF0794">
      <w:pPr>
        <w:pStyle w:val="Prrafodelista"/>
        <w:ind w:left="360"/>
        <w:jc w:val="both"/>
        <w:rPr>
          <w:rFonts w:ascii="Verdana" w:hAnsi="Verdana" w:cs="PTSans-Regular"/>
          <w:color w:val="000000" w:themeColor="text1"/>
          <w:sz w:val="22"/>
          <w:szCs w:val="22"/>
          <w:lang w:eastAsia="en-CA"/>
        </w:rPr>
      </w:pPr>
    </w:p>
    <w:p w14:paraId="3A692296" w14:textId="0DD75344" w:rsidR="008B4390" w:rsidRPr="00487E56" w:rsidRDefault="008B4390" w:rsidP="000E7B33">
      <w:pPr>
        <w:pStyle w:val="Prrafodelista"/>
        <w:numPr>
          <w:ilvl w:val="0"/>
          <w:numId w:val="24"/>
        </w:numPr>
        <w:jc w:val="both"/>
        <w:rPr>
          <w:rFonts w:ascii="Verdana" w:hAnsi="Verdana" w:cs="PTSans-Regular"/>
          <w:color w:val="000000" w:themeColor="text1"/>
          <w:sz w:val="22"/>
          <w:szCs w:val="22"/>
          <w:lang w:eastAsia="en-CA"/>
        </w:rPr>
      </w:pPr>
      <w:r w:rsidRPr="00487E56">
        <w:rPr>
          <w:rFonts w:ascii="Verdana" w:hAnsi="Verdana" w:cs="PTSans-Regular"/>
          <w:color w:val="000000" w:themeColor="text1"/>
          <w:sz w:val="22"/>
          <w:szCs w:val="22"/>
          <w:lang w:eastAsia="en-CA"/>
        </w:rPr>
        <w:t xml:space="preserve">En el Comité de Transmisión TRANSELCA manifestó su preocupación por el crecimiento del número bahías en algunas subestaciones del STN con configuración anillo y barra principal más </w:t>
      </w:r>
      <w:r w:rsidRPr="00487E56">
        <w:rPr>
          <w:rFonts w:ascii="Verdana" w:hAnsi="Verdana" w:cs="PTSans-Regular"/>
          <w:color w:val="000000" w:themeColor="text1"/>
          <w:sz w:val="22"/>
          <w:szCs w:val="22"/>
          <w:lang w:eastAsia="en-CA"/>
        </w:rPr>
        <w:lastRenderedPageBreak/>
        <w:t>transferencia,</w:t>
      </w:r>
      <w:r w:rsidR="00963FFA" w:rsidRPr="00487E56">
        <w:rPr>
          <w:rFonts w:ascii="Verdana" w:hAnsi="Verdana" w:cs="PTSans-Regular"/>
          <w:color w:val="000000" w:themeColor="text1"/>
          <w:sz w:val="22"/>
          <w:szCs w:val="22"/>
          <w:lang w:eastAsia="en-CA"/>
        </w:rPr>
        <w:t xml:space="preserve"> esto </w:t>
      </w:r>
      <w:r w:rsidRPr="00487E56">
        <w:rPr>
          <w:rFonts w:ascii="Verdana" w:hAnsi="Verdana" w:cs="PTSans-Regular"/>
          <w:color w:val="000000" w:themeColor="text1"/>
          <w:sz w:val="22"/>
          <w:szCs w:val="22"/>
          <w:lang w:eastAsia="en-CA"/>
        </w:rPr>
        <w:t xml:space="preserve">por la conexión de nuevos usuarios. </w:t>
      </w:r>
      <w:r w:rsidR="00963FFA" w:rsidRPr="00487E56">
        <w:rPr>
          <w:rFonts w:ascii="Verdana" w:hAnsi="Verdana" w:cs="PTSans-Regular"/>
          <w:color w:val="000000" w:themeColor="text1"/>
          <w:sz w:val="22"/>
          <w:szCs w:val="22"/>
          <w:lang w:eastAsia="en-CA"/>
        </w:rPr>
        <w:t>Si bien técnicamente pueden encontrarse argumentos para limitar dicho crecimiento hasta que no se reconfiguren dichas subestaciones</w:t>
      </w:r>
      <w:r w:rsidR="000E7B33" w:rsidRPr="00487E56">
        <w:rPr>
          <w:rFonts w:ascii="Verdana" w:hAnsi="Verdana" w:cs="PTSans-Regular"/>
          <w:color w:val="000000" w:themeColor="text1"/>
          <w:sz w:val="22"/>
          <w:szCs w:val="22"/>
          <w:lang w:eastAsia="en-CA"/>
        </w:rPr>
        <w:t xml:space="preserve"> (asumiendo que es la mejor alternativa desde un punto de vista técnico y económico)</w:t>
      </w:r>
      <w:r w:rsidR="00963FFA" w:rsidRPr="00487E56">
        <w:rPr>
          <w:rFonts w:ascii="Verdana" w:hAnsi="Verdana" w:cs="PTSans-Regular"/>
          <w:color w:val="000000" w:themeColor="text1"/>
          <w:sz w:val="22"/>
          <w:szCs w:val="22"/>
          <w:lang w:eastAsia="en-CA"/>
        </w:rPr>
        <w:t xml:space="preserve">, en la regulación actual se establece como únicos parámetros para emitir los conceptos de viabilidad los espacios disponibles y la capacidad de corto circuito. En este sentido, se definió en el Subcomité de Análisis y Planeación Eléctrica-SAPE estudiar el tema, valorando los impactos </w:t>
      </w:r>
      <w:r w:rsidR="000E7B33" w:rsidRPr="00487E56">
        <w:rPr>
          <w:rFonts w:ascii="Verdana" w:hAnsi="Verdana" w:cs="PTSans-Regular"/>
          <w:color w:val="000000" w:themeColor="text1"/>
          <w:sz w:val="22"/>
          <w:szCs w:val="22"/>
          <w:lang w:eastAsia="en-CA"/>
        </w:rPr>
        <w:t>y riesgos de dichas configuraciones (red completa, degradada y bajo condiciones de mantenimiento)</w:t>
      </w:r>
      <w:r w:rsidR="00487E56">
        <w:rPr>
          <w:rFonts w:ascii="Verdana" w:hAnsi="Verdana" w:cs="PTSans-Regular"/>
          <w:color w:val="000000" w:themeColor="text1"/>
          <w:sz w:val="22"/>
          <w:szCs w:val="22"/>
          <w:lang w:eastAsia="en-CA"/>
        </w:rPr>
        <w:t>.</w:t>
      </w:r>
    </w:p>
    <w:p w14:paraId="04975FE4" w14:textId="77777777" w:rsidR="000E7B33" w:rsidRPr="00DF0794" w:rsidRDefault="000E7B33" w:rsidP="00DF0794">
      <w:pPr>
        <w:pStyle w:val="Prrafodelista"/>
        <w:rPr>
          <w:rFonts w:ascii="Verdana" w:hAnsi="Verdana" w:cs="PTSans-Regular"/>
          <w:color w:val="000000" w:themeColor="text1"/>
          <w:sz w:val="22"/>
          <w:szCs w:val="22"/>
          <w:lang w:eastAsia="en-CA"/>
        </w:rPr>
      </w:pPr>
    </w:p>
    <w:p w14:paraId="39D9C048" w14:textId="77777777" w:rsidR="00487E56" w:rsidRPr="00487E56" w:rsidRDefault="000E7B33" w:rsidP="00DF0794">
      <w:pPr>
        <w:pStyle w:val="Prrafodelista"/>
        <w:numPr>
          <w:ilvl w:val="0"/>
          <w:numId w:val="24"/>
        </w:numPr>
        <w:jc w:val="both"/>
        <w:rPr>
          <w:rFonts w:ascii="Verdana" w:hAnsi="Verdana" w:cs="PTSans-Regular"/>
          <w:color w:val="000000" w:themeColor="text1"/>
          <w:sz w:val="22"/>
          <w:szCs w:val="22"/>
          <w:lang w:eastAsia="en-CA"/>
        </w:rPr>
      </w:pPr>
      <w:r w:rsidRPr="00487E56">
        <w:rPr>
          <w:rFonts w:ascii="Verdana" w:hAnsi="Verdana" w:cs="PTSans-Regular"/>
          <w:color w:val="000000" w:themeColor="text1"/>
          <w:sz w:val="22"/>
          <w:szCs w:val="22"/>
          <w:lang w:eastAsia="en-CA"/>
        </w:rPr>
        <w:t xml:space="preserve">Teniendo en cuenta los análisis de XM plasmados en el tercer informe de Planeamiento Operativo de Mediano Plazo, al igual que </w:t>
      </w:r>
      <w:r w:rsidR="00C84A24" w:rsidRPr="00487E56">
        <w:rPr>
          <w:rFonts w:ascii="Verdana" w:hAnsi="Verdana" w:cs="PTSans-Regular"/>
          <w:color w:val="000000" w:themeColor="text1"/>
          <w:sz w:val="22"/>
          <w:szCs w:val="22"/>
          <w:lang w:eastAsia="en-CA"/>
        </w:rPr>
        <w:t xml:space="preserve">las recientes experiencias operativas y </w:t>
      </w:r>
      <w:r w:rsidRPr="00487E56">
        <w:rPr>
          <w:rFonts w:ascii="Verdana" w:hAnsi="Verdana" w:cs="PTSans-Regular"/>
          <w:color w:val="000000" w:themeColor="text1"/>
          <w:sz w:val="22"/>
          <w:szCs w:val="22"/>
          <w:lang w:eastAsia="en-CA"/>
        </w:rPr>
        <w:t xml:space="preserve">el </w:t>
      </w:r>
      <w:r w:rsidR="002E5FAB" w:rsidRPr="00487E56">
        <w:rPr>
          <w:rFonts w:ascii="Verdana" w:hAnsi="Verdana" w:cs="PTSans-Regular"/>
          <w:color w:val="000000" w:themeColor="text1"/>
          <w:sz w:val="22"/>
          <w:szCs w:val="22"/>
          <w:lang w:eastAsia="en-CA"/>
        </w:rPr>
        <w:t>balance</w:t>
      </w:r>
      <w:r w:rsidRPr="00487E56">
        <w:rPr>
          <w:rFonts w:ascii="Verdana" w:hAnsi="Verdana" w:cs="PTSans-Regular"/>
          <w:color w:val="000000" w:themeColor="text1"/>
          <w:sz w:val="22"/>
          <w:szCs w:val="22"/>
          <w:lang w:eastAsia="en-CA"/>
        </w:rPr>
        <w:t xml:space="preserve"> de restricciones llevado a cabo en el CNO, se acordó en el SAPE establecer el porcentaje del tiempo </w:t>
      </w:r>
      <w:r w:rsidR="002E5FAB" w:rsidRPr="00487E56">
        <w:rPr>
          <w:rFonts w:ascii="Verdana" w:hAnsi="Verdana" w:cs="PTSans-Regular"/>
          <w:color w:val="000000" w:themeColor="text1"/>
          <w:sz w:val="22"/>
          <w:szCs w:val="22"/>
          <w:lang w:eastAsia="en-CA"/>
        </w:rPr>
        <w:t xml:space="preserve">donde el SIN a nivel del STN y STR se encuentra </w:t>
      </w:r>
      <w:r w:rsidR="00C84A24" w:rsidRPr="00487E56">
        <w:rPr>
          <w:rFonts w:ascii="Verdana" w:hAnsi="Verdana" w:cs="PTSans-Regular"/>
          <w:color w:val="000000" w:themeColor="text1"/>
          <w:sz w:val="22"/>
          <w:szCs w:val="22"/>
          <w:lang w:eastAsia="en-CA"/>
        </w:rPr>
        <w:t xml:space="preserve">en condición </w:t>
      </w:r>
      <w:r w:rsidR="002E5FAB" w:rsidRPr="00487E56">
        <w:rPr>
          <w:rFonts w:ascii="Verdana" w:hAnsi="Verdana" w:cs="PTSans-Regular"/>
          <w:color w:val="000000" w:themeColor="text1"/>
          <w:sz w:val="22"/>
          <w:szCs w:val="22"/>
          <w:lang w:eastAsia="en-CA"/>
        </w:rPr>
        <w:t>degradad</w:t>
      </w:r>
      <w:r w:rsidR="00C84A24" w:rsidRPr="00487E56">
        <w:rPr>
          <w:rFonts w:ascii="Verdana" w:hAnsi="Verdana" w:cs="PTSans-Regular"/>
          <w:color w:val="000000" w:themeColor="text1"/>
          <w:sz w:val="22"/>
          <w:szCs w:val="22"/>
          <w:lang w:eastAsia="en-CA"/>
        </w:rPr>
        <w:t>a</w:t>
      </w:r>
      <w:r w:rsidR="002E5FAB" w:rsidRPr="00487E56">
        <w:rPr>
          <w:rFonts w:ascii="Verdana" w:hAnsi="Verdana" w:cs="PTSans-Regular"/>
          <w:color w:val="000000" w:themeColor="text1"/>
          <w:sz w:val="22"/>
          <w:szCs w:val="22"/>
          <w:lang w:eastAsia="en-CA"/>
        </w:rPr>
        <w:t xml:space="preserve"> (por lo menos bajo un </w:t>
      </w:r>
      <w:r w:rsidR="00C84A24" w:rsidRPr="00487E56">
        <w:rPr>
          <w:rFonts w:ascii="Verdana" w:hAnsi="Verdana" w:cs="PTSans-Regular"/>
          <w:color w:val="000000" w:themeColor="text1"/>
          <w:sz w:val="22"/>
          <w:szCs w:val="22"/>
          <w:lang w:eastAsia="en-CA"/>
        </w:rPr>
        <w:t>estado</w:t>
      </w:r>
      <w:r w:rsidR="002E5FAB" w:rsidRPr="00487E56">
        <w:rPr>
          <w:rFonts w:ascii="Verdana" w:hAnsi="Verdana" w:cs="PTSans-Regular"/>
          <w:color w:val="000000" w:themeColor="text1"/>
          <w:sz w:val="22"/>
          <w:szCs w:val="22"/>
          <w:lang w:eastAsia="en-CA"/>
        </w:rPr>
        <w:t xml:space="preserve"> N-1). Lo anterior es muy importante de cara a </w:t>
      </w:r>
      <w:r w:rsidR="001800C0" w:rsidRPr="00487E56">
        <w:rPr>
          <w:rFonts w:ascii="Verdana" w:hAnsi="Verdana" w:cs="PTSans-Regular"/>
          <w:color w:val="000000" w:themeColor="text1"/>
          <w:sz w:val="22"/>
          <w:szCs w:val="22"/>
          <w:lang w:eastAsia="en-CA"/>
        </w:rPr>
        <w:t>la homoge</w:t>
      </w:r>
      <w:r w:rsidR="00C84A24" w:rsidRPr="00487E56">
        <w:rPr>
          <w:rFonts w:ascii="Verdana" w:hAnsi="Verdana" w:cs="PTSans-Regular"/>
          <w:color w:val="000000" w:themeColor="text1"/>
          <w:sz w:val="22"/>
          <w:szCs w:val="22"/>
          <w:lang w:eastAsia="en-CA"/>
        </w:rPr>
        <w:t>nización</w:t>
      </w:r>
      <w:r w:rsidR="002E5FAB" w:rsidRPr="00487E56">
        <w:rPr>
          <w:rFonts w:ascii="Verdana" w:hAnsi="Verdana" w:cs="PTSans-Regular"/>
          <w:color w:val="000000" w:themeColor="text1"/>
          <w:sz w:val="22"/>
          <w:szCs w:val="22"/>
          <w:lang w:eastAsia="en-CA"/>
        </w:rPr>
        <w:t xml:space="preserve"> </w:t>
      </w:r>
      <w:r w:rsidR="001800C0" w:rsidRPr="00487E56">
        <w:rPr>
          <w:rFonts w:ascii="Verdana" w:hAnsi="Verdana" w:cs="PTSans-Regular"/>
          <w:color w:val="000000" w:themeColor="text1"/>
          <w:sz w:val="22"/>
          <w:szCs w:val="22"/>
          <w:lang w:eastAsia="en-CA"/>
        </w:rPr>
        <w:t>de las metodologías de planeación</w:t>
      </w:r>
      <w:r w:rsidR="00C84A24" w:rsidRPr="00487E56">
        <w:rPr>
          <w:rFonts w:ascii="Verdana" w:hAnsi="Verdana" w:cs="PTSans-Regular"/>
          <w:color w:val="000000" w:themeColor="text1"/>
          <w:sz w:val="22"/>
          <w:szCs w:val="22"/>
          <w:lang w:eastAsia="en-CA"/>
        </w:rPr>
        <w:t xml:space="preserve"> de la operación y expansión, hasta donde sea posible, y la actual revisión del Código de Redes.</w:t>
      </w:r>
    </w:p>
    <w:p w14:paraId="63570372" w14:textId="77777777" w:rsidR="00487E56" w:rsidRPr="00487E56" w:rsidRDefault="00487E56" w:rsidP="00487E56">
      <w:pPr>
        <w:pStyle w:val="Prrafodelista"/>
        <w:rPr>
          <w:rFonts w:ascii="Verdana" w:hAnsi="Verdana" w:cs="PTSans-Regular"/>
          <w:color w:val="000000" w:themeColor="text1"/>
          <w:sz w:val="22"/>
          <w:szCs w:val="22"/>
          <w:lang w:eastAsia="en-CA"/>
        </w:rPr>
      </w:pPr>
    </w:p>
    <w:p w14:paraId="7B4856F2" w14:textId="7EBA33D3" w:rsidR="00DF0794" w:rsidRDefault="00C84A24" w:rsidP="00DF0794">
      <w:pPr>
        <w:ind w:left="360"/>
        <w:jc w:val="both"/>
        <w:rPr>
          <w:rFonts w:ascii="Verdana" w:hAnsi="Verdana" w:cs="PTSans-Regular"/>
          <w:color w:val="000000" w:themeColor="text1"/>
          <w:sz w:val="22"/>
          <w:szCs w:val="22"/>
          <w:lang w:eastAsia="en-CA"/>
        </w:rPr>
      </w:pPr>
      <w:r w:rsidRPr="00DF0794">
        <w:rPr>
          <w:rFonts w:ascii="Verdana" w:hAnsi="Verdana" w:cs="PTSans-Regular"/>
          <w:color w:val="000000" w:themeColor="text1"/>
          <w:spacing w:val="-20"/>
          <w:sz w:val="22"/>
          <w:szCs w:val="22"/>
          <w:lang w:eastAsia="en-CA"/>
        </w:rPr>
        <w:t>Se publicó la circular 085 de 2018, donde la CREG convoca para el 15 de noviembre de 2017 un taller para la presentación de las propuestas de modificación al Código de Redes.</w:t>
      </w:r>
      <w:r w:rsidR="00CB1A48" w:rsidRPr="00DF0794">
        <w:rPr>
          <w:rFonts w:ascii="Verdana" w:hAnsi="Verdana" w:cs="PTSans-Regular"/>
          <w:color w:val="000000" w:themeColor="text1"/>
          <w:spacing w:val="-20"/>
          <w:sz w:val="22"/>
          <w:szCs w:val="22"/>
          <w:lang w:eastAsia="en-CA"/>
        </w:rPr>
        <w:t xml:space="preserve"> Dicho encuentro se realizará en horas de la tarde de 2:30 pm a 6:00 pm.</w:t>
      </w:r>
    </w:p>
    <w:p w14:paraId="68DF851A" w14:textId="77777777" w:rsidR="00DF0794" w:rsidRPr="00DF0794" w:rsidRDefault="00DF0794" w:rsidP="00DF0794">
      <w:pPr>
        <w:jc w:val="both"/>
        <w:rPr>
          <w:rFonts w:ascii="Verdana" w:hAnsi="Verdana" w:cs="PTSans-Regular"/>
          <w:color w:val="000000" w:themeColor="text1"/>
          <w:sz w:val="22"/>
          <w:szCs w:val="22"/>
          <w:lang w:eastAsia="en-CA"/>
        </w:rPr>
      </w:pPr>
    </w:p>
    <w:p w14:paraId="30A3AD09" w14:textId="677DE1CC" w:rsidR="005F082A" w:rsidRDefault="00487E56" w:rsidP="00DF0794">
      <w:pPr>
        <w:pStyle w:val="Prrafodelista"/>
        <w:numPr>
          <w:ilvl w:val="0"/>
          <w:numId w:val="24"/>
        </w:numPr>
        <w:jc w:val="both"/>
        <w:rPr>
          <w:rFonts w:ascii="Verdana" w:hAnsi="Verdana" w:cs="PTSans-Regular"/>
          <w:color w:val="000000" w:themeColor="text1"/>
          <w:sz w:val="22"/>
          <w:szCs w:val="22"/>
          <w:lang w:eastAsia="en-CA"/>
        </w:rPr>
      </w:pPr>
      <w:r w:rsidRPr="00487E56">
        <w:rPr>
          <w:rFonts w:ascii="Verdana" w:hAnsi="Verdana" w:cs="PTSans-Regular"/>
          <w:color w:val="000000" w:themeColor="text1"/>
          <w:sz w:val="22"/>
          <w:szCs w:val="22"/>
          <w:lang w:eastAsia="en-CA"/>
        </w:rPr>
        <w:t xml:space="preserve">El Consejo Nacional de Operación realizó la primera Jornada de recursos energéticos renovables del Sector Eléctrico Colombiano, que se llevó a cabo el 12 de octubre. </w:t>
      </w:r>
    </w:p>
    <w:p w14:paraId="634C444C" w14:textId="2CF610C3" w:rsidR="00F924D4" w:rsidRDefault="00F924D4" w:rsidP="00F924D4">
      <w:pPr>
        <w:jc w:val="both"/>
        <w:rPr>
          <w:rFonts w:ascii="Verdana" w:hAnsi="Verdana" w:cs="PTSans-Regular"/>
          <w:color w:val="000000" w:themeColor="text1"/>
          <w:sz w:val="22"/>
          <w:szCs w:val="22"/>
          <w:lang w:eastAsia="en-CA"/>
        </w:rPr>
      </w:pPr>
    </w:p>
    <w:p w14:paraId="76EDC202" w14:textId="1719451F" w:rsidR="00F924D4" w:rsidRDefault="00F924D4" w:rsidP="00F924D4">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Se encuentra para comentarios hasta el 15 de noviembre la propuesta de Agenda Regulatoria de la CREG del año 2019, se consolidarán para envío con los Comités de Operación, Transmisión, Distribución y Tecnológico.</w:t>
      </w:r>
    </w:p>
    <w:p w14:paraId="4C0BA9C7" w14:textId="77777777" w:rsidR="00F924D4" w:rsidRPr="005D174B" w:rsidRDefault="00F924D4" w:rsidP="005D174B">
      <w:pPr>
        <w:pStyle w:val="Prrafodelista"/>
        <w:rPr>
          <w:rFonts w:ascii="Verdana" w:hAnsi="Verdana" w:cs="PTSans-Regular"/>
          <w:color w:val="000000" w:themeColor="text1"/>
          <w:sz w:val="22"/>
          <w:szCs w:val="22"/>
          <w:lang w:eastAsia="en-CA"/>
        </w:rPr>
      </w:pPr>
    </w:p>
    <w:p w14:paraId="491E760D" w14:textId="1F8FC7A4" w:rsidR="005F082A" w:rsidRDefault="00F924D4" w:rsidP="005D174B">
      <w:pPr>
        <w:pStyle w:val="Prrafodelista"/>
        <w:numPr>
          <w:ilvl w:val="0"/>
          <w:numId w:val="24"/>
        </w:numPr>
        <w:jc w:val="both"/>
        <w:rPr>
          <w:rFonts w:ascii="Verdana" w:hAnsi="Verdana" w:cs="PTSans-Regular"/>
          <w:color w:val="000000" w:themeColor="text1"/>
          <w:sz w:val="22"/>
          <w:szCs w:val="22"/>
          <w:lang w:eastAsia="en-CA"/>
        </w:rPr>
      </w:pPr>
      <w:r w:rsidRPr="00F924D4">
        <w:rPr>
          <w:rFonts w:ascii="Verdana" w:hAnsi="Verdana" w:cs="PTSans-Regular"/>
          <w:color w:val="000000" w:themeColor="text1"/>
          <w:sz w:val="22"/>
          <w:szCs w:val="22"/>
          <w:lang w:eastAsia="en-CA"/>
        </w:rPr>
        <w:t xml:space="preserve">El 15 de noviembre la </w:t>
      </w:r>
      <w:r w:rsidR="005D174B" w:rsidRPr="00F924D4">
        <w:rPr>
          <w:rFonts w:ascii="Verdana" w:hAnsi="Verdana" w:cs="PTSans-Regular"/>
          <w:color w:val="000000" w:themeColor="text1"/>
          <w:sz w:val="22"/>
          <w:szCs w:val="22"/>
          <w:lang w:eastAsia="en-CA"/>
        </w:rPr>
        <w:t>CREG</w:t>
      </w:r>
      <w:r w:rsidR="005D174B">
        <w:rPr>
          <w:rFonts w:ascii="Verdana" w:hAnsi="Verdana" w:cs="PTSans-Regular"/>
          <w:color w:val="000000" w:themeColor="text1"/>
          <w:sz w:val="22"/>
          <w:szCs w:val="22"/>
          <w:lang w:eastAsia="en-CA"/>
        </w:rPr>
        <w:t>,</w:t>
      </w:r>
      <w:r w:rsidR="005D174B" w:rsidRPr="00F924D4">
        <w:rPr>
          <w:rFonts w:ascii="Verdana" w:hAnsi="Verdana" w:cs="PTSans-Regular"/>
          <w:color w:val="000000" w:themeColor="text1"/>
          <w:sz w:val="22"/>
          <w:szCs w:val="22"/>
          <w:lang w:eastAsia="en-CA"/>
        </w:rPr>
        <w:t xml:space="preserve"> </w:t>
      </w:r>
      <w:r w:rsidR="005D174B">
        <w:rPr>
          <w:rFonts w:ascii="Verdana" w:hAnsi="Verdana" w:cs="PTSans-Regular"/>
          <w:color w:val="000000" w:themeColor="text1"/>
          <w:sz w:val="22"/>
          <w:szCs w:val="22"/>
          <w:lang w:eastAsia="en-CA"/>
        </w:rPr>
        <w:t>de</w:t>
      </w:r>
      <w:r w:rsidR="000D5DC0">
        <w:rPr>
          <w:rFonts w:ascii="Verdana" w:hAnsi="Verdana" w:cs="PTSans-Regular"/>
          <w:color w:val="000000" w:themeColor="text1"/>
          <w:sz w:val="22"/>
          <w:szCs w:val="22"/>
          <w:lang w:eastAsia="en-CA"/>
        </w:rPr>
        <w:t xml:space="preserve"> 2:30 a 6 </w:t>
      </w:r>
      <w:r w:rsidR="005D174B">
        <w:rPr>
          <w:rFonts w:ascii="Verdana" w:hAnsi="Verdana" w:cs="PTSans-Regular"/>
          <w:color w:val="000000" w:themeColor="text1"/>
          <w:sz w:val="22"/>
          <w:szCs w:val="22"/>
          <w:lang w:eastAsia="en-CA"/>
        </w:rPr>
        <w:t xml:space="preserve">p.m., </w:t>
      </w:r>
      <w:r w:rsidRPr="00F924D4">
        <w:rPr>
          <w:rFonts w:ascii="Verdana" w:hAnsi="Verdana" w:cs="PTSans-Regular"/>
          <w:color w:val="000000" w:themeColor="text1"/>
          <w:sz w:val="22"/>
          <w:szCs w:val="22"/>
          <w:lang w:eastAsia="en-CA"/>
        </w:rPr>
        <w:t xml:space="preserve">llevará a cabo </w:t>
      </w:r>
      <w:r>
        <w:rPr>
          <w:rFonts w:ascii="Verdana" w:hAnsi="Verdana" w:cs="PTSans-Regular"/>
          <w:color w:val="000000" w:themeColor="text1"/>
          <w:sz w:val="22"/>
          <w:szCs w:val="22"/>
          <w:lang w:eastAsia="en-CA"/>
        </w:rPr>
        <w:t xml:space="preserve">la presentación de las propuestas de modificación </w:t>
      </w:r>
      <w:r w:rsidR="000D5DC0">
        <w:rPr>
          <w:rFonts w:ascii="Verdana" w:hAnsi="Verdana" w:cs="PTSans-Regular"/>
          <w:color w:val="000000" w:themeColor="text1"/>
          <w:sz w:val="22"/>
          <w:szCs w:val="22"/>
          <w:lang w:eastAsia="en-CA"/>
        </w:rPr>
        <w:t>del Código de Redes.</w:t>
      </w:r>
    </w:p>
    <w:p w14:paraId="4CD60904" w14:textId="77777777" w:rsidR="005D174B" w:rsidRPr="005D174B" w:rsidRDefault="005D174B" w:rsidP="005D174B">
      <w:pPr>
        <w:pStyle w:val="Prrafodelista"/>
        <w:rPr>
          <w:rFonts w:ascii="Verdana" w:hAnsi="Verdana" w:cs="PTSans-Regular"/>
          <w:color w:val="000000" w:themeColor="text1"/>
          <w:sz w:val="22"/>
          <w:szCs w:val="22"/>
          <w:lang w:eastAsia="en-CA"/>
        </w:rPr>
      </w:pPr>
    </w:p>
    <w:p w14:paraId="607392DD" w14:textId="4B3C4F57" w:rsidR="005D174B" w:rsidRPr="00F924D4" w:rsidRDefault="005D174B" w:rsidP="005D174B">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El próximo  1</w:t>
      </w:r>
      <w:r w:rsidR="00817F08">
        <w:rPr>
          <w:rFonts w:ascii="Verdana" w:hAnsi="Verdana" w:cs="PTSans-Regular"/>
          <w:color w:val="000000" w:themeColor="text1"/>
          <w:sz w:val="22"/>
          <w:szCs w:val="22"/>
          <w:lang w:eastAsia="en-CA"/>
        </w:rPr>
        <w:t>4</w:t>
      </w:r>
      <w:bookmarkStart w:id="0" w:name="_GoBack"/>
      <w:bookmarkEnd w:id="0"/>
      <w:r>
        <w:rPr>
          <w:rFonts w:ascii="Verdana" w:hAnsi="Verdana" w:cs="PTSans-Regular"/>
          <w:color w:val="000000" w:themeColor="text1"/>
          <w:sz w:val="22"/>
          <w:szCs w:val="22"/>
          <w:lang w:eastAsia="en-CA"/>
        </w:rPr>
        <w:t xml:space="preserve"> de noviembre se realizará el 6 foro de ética de 8 a 12 y 30 del día; la agenda está en la página del CNO a través del link respectivo.</w:t>
      </w:r>
    </w:p>
    <w:p w14:paraId="22C470C1" w14:textId="36B47625" w:rsidR="001E5AE6" w:rsidRPr="00487E56" w:rsidRDefault="001E5AE6" w:rsidP="001E5AE6">
      <w:pPr>
        <w:jc w:val="both"/>
        <w:rPr>
          <w:rFonts w:ascii="Verdana" w:hAnsi="Verdana" w:cs="PTSans-Regular"/>
          <w:color w:val="000000" w:themeColor="text1"/>
          <w:sz w:val="22"/>
          <w:szCs w:val="22"/>
          <w:lang w:eastAsia="en-CA"/>
        </w:rPr>
      </w:pPr>
    </w:p>
    <w:p w14:paraId="44252C0D" w14:textId="77777777" w:rsidR="001E5AE6" w:rsidRPr="00487E56" w:rsidRDefault="001E5AE6" w:rsidP="001E5AE6">
      <w:pPr>
        <w:jc w:val="both"/>
        <w:rPr>
          <w:rFonts w:ascii="Verdana" w:hAnsi="Verdana" w:cs="PTSans-Regular"/>
          <w:color w:val="000000" w:themeColor="text1"/>
          <w:sz w:val="22"/>
          <w:szCs w:val="22"/>
          <w:lang w:eastAsia="en-CA"/>
        </w:rPr>
      </w:pPr>
    </w:p>
    <w:p w14:paraId="0D03038A" w14:textId="33889615" w:rsidR="00EF1011" w:rsidRPr="00487E56" w:rsidRDefault="00CC5D56" w:rsidP="00CC5D56">
      <w:pPr>
        <w:pStyle w:val="Prrafodelista"/>
        <w:ind w:left="360"/>
        <w:jc w:val="both"/>
        <w:rPr>
          <w:rFonts w:ascii="Verdana" w:hAnsi="Verdana" w:cs="PTSans-Regular"/>
          <w:color w:val="000000" w:themeColor="text1"/>
          <w:sz w:val="22"/>
          <w:szCs w:val="22"/>
          <w:lang w:eastAsia="en-CA"/>
        </w:rPr>
      </w:pPr>
      <w:r w:rsidRPr="00487E56">
        <w:rPr>
          <w:rFonts w:ascii="Verdana" w:hAnsi="Verdana" w:cs="PTSans-Regular"/>
          <w:color w:val="000000" w:themeColor="text1"/>
          <w:sz w:val="22"/>
          <w:szCs w:val="22"/>
          <w:lang w:eastAsia="en-CA"/>
        </w:rPr>
        <w:t xml:space="preserve"> </w:t>
      </w:r>
      <w:r w:rsidR="00EF1011" w:rsidRPr="00487E56">
        <w:rPr>
          <w:rFonts w:ascii="Verdana" w:hAnsi="Verdana" w:cs="PTSans-Regular"/>
          <w:color w:val="000000" w:themeColor="text1"/>
          <w:sz w:val="22"/>
          <w:szCs w:val="22"/>
          <w:lang w:eastAsia="en-CA"/>
        </w:rPr>
        <w:t xml:space="preserve"> </w:t>
      </w:r>
    </w:p>
    <w:p w14:paraId="25E99B2C" w14:textId="77777777" w:rsidR="00BE3B49" w:rsidRPr="00487E56" w:rsidRDefault="00BE3B49" w:rsidP="00EC5D10">
      <w:pPr>
        <w:pStyle w:val="Prrafodelista"/>
        <w:rPr>
          <w:rFonts w:ascii="Verdana" w:hAnsi="Verdana" w:cs="PTSans-Regular"/>
          <w:color w:val="000000" w:themeColor="text1"/>
          <w:sz w:val="22"/>
          <w:szCs w:val="22"/>
          <w:lang w:eastAsia="en-CA"/>
        </w:rPr>
      </w:pPr>
    </w:p>
    <w:p w14:paraId="1C027906" w14:textId="70358E5F" w:rsidR="00BE3B49" w:rsidRPr="00487E56" w:rsidRDefault="00BE3B49" w:rsidP="00EC5D10">
      <w:pPr>
        <w:pStyle w:val="Prrafodelista"/>
        <w:ind w:left="360"/>
        <w:jc w:val="both"/>
        <w:rPr>
          <w:rFonts w:ascii="Verdana" w:hAnsi="Verdana" w:cs="PTSans-Regular"/>
          <w:color w:val="000000" w:themeColor="text1"/>
          <w:sz w:val="22"/>
          <w:szCs w:val="22"/>
          <w:lang w:eastAsia="en-CA"/>
        </w:rPr>
      </w:pPr>
    </w:p>
    <w:p w14:paraId="02DE6FED" w14:textId="12D27093" w:rsidR="00E5320E" w:rsidRPr="00487E56" w:rsidRDefault="00E5320E" w:rsidP="00BE3B49">
      <w:pPr>
        <w:jc w:val="both"/>
        <w:rPr>
          <w:rFonts w:ascii="Verdana" w:hAnsi="Verdana" w:cs="PTSans-Regular"/>
          <w:sz w:val="22"/>
          <w:szCs w:val="22"/>
          <w:lang w:eastAsia="en-CA"/>
        </w:rPr>
      </w:pPr>
    </w:p>
    <w:sectPr w:rsidR="00E5320E" w:rsidRPr="00487E56"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4CEFF" w14:textId="77777777" w:rsidR="00E946E1" w:rsidRDefault="00E946E1">
      <w:r>
        <w:separator/>
      </w:r>
    </w:p>
  </w:endnote>
  <w:endnote w:type="continuationSeparator" w:id="0">
    <w:p w14:paraId="68A7932F" w14:textId="77777777" w:rsidR="00E946E1" w:rsidRDefault="00E9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Sans-Regular">
    <w:altName w:val="Arial"/>
    <w:panose1 w:val="00000000000000000000"/>
    <w:charset w:val="4D"/>
    <w:family w:val="swiss"/>
    <w:notTrueType/>
    <w:pitch w:val="variable"/>
    <w:sig w:usb0="A00002EF" w:usb1="5000204B" w:usb2="00000000" w:usb3="00000000" w:csb0="00000097"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19D" w14:textId="50E99F46" w:rsidR="007E042D" w:rsidRPr="003D56D0" w:rsidRDefault="007E042D" w:rsidP="003D56D0">
    <w:pPr>
      <w:pStyle w:val="Piedepgina"/>
    </w:pPr>
    <w:r>
      <w:t>Informe Reunión CNO 54</w:t>
    </w:r>
    <w:r w:rsidR="001C3E7C">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9236B" w14:textId="77777777" w:rsidR="00E946E1" w:rsidRDefault="00E946E1">
      <w:r>
        <w:separator/>
      </w:r>
    </w:p>
  </w:footnote>
  <w:footnote w:type="continuationSeparator" w:id="0">
    <w:p w14:paraId="11CDEAFB" w14:textId="77777777" w:rsidR="00E946E1" w:rsidRDefault="00E94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7E042D" w:rsidRDefault="007E042D">
    <w:pPr>
      <w:pStyle w:val="Encabezado"/>
      <w:tabs>
        <w:tab w:val="center" w:pos="4420"/>
        <w:tab w:val="left" w:pos="7180"/>
      </w:tabs>
      <w:rPr>
        <w:b/>
        <w:sz w:val="40"/>
        <w:lang w:val="es-MX"/>
      </w:rPr>
    </w:pPr>
    <w:r>
      <w:rPr>
        <w:b/>
        <w:sz w:val="40"/>
        <w:lang w:val="es-MX"/>
      </w:rPr>
      <w:tab/>
    </w:r>
    <w:r w:rsidRPr="00C12902">
      <w:rPr>
        <w:noProof/>
        <w:lang w:val="es-ES"/>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7E042D" w:rsidRPr="00B23F7B" w:rsidRDefault="007E042D" w:rsidP="00B23F7B">
    <w:pPr>
      <w:pStyle w:val="Encabezado"/>
      <w:tabs>
        <w:tab w:val="clear" w:pos="4252"/>
        <w:tab w:val="clear" w:pos="8504"/>
        <w:tab w:val="center" w:pos="4419"/>
      </w:tabs>
      <w:rPr>
        <w:b/>
        <w:sz w:val="40"/>
        <w:lang w:val="es-MX"/>
      </w:rPr>
    </w:pPr>
    <w:r>
      <w:rPr>
        <w:b/>
        <w:noProof/>
        <w:sz w:val="40"/>
        <w:lang w:val="es-ES"/>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618D6"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" o:allowincell="f"/>
          </w:pict>
        </mc:Fallback>
      </mc:AlternateContent>
    </w:r>
    <w:r>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05BE"/>
    <w:multiLevelType w:val="hybridMultilevel"/>
    <w:tmpl w:val="CDF6DC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D17C6"/>
    <w:multiLevelType w:val="hybridMultilevel"/>
    <w:tmpl w:val="56D0D8DC"/>
    <w:lvl w:ilvl="0" w:tplc="C30C44D0">
      <w:numFmt w:val="bullet"/>
      <w:lvlText w:val="-"/>
      <w:lvlJc w:val="left"/>
      <w:pPr>
        <w:ind w:left="720" w:hanging="360"/>
      </w:pPr>
      <w:rPr>
        <w:rFonts w:ascii="Verdana" w:eastAsia="Times New Roman" w:hAnsi="Verdana" w:cs="Cambri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C803A5"/>
    <w:multiLevelType w:val="hybridMultilevel"/>
    <w:tmpl w:val="6ED0C494"/>
    <w:lvl w:ilvl="0" w:tplc="497C8C64">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4" w15:restartNumberingAfterBreak="0">
    <w:nsid w:val="151F7B4B"/>
    <w:multiLevelType w:val="hybridMultilevel"/>
    <w:tmpl w:val="5EBAA27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606098B"/>
    <w:multiLevelType w:val="hybridMultilevel"/>
    <w:tmpl w:val="FECA4E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EC7F2B"/>
    <w:multiLevelType w:val="hybridMultilevel"/>
    <w:tmpl w:val="7DB4DC7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BD4492C"/>
    <w:multiLevelType w:val="hybridMultilevel"/>
    <w:tmpl w:val="7DB4DC7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EED1010"/>
    <w:multiLevelType w:val="hybridMultilevel"/>
    <w:tmpl w:val="124C6F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116962"/>
    <w:multiLevelType w:val="hybridMultilevel"/>
    <w:tmpl w:val="BAD285FE"/>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04B114F"/>
    <w:multiLevelType w:val="hybridMultilevel"/>
    <w:tmpl w:val="606EC43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923186"/>
    <w:multiLevelType w:val="hybridMultilevel"/>
    <w:tmpl w:val="5CA82CB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23007B35"/>
    <w:multiLevelType w:val="hybridMultilevel"/>
    <w:tmpl w:val="10E8F044"/>
    <w:lvl w:ilvl="0" w:tplc="E3109E4A">
      <w:numFmt w:val="bullet"/>
      <w:lvlText w:val="-"/>
      <w:lvlJc w:val="left"/>
      <w:pPr>
        <w:ind w:left="1080" w:hanging="360"/>
      </w:pPr>
      <w:rPr>
        <w:rFonts w:ascii="Verdana" w:eastAsia="Times New Roman" w:hAnsi="Verdana" w:cs="PTSans-Regular"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27105D37"/>
    <w:multiLevelType w:val="hybridMultilevel"/>
    <w:tmpl w:val="CA1E7262"/>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A4558E8"/>
    <w:multiLevelType w:val="hybridMultilevel"/>
    <w:tmpl w:val="0D6073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ACF70D0"/>
    <w:multiLevelType w:val="hybridMultilevel"/>
    <w:tmpl w:val="63728A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26A1A49"/>
    <w:multiLevelType w:val="hybridMultilevel"/>
    <w:tmpl w:val="22625CFC"/>
    <w:lvl w:ilvl="0" w:tplc="240A000F">
      <w:start w:val="1"/>
      <w:numFmt w:val="decimal"/>
      <w:lvlText w:val="%1."/>
      <w:lvlJc w:val="lef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7" w15:restartNumberingAfterBreak="0">
    <w:nsid w:val="4AD62EF8"/>
    <w:multiLevelType w:val="hybridMultilevel"/>
    <w:tmpl w:val="D98A29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B4E244C"/>
    <w:multiLevelType w:val="hybridMultilevel"/>
    <w:tmpl w:val="E42889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D05044E"/>
    <w:multiLevelType w:val="hybridMultilevel"/>
    <w:tmpl w:val="A0F433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E44078"/>
    <w:multiLevelType w:val="hybridMultilevel"/>
    <w:tmpl w:val="DEEEDD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647657"/>
    <w:multiLevelType w:val="hybridMultilevel"/>
    <w:tmpl w:val="6CC88E16"/>
    <w:lvl w:ilvl="0" w:tplc="924ACF3A">
      <w:start w:val="1"/>
      <w:numFmt w:val="decimal"/>
      <w:lvlText w:val="%1."/>
      <w:lvlJc w:val="left"/>
      <w:pPr>
        <w:ind w:left="720" w:hanging="360"/>
      </w:pPr>
      <w:rPr>
        <w:rFonts w:eastAsia="MS PGothic"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D6A0719"/>
    <w:multiLevelType w:val="hybridMultilevel"/>
    <w:tmpl w:val="0C2442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BCF3094"/>
    <w:multiLevelType w:val="hybridMultilevel"/>
    <w:tmpl w:val="B76E90BE"/>
    <w:lvl w:ilvl="0" w:tplc="240A0005">
      <w:start w:val="1"/>
      <w:numFmt w:val="bullet"/>
      <w:lvlText w:val=""/>
      <w:lvlJc w:val="left"/>
      <w:pPr>
        <w:ind w:left="1140" w:hanging="360"/>
      </w:pPr>
      <w:rPr>
        <w:rFonts w:ascii="Wingdings" w:hAnsi="Wingdings"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4" w15:restartNumberingAfterBreak="0">
    <w:nsid w:val="74FA6766"/>
    <w:multiLevelType w:val="hybridMultilevel"/>
    <w:tmpl w:val="0548F98A"/>
    <w:lvl w:ilvl="0" w:tplc="240A0005">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B361D70"/>
    <w:multiLevelType w:val="hybridMultilevel"/>
    <w:tmpl w:val="19EAA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C36713E"/>
    <w:multiLevelType w:val="hybridMultilevel"/>
    <w:tmpl w:val="A566A63E"/>
    <w:lvl w:ilvl="0" w:tplc="47829C3E">
      <w:numFmt w:val="bullet"/>
      <w:lvlText w:val="-"/>
      <w:lvlJc w:val="left"/>
      <w:pPr>
        <w:ind w:left="1211" w:hanging="360"/>
      </w:pPr>
      <w:rPr>
        <w:rFonts w:ascii="Verdana" w:eastAsia="Times New Roman" w:hAnsi="Verdana" w:cs="PTSans-Regular"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3"/>
  </w:num>
  <w:num w:numId="2">
    <w:abstractNumId w:val="19"/>
  </w:num>
  <w:num w:numId="3">
    <w:abstractNumId w:val="14"/>
  </w:num>
  <w:num w:numId="4">
    <w:abstractNumId w:val="11"/>
  </w:num>
  <w:num w:numId="5">
    <w:abstractNumId w:val="18"/>
  </w:num>
  <w:num w:numId="6">
    <w:abstractNumId w:val="1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17"/>
  </w:num>
  <w:num w:numId="14">
    <w:abstractNumId w:val="20"/>
  </w:num>
  <w:num w:numId="15">
    <w:abstractNumId w:val="25"/>
  </w:num>
  <w:num w:numId="16">
    <w:abstractNumId w:val="7"/>
  </w:num>
  <w:num w:numId="17">
    <w:abstractNumId w:val="21"/>
  </w:num>
  <w:num w:numId="18">
    <w:abstractNumId w:val="2"/>
  </w:num>
  <w:num w:numId="19">
    <w:abstractNumId w:val="0"/>
  </w:num>
  <w:num w:numId="20">
    <w:abstractNumId w:val="24"/>
  </w:num>
  <w:num w:numId="21">
    <w:abstractNumId w:val="13"/>
  </w:num>
  <w:num w:numId="22">
    <w:abstractNumId w:val="5"/>
  </w:num>
  <w:num w:numId="23">
    <w:abstractNumId w:val="26"/>
  </w:num>
  <w:num w:numId="24">
    <w:abstractNumId w:val="6"/>
  </w:num>
  <w:num w:numId="25">
    <w:abstractNumId w:val="10"/>
  </w:num>
  <w:num w:numId="26">
    <w:abstractNumId w:val="22"/>
  </w:num>
  <w:num w:numId="27">
    <w:abstractNumId w:val="1"/>
  </w:num>
  <w:num w:numId="28">
    <w:abstractNumId w:val="4"/>
  </w:num>
  <w:num w:numId="29">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82"/>
    <w:rsid w:val="000002D0"/>
    <w:rsid w:val="00000368"/>
    <w:rsid w:val="00001A42"/>
    <w:rsid w:val="00002A5C"/>
    <w:rsid w:val="00002B31"/>
    <w:rsid w:val="00002C24"/>
    <w:rsid w:val="00002F11"/>
    <w:rsid w:val="00003AB9"/>
    <w:rsid w:val="00003F51"/>
    <w:rsid w:val="0000414B"/>
    <w:rsid w:val="000050B5"/>
    <w:rsid w:val="000055F4"/>
    <w:rsid w:val="00006D2A"/>
    <w:rsid w:val="00010529"/>
    <w:rsid w:val="000141A1"/>
    <w:rsid w:val="000146AB"/>
    <w:rsid w:val="000147DB"/>
    <w:rsid w:val="000161B9"/>
    <w:rsid w:val="00016FAF"/>
    <w:rsid w:val="00020C38"/>
    <w:rsid w:val="000216A8"/>
    <w:rsid w:val="00022916"/>
    <w:rsid w:val="000232B4"/>
    <w:rsid w:val="00023ABF"/>
    <w:rsid w:val="00023E84"/>
    <w:rsid w:val="00024F3A"/>
    <w:rsid w:val="000258B7"/>
    <w:rsid w:val="00025E4E"/>
    <w:rsid w:val="00030B8F"/>
    <w:rsid w:val="00030C8C"/>
    <w:rsid w:val="00031648"/>
    <w:rsid w:val="00031F84"/>
    <w:rsid w:val="0003236C"/>
    <w:rsid w:val="0003362B"/>
    <w:rsid w:val="00035AC3"/>
    <w:rsid w:val="00035D46"/>
    <w:rsid w:val="0004173B"/>
    <w:rsid w:val="00041EC2"/>
    <w:rsid w:val="000430A7"/>
    <w:rsid w:val="00043249"/>
    <w:rsid w:val="000472EC"/>
    <w:rsid w:val="0004751B"/>
    <w:rsid w:val="00047F90"/>
    <w:rsid w:val="000500A3"/>
    <w:rsid w:val="0005188C"/>
    <w:rsid w:val="00051EFF"/>
    <w:rsid w:val="0005455C"/>
    <w:rsid w:val="000556BD"/>
    <w:rsid w:val="00055B14"/>
    <w:rsid w:val="00056218"/>
    <w:rsid w:val="00057A83"/>
    <w:rsid w:val="00057E7C"/>
    <w:rsid w:val="00057F27"/>
    <w:rsid w:val="00060E4B"/>
    <w:rsid w:val="00062609"/>
    <w:rsid w:val="00063CFB"/>
    <w:rsid w:val="00064156"/>
    <w:rsid w:val="0006427E"/>
    <w:rsid w:val="00064DE6"/>
    <w:rsid w:val="00065E25"/>
    <w:rsid w:val="00066876"/>
    <w:rsid w:val="00067654"/>
    <w:rsid w:val="000678B5"/>
    <w:rsid w:val="00067C42"/>
    <w:rsid w:val="00072D74"/>
    <w:rsid w:val="00073CD2"/>
    <w:rsid w:val="00074D7A"/>
    <w:rsid w:val="00077E1C"/>
    <w:rsid w:val="00080007"/>
    <w:rsid w:val="000805D1"/>
    <w:rsid w:val="00083AC9"/>
    <w:rsid w:val="0008441F"/>
    <w:rsid w:val="000857CE"/>
    <w:rsid w:val="00086091"/>
    <w:rsid w:val="000867D2"/>
    <w:rsid w:val="00086D5A"/>
    <w:rsid w:val="00090DBF"/>
    <w:rsid w:val="00091EE8"/>
    <w:rsid w:val="00092FED"/>
    <w:rsid w:val="000958F6"/>
    <w:rsid w:val="00095BD5"/>
    <w:rsid w:val="0009624D"/>
    <w:rsid w:val="00096396"/>
    <w:rsid w:val="00097920"/>
    <w:rsid w:val="000A368B"/>
    <w:rsid w:val="000A42D0"/>
    <w:rsid w:val="000A43E5"/>
    <w:rsid w:val="000A491D"/>
    <w:rsid w:val="000A5315"/>
    <w:rsid w:val="000A570E"/>
    <w:rsid w:val="000A5E29"/>
    <w:rsid w:val="000A664F"/>
    <w:rsid w:val="000A66C1"/>
    <w:rsid w:val="000A7198"/>
    <w:rsid w:val="000A7F18"/>
    <w:rsid w:val="000B099A"/>
    <w:rsid w:val="000B67AE"/>
    <w:rsid w:val="000C1867"/>
    <w:rsid w:val="000C2B35"/>
    <w:rsid w:val="000C31D6"/>
    <w:rsid w:val="000C57BF"/>
    <w:rsid w:val="000C60BE"/>
    <w:rsid w:val="000C6A5D"/>
    <w:rsid w:val="000C79E4"/>
    <w:rsid w:val="000C7DF4"/>
    <w:rsid w:val="000D04B8"/>
    <w:rsid w:val="000D11DB"/>
    <w:rsid w:val="000D1AA2"/>
    <w:rsid w:val="000D285A"/>
    <w:rsid w:val="000D3BCA"/>
    <w:rsid w:val="000D3ED1"/>
    <w:rsid w:val="000D5579"/>
    <w:rsid w:val="000D5DC0"/>
    <w:rsid w:val="000D77C5"/>
    <w:rsid w:val="000D7C46"/>
    <w:rsid w:val="000D7D2A"/>
    <w:rsid w:val="000E0673"/>
    <w:rsid w:val="000E1DD2"/>
    <w:rsid w:val="000E3C44"/>
    <w:rsid w:val="000E412D"/>
    <w:rsid w:val="000E4232"/>
    <w:rsid w:val="000E5D82"/>
    <w:rsid w:val="000E7261"/>
    <w:rsid w:val="000E7AAD"/>
    <w:rsid w:val="000E7B33"/>
    <w:rsid w:val="000F1DC8"/>
    <w:rsid w:val="000F2FB6"/>
    <w:rsid w:val="000F710E"/>
    <w:rsid w:val="000F73CD"/>
    <w:rsid w:val="000F7E5F"/>
    <w:rsid w:val="00100A62"/>
    <w:rsid w:val="00100AE9"/>
    <w:rsid w:val="00102353"/>
    <w:rsid w:val="001024F8"/>
    <w:rsid w:val="001047C7"/>
    <w:rsid w:val="0010567B"/>
    <w:rsid w:val="00105800"/>
    <w:rsid w:val="001059CF"/>
    <w:rsid w:val="00105F87"/>
    <w:rsid w:val="00107D94"/>
    <w:rsid w:val="00110A4B"/>
    <w:rsid w:val="00111FB4"/>
    <w:rsid w:val="001135ED"/>
    <w:rsid w:val="00114D0D"/>
    <w:rsid w:val="001174DE"/>
    <w:rsid w:val="001206D2"/>
    <w:rsid w:val="00120B71"/>
    <w:rsid w:val="00120C33"/>
    <w:rsid w:val="001218F4"/>
    <w:rsid w:val="00123594"/>
    <w:rsid w:val="00123BA7"/>
    <w:rsid w:val="00124366"/>
    <w:rsid w:val="00124D0B"/>
    <w:rsid w:val="001273FD"/>
    <w:rsid w:val="00130BEC"/>
    <w:rsid w:val="00131701"/>
    <w:rsid w:val="00132790"/>
    <w:rsid w:val="00132DA5"/>
    <w:rsid w:val="00133196"/>
    <w:rsid w:val="0013347C"/>
    <w:rsid w:val="001341AC"/>
    <w:rsid w:val="00134A22"/>
    <w:rsid w:val="001356DD"/>
    <w:rsid w:val="00135EB1"/>
    <w:rsid w:val="00136511"/>
    <w:rsid w:val="0013654F"/>
    <w:rsid w:val="001374D4"/>
    <w:rsid w:val="00141A3F"/>
    <w:rsid w:val="00144785"/>
    <w:rsid w:val="00144C0B"/>
    <w:rsid w:val="00144EAF"/>
    <w:rsid w:val="00150013"/>
    <w:rsid w:val="0015033B"/>
    <w:rsid w:val="00150EC8"/>
    <w:rsid w:val="00152C78"/>
    <w:rsid w:val="0015318E"/>
    <w:rsid w:val="00154937"/>
    <w:rsid w:val="00155E45"/>
    <w:rsid w:val="001569D2"/>
    <w:rsid w:val="00156F57"/>
    <w:rsid w:val="00156F89"/>
    <w:rsid w:val="00157319"/>
    <w:rsid w:val="00157A3E"/>
    <w:rsid w:val="001607D8"/>
    <w:rsid w:val="00163780"/>
    <w:rsid w:val="00164037"/>
    <w:rsid w:val="001642E8"/>
    <w:rsid w:val="00165D51"/>
    <w:rsid w:val="001676EE"/>
    <w:rsid w:val="00167D5A"/>
    <w:rsid w:val="00170083"/>
    <w:rsid w:val="00170B59"/>
    <w:rsid w:val="0017189B"/>
    <w:rsid w:val="00171F50"/>
    <w:rsid w:val="00172130"/>
    <w:rsid w:val="00173163"/>
    <w:rsid w:val="00173584"/>
    <w:rsid w:val="001756FB"/>
    <w:rsid w:val="001762EF"/>
    <w:rsid w:val="00176A52"/>
    <w:rsid w:val="00176CF9"/>
    <w:rsid w:val="00176EED"/>
    <w:rsid w:val="001800C0"/>
    <w:rsid w:val="00182EEA"/>
    <w:rsid w:val="0018416B"/>
    <w:rsid w:val="00185148"/>
    <w:rsid w:val="001857AF"/>
    <w:rsid w:val="001862E3"/>
    <w:rsid w:val="001918E2"/>
    <w:rsid w:val="001936E3"/>
    <w:rsid w:val="001A0338"/>
    <w:rsid w:val="001A0E60"/>
    <w:rsid w:val="001A25AB"/>
    <w:rsid w:val="001A2B49"/>
    <w:rsid w:val="001A3613"/>
    <w:rsid w:val="001A4B3B"/>
    <w:rsid w:val="001A4D15"/>
    <w:rsid w:val="001A717E"/>
    <w:rsid w:val="001B2A7D"/>
    <w:rsid w:val="001B38D8"/>
    <w:rsid w:val="001C00E2"/>
    <w:rsid w:val="001C2F8F"/>
    <w:rsid w:val="001C31B7"/>
    <w:rsid w:val="001C3E7C"/>
    <w:rsid w:val="001C46C2"/>
    <w:rsid w:val="001C536C"/>
    <w:rsid w:val="001C6B67"/>
    <w:rsid w:val="001C6CE2"/>
    <w:rsid w:val="001D1479"/>
    <w:rsid w:val="001E1646"/>
    <w:rsid w:val="001E1DFE"/>
    <w:rsid w:val="001E504E"/>
    <w:rsid w:val="001E5AE6"/>
    <w:rsid w:val="001F19D3"/>
    <w:rsid w:val="001F2B25"/>
    <w:rsid w:val="001F35A5"/>
    <w:rsid w:val="001F4F11"/>
    <w:rsid w:val="001F57DA"/>
    <w:rsid w:val="001F6104"/>
    <w:rsid w:val="001F6A62"/>
    <w:rsid w:val="002031E5"/>
    <w:rsid w:val="002051D0"/>
    <w:rsid w:val="00206447"/>
    <w:rsid w:val="002073DC"/>
    <w:rsid w:val="00210E22"/>
    <w:rsid w:val="002111B6"/>
    <w:rsid w:val="00211B1F"/>
    <w:rsid w:val="0021279B"/>
    <w:rsid w:val="00212844"/>
    <w:rsid w:val="0021412E"/>
    <w:rsid w:val="00214496"/>
    <w:rsid w:val="002158C1"/>
    <w:rsid w:val="00217A4A"/>
    <w:rsid w:val="00224164"/>
    <w:rsid w:val="002244CE"/>
    <w:rsid w:val="0022458E"/>
    <w:rsid w:val="00226DA5"/>
    <w:rsid w:val="002277C6"/>
    <w:rsid w:val="00227D1D"/>
    <w:rsid w:val="002305C1"/>
    <w:rsid w:val="002310B1"/>
    <w:rsid w:val="002317CF"/>
    <w:rsid w:val="00234790"/>
    <w:rsid w:val="002371E3"/>
    <w:rsid w:val="0023739F"/>
    <w:rsid w:val="00242232"/>
    <w:rsid w:val="00247DD1"/>
    <w:rsid w:val="00247FDF"/>
    <w:rsid w:val="00253E04"/>
    <w:rsid w:val="00255B89"/>
    <w:rsid w:val="00260319"/>
    <w:rsid w:val="002603D5"/>
    <w:rsid w:val="002628DB"/>
    <w:rsid w:val="00263ABD"/>
    <w:rsid w:val="002642C1"/>
    <w:rsid w:val="00265002"/>
    <w:rsid w:val="00266C0E"/>
    <w:rsid w:val="00270F7E"/>
    <w:rsid w:val="00270FEC"/>
    <w:rsid w:val="002764AA"/>
    <w:rsid w:val="002774A6"/>
    <w:rsid w:val="00280DCD"/>
    <w:rsid w:val="00282872"/>
    <w:rsid w:val="0028403E"/>
    <w:rsid w:val="00284FE2"/>
    <w:rsid w:val="0028655D"/>
    <w:rsid w:val="00290503"/>
    <w:rsid w:val="00290843"/>
    <w:rsid w:val="00290C6C"/>
    <w:rsid w:val="00290F9E"/>
    <w:rsid w:val="00291F19"/>
    <w:rsid w:val="002922E9"/>
    <w:rsid w:val="00294DBE"/>
    <w:rsid w:val="00295157"/>
    <w:rsid w:val="00295250"/>
    <w:rsid w:val="00295A44"/>
    <w:rsid w:val="00295A8E"/>
    <w:rsid w:val="0029666E"/>
    <w:rsid w:val="002972BF"/>
    <w:rsid w:val="002974A8"/>
    <w:rsid w:val="00297858"/>
    <w:rsid w:val="00297DE8"/>
    <w:rsid w:val="002A076E"/>
    <w:rsid w:val="002A0AA4"/>
    <w:rsid w:val="002A0AD2"/>
    <w:rsid w:val="002A1C47"/>
    <w:rsid w:val="002A216D"/>
    <w:rsid w:val="002A4E30"/>
    <w:rsid w:val="002A6213"/>
    <w:rsid w:val="002B2E86"/>
    <w:rsid w:val="002B3BDD"/>
    <w:rsid w:val="002C16EA"/>
    <w:rsid w:val="002C2A3B"/>
    <w:rsid w:val="002C36E5"/>
    <w:rsid w:val="002C497E"/>
    <w:rsid w:val="002C4D46"/>
    <w:rsid w:val="002C5C7C"/>
    <w:rsid w:val="002C691A"/>
    <w:rsid w:val="002D0372"/>
    <w:rsid w:val="002D06FC"/>
    <w:rsid w:val="002D07F0"/>
    <w:rsid w:val="002D24FA"/>
    <w:rsid w:val="002D31E6"/>
    <w:rsid w:val="002D360B"/>
    <w:rsid w:val="002D5C49"/>
    <w:rsid w:val="002D5D8D"/>
    <w:rsid w:val="002D7738"/>
    <w:rsid w:val="002D7FAF"/>
    <w:rsid w:val="002E1F7F"/>
    <w:rsid w:val="002E5FAB"/>
    <w:rsid w:val="002F0821"/>
    <w:rsid w:val="002F225C"/>
    <w:rsid w:val="002F28F4"/>
    <w:rsid w:val="002F3EBE"/>
    <w:rsid w:val="002F432D"/>
    <w:rsid w:val="002F455D"/>
    <w:rsid w:val="002F458B"/>
    <w:rsid w:val="002F47AB"/>
    <w:rsid w:val="002F523A"/>
    <w:rsid w:val="002F73D7"/>
    <w:rsid w:val="002F7E22"/>
    <w:rsid w:val="00300739"/>
    <w:rsid w:val="00300869"/>
    <w:rsid w:val="00300DCE"/>
    <w:rsid w:val="003037F8"/>
    <w:rsid w:val="0030565C"/>
    <w:rsid w:val="0030657A"/>
    <w:rsid w:val="00306819"/>
    <w:rsid w:val="0030698D"/>
    <w:rsid w:val="00310530"/>
    <w:rsid w:val="003173E1"/>
    <w:rsid w:val="00321705"/>
    <w:rsid w:val="003265EE"/>
    <w:rsid w:val="00326FA3"/>
    <w:rsid w:val="003270C2"/>
    <w:rsid w:val="003272AD"/>
    <w:rsid w:val="0033179F"/>
    <w:rsid w:val="00332C02"/>
    <w:rsid w:val="00333970"/>
    <w:rsid w:val="00334EBA"/>
    <w:rsid w:val="003359B9"/>
    <w:rsid w:val="00335DE4"/>
    <w:rsid w:val="003371B4"/>
    <w:rsid w:val="00341F32"/>
    <w:rsid w:val="0034253E"/>
    <w:rsid w:val="00342DB0"/>
    <w:rsid w:val="00344A8B"/>
    <w:rsid w:val="00346C9D"/>
    <w:rsid w:val="003479C7"/>
    <w:rsid w:val="00350A11"/>
    <w:rsid w:val="00350E0E"/>
    <w:rsid w:val="00351293"/>
    <w:rsid w:val="00351531"/>
    <w:rsid w:val="00351DAA"/>
    <w:rsid w:val="003546E9"/>
    <w:rsid w:val="003547F1"/>
    <w:rsid w:val="00354C3E"/>
    <w:rsid w:val="0035504C"/>
    <w:rsid w:val="00356369"/>
    <w:rsid w:val="003573E3"/>
    <w:rsid w:val="00357CB6"/>
    <w:rsid w:val="00360B14"/>
    <w:rsid w:val="00361EBE"/>
    <w:rsid w:val="003624CD"/>
    <w:rsid w:val="003631A7"/>
    <w:rsid w:val="003642C4"/>
    <w:rsid w:val="003645D3"/>
    <w:rsid w:val="0037288D"/>
    <w:rsid w:val="00372ED3"/>
    <w:rsid w:val="00373236"/>
    <w:rsid w:val="00377E5A"/>
    <w:rsid w:val="0038256D"/>
    <w:rsid w:val="003843AC"/>
    <w:rsid w:val="00385FA0"/>
    <w:rsid w:val="00391382"/>
    <w:rsid w:val="003915F0"/>
    <w:rsid w:val="00394096"/>
    <w:rsid w:val="0039710B"/>
    <w:rsid w:val="003972E1"/>
    <w:rsid w:val="003A0506"/>
    <w:rsid w:val="003A0F92"/>
    <w:rsid w:val="003A1499"/>
    <w:rsid w:val="003A3383"/>
    <w:rsid w:val="003A3817"/>
    <w:rsid w:val="003A3AB1"/>
    <w:rsid w:val="003A49EE"/>
    <w:rsid w:val="003A5D17"/>
    <w:rsid w:val="003B02C8"/>
    <w:rsid w:val="003B03F4"/>
    <w:rsid w:val="003B19B1"/>
    <w:rsid w:val="003B26E1"/>
    <w:rsid w:val="003B2F30"/>
    <w:rsid w:val="003B43B5"/>
    <w:rsid w:val="003B4701"/>
    <w:rsid w:val="003B51C0"/>
    <w:rsid w:val="003B5668"/>
    <w:rsid w:val="003B571C"/>
    <w:rsid w:val="003B5E47"/>
    <w:rsid w:val="003C1465"/>
    <w:rsid w:val="003C1A92"/>
    <w:rsid w:val="003C25EE"/>
    <w:rsid w:val="003C3496"/>
    <w:rsid w:val="003C3846"/>
    <w:rsid w:val="003C507C"/>
    <w:rsid w:val="003C7712"/>
    <w:rsid w:val="003D0AF1"/>
    <w:rsid w:val="003D1980"/>
    <w:rsid w:val="003D5281"/>
    <w:rsid w:val="003D56D0"/>
    <w:rsid w:val="003D5855"/>
    <w:rsid w:val="003D730A"/>
    <w:rsid w:val="003E1713"/>
    <w:rsid w:val="003E2FB4"/>
    <w:rsid w:val="003E4AF1"/>
    <w:rsid w:val="003E61BF"/>
    <w:rsid w:val="003E76FC"/>
    <w:rsid w:val="003E7901"/>
    <w:rsid w:val="003F0F5F"/>
    <w:rsid w:val="003F11EF"/>
    <w:rsid w:val="003F3C4D"/>
    <w:rsid w:val="003F44D7"/>
    <w:rsid w:val="003F665B"/>
    <w:rsid w:val="003F7378"/>
    <w:rsid w:val="00400174"/>
    <w:rsid w:val="00401628"/>
    <w:rsid w:val="00402A3C"/>
    <w:rsid w:val="004030F7"/>
    <w:rsid w:val="004043DB"/>
    <w:rsid w:val="004061B6"/>
    <w:rsid w:val="00406322"/>
    <w:rsid w:val="00407090"/>
    <w:rsid w:val="004073E7"/>
    <w:rsid w:val="00410287"/>
    <w:rsid w:val="00412741"/>
    <w:rsid w:val="00415757"/>
    <w:rsid w:val="004165AB"/>
    <w:rsid w:val="00416DD2"/>
    <w:rsid w:val="00420001"/>
    <w:rsid w:val="00423704"/>
    <w:rsid w:val="0042373E"/>
    <w:rsid w:val="00423789"/>
    <w:rsid w:val="0042421F"/>
    <w:rsid w:val="00427666"/>
    <w:rsid w:val="00430D1B"/>
    <w:rsid w:val="00431736"/>
    <w:rsid w:val="004348E7"/>
    <w:rsid w:val="00434994"/>
    <w:rsid w:val="0043792A"/>
    <w:rsid w:val="004417C3"/>
    <w:rsid w:val="004423DA"/>
    <w:rsid w:val="00443B7D"/>
    <w:rsid w:val="00444CFE"/>
    <w:rsid w:val="00444E4E"/>
    <w:rsid w:val="0044506A"/>
    <w:rsid w:val="004454E2"/>
    <w:rsid w:val="004462B1"/>
    <w:rsid w:val="00450C9B"/>
    <w:rsid w:val="004513AF"/>
    <w:rsid w:val="004519F3"/>
    <w:rsid w:val="004528C2"/>
    <w:rsid w:val="0045315F"/>
    <w:rsid w:val="00453D54"/>
    <w:rsid w:val="0045507C"/>
    <w:rsid w:val="004555DE"/>
    <w:rsid w:val="00460610"/>
    <w:rsid w:val="00460EB6"/>
    <w:rsid w:val="0046116D"/>
    <w:rsid w:val="0046209F"/>
    <w:rsid w:val="004735A0"/>
    <w:rsid w:val="004745D1"/>
    <w:rsid w:val="0047689E"/>
    <w:rsid w:val="00480817"/>
    <w:rsid w:val="0048104A"/>
    <w:rsid w:val="00481189"/>
    <w:rsid w:val="00481F9A"/>
    <w:rsid w:val="0048334E"/>
    <w:rsid w:val="00483DBB"/>
    <w:rsid w:val="00487E56"/>
    <w:rsid w:val="0049262E"/>
    <w:rsid w:val="00493238"/>
    <w:rsid w:val="004967B6"/>
    <w:rsid w:val="004A1DD3"/>
    <w:rsid w:val="004A2125"/>
    <w:rsid w:val="004A25AD"/>
    <w:rsid w:val="004A487E"/>
    <w:rsid w:val="004A5461"/>
    <w:rsid w:val="004A651A"/>
    <w:rsid w:val="004A67F9"/>
    <w:rsid w:val="004B0A1A"/>
    <w:rsid w:val="004B0DEB"/>
    <w:rsid w:val="004B0F03"/>
    <w:rsid w:val="004B31BC"/>
    <w:rsid w:val="004B5A64"/>
    <w:rsid w:val="004B66AC"/>
    <w:rsid w:val="004B72E6"/>
    <w:rsid w:val="004C0348"/>
    <w:rsid w:val="004C11C2"/>
    <w:rsid w:val="004C3071"/>
    <w:rsid w:val="004C3530"/>
    <w:rsid w:val="004C35ED"/>
    <w:rsid w:val="004C3F1D"/>
    <w:rsid w:val="004C63DA"/>
    <w:rsid w:val="004C6824"/>
    <w:rsid w:val="004D0320"/>
    <w:rsid w:val="004D19EF"/>
    <w:rsid w:val="004D37E5"/>
    <w:rsid w:val="004D5770"/>
    <w:rsid w:val="004D5DCA"/>
    <w:rsid w:val="004D7259"/>
    <w:rsid w:val="004D7883"/>
    <w:rsid w:val="004E05BE"/>
    <w:rsid w:val="004E0C74"/>
    <w:rsid w:val="004E2C10"/>
    <w:rsid w:val="004E33EB"/>
    <w:rsid w:val="004E592A"/>
    <w:rsid w:val="004E6CD0"/>
    <w:rsid w:val="004E7B1D"/>
    <w:rsid w:val="004F0377"/>
    <w:rsid w:val="004F1080"/>
    <w:rsid w:val="004F35FB"/>
    <w:rsid w:val="004F38EE"/>
    <w:rsid w:val="004F3D39"/>
    <w:rsid w:val="004F3EA9"/>
    <w:rsid w:val="004F42F9"/>
    <w:rsid w:val="004F59F0"/>
    <w:rsid w:val="004F6184"/>
    <w:rsid w:val="00502069"/>
    <w:rsid w:val="00502183"/>
    <w:rsid w:val="005031A2"/>
    <w:rsid w:val="005033B0"/>
    <w:rsid w:val="00505977"/>
    <w:rsid w:val="00506349"/>
    <w:rsid w:val="005068DB"/>
    <w:rsid w:val="005073F2"/>
    <w:rsid w:val="005105E1"/>
    <w:rsid w:val="005108DC"/>
    <w:rsid w:val="00512B88"/>
    <w:rsid w:val="00513DC4"/>
    <w:rsid w:val="00516C44"/>
    <w:rsid w:val="005177D6"/>
    <w:rsid w:val="005229BB"/>
    <w:rsid w:val="00523F57"/>
    <w:rsid w:val="005264A8"/>
    <w:rsid w:val="00526CE8"/>
    <w:rsid w:val="00530DFE"/>
    <w:rsid w:val="00531076"/>
    <w:rsid w:val="00531449"/>
    <w:rsid w:val="00533874"/>
    <w:rsid w:val="00534C0E"/>
    <w:rsid w:val="00534CBB"/>
    <w:rsid w:val="005359E9"/>
    <w:rsid w:val="00540DE7"/>
    <w:rsid w:val="005424A9"/>
    <w:rsid w:val="00543E7B"/>
    <w:rsid w:val="00546B6B"/>
    <w:rsid w:val="00547FBE"/>
    <w:rsid w:val="005533EB"/>
    <w:rsid w:val="00553EF4"/>
    <w:rsid w:val="005540CB"/>
    <w:rsid w:val="00554E55"/>
    <w:rsid w:val="005559E6"/>
    <w:rsid w:val="0055660B"/>
    <w:rsid w:val="005575EA"/>
    <w:rsid w:val="005607BD"/>
    <w:rsid w:val="00564850"/>
    <w:rsid w:val="00565FED"/>
    <w:rsid w:val="00566275"/>
    <w:rsid w:val="00566423"/>
    <w:rsid w:val="00566445"/>
    <w:rsid w:val="005669F3"/>
    <w:rsid w:val="00570088"/>
    <w:rsid w:val="00572889"/>
    <w:rsid w:val="0057296E"/>
    <w:rsid w:val="00574224"/>
    <w:rsid w:val="00574C80"/>
    <w:rsid w:val="005754F7"/>
    <w:rsid w:val="00575E00"/>
    <w:rsid w:val="005802E6"/>
    <w:rsid w:val="00580C1C"/>
    <w:rsid w:val="005814B0"/>
    <w:rsid w:val="0058216E"/>
    <w:rsid w:val="00584B7B"/>
    <w:rsid w:val="00587502"/>
    <w:rsid w:val="00590660"/>
    <w:rsid w:val="005928D2"/>
    <w:rsid w:val="00592E0E"/>
    <w:rsid w:val="00593E05"/>
    <w:rsid w:val="0059594F"/>
    <w:rsid w:val="00595C95"/>
    <w:rsid w:val="005A03BF"/>
    <w:rsid w:val="005A1ECB"/>
    <w:rsid w:val="005A1FCD"/>
    <w:rsid w:val="005A2CCA"/>
    <w:rsid w:val="005A36E3"/>
    <w:rsid w:val="005A4AAB"/>
    <w:rsid w:val="005A4F95"/>
    <w:rsid w:val="005A58F1"/>
    <w:rsid w:val="005A5905"/>
    <w:rsid w:val="005A5D7E"/>
    <w:rsid w:val="005A770B"/>
    <w:rsid w:val="005A782D"/>
    <w:rsid w:val="005A78A0"/>
    <w:rsid w:val="005B040D"/>
    <w:rsid w:val="005B1394"/>
    <w:rsid w:val="005B1875"/>
    <w:rsid w:val="005B1CA7"/>
    <w:rsid w:val="005B244F"/>
    <w:rsid w:val="005B2C3E"/>
    <w:rsid w:val="005B2CA4"/>
    <w:rsid w:val="005B2D2A"/>
    <w:rsid w:val="005B32B3"/>
    <w:rsid w:val="005B36CD"/>
    <w:rsid w:val="005B4517"/>
    <w:rsid w:val="005B6FD9"/>
    <w:rsid w:val="005C084B"/>
    <w:rsid w:val="005C3D27"/>
    <w:rsid w:val="005C3D81"/>
    <w:rsid w:val="005C567B"/>
    <w:rsid w:val="005C5745"/>
    <w:rsid w:val="005C5F75"/>
    <w:rsid w:val="005C6EC3"/>
    <w:rsid w:val="005D0B04"/>
    <w:rsid w:val="005D174B"/>
    <w:rsid w:val="005D239B"/>
    <w:rsid w:val="005D34E3"/>
    <w:rsid w:val="005D37DE"/>
    <w:rsid w:val="005D3D2A"/>
    <w:rsid w:val="005D4FF6"/>
    <w:rsid w:val="005D6350"/>
    <w:rsid w:val="005D7719"/>
    <w:rsid w:val="005E35C4"/>
    <w:rsid w:val="005E3730"/>
    <w:rsid w:val="005E3EFA"/>
    <w:rsid w:val="005E3F5A"/>
    <w:rsid w:val="005E467B"/>
    <w:rsid w:val="005E486A"/>
    <w:rsid w:val="005E4E85"/>
    <w:rsid w:val="005E6B70"/>
    <w:rsid w:val="005F0507"/>
    <w:rsid w:val="005F082A"/>
    <w:rsid w:val="005F1266"/>
    <w:rsid w:val="005F15AC"/>
    <w:rsid w:val="005F1778"/>
    <w:rsid w:val="00600E91"/>
    <w:rsid w:val="00601475"/>
    <w:rsid w:val="006017A2"/>
    <w:rsid w:val="0060215A"/>
    <w:rsid w:val="0060486E"/>
    <w:rsid w:val="00604CB0"/>
    <w:rsid w:val="00605967"/>
    <w:rsid w:val="00607A15"/>
    <w:rsid w:val="0061155F"/>
    <w:rsid w:val="00611DFD"/>
    <w:rsid w:val="00617DE1"/>
    <w:rsid w:val="00620B00"/>
    <w:rsid w:val="00620B91"/>
    <w:rsid w:val="00621D43"/>
    <w:rsid w:val="006234D2"/>
    <w:rsid w:val="0062464F"/>
    <w:rsid w:val="006249B7"/>
    <w:rsid w:val="0062549C"/>
    <w:rsid w:val="006302BB"/>
    <w:rsid w:val="00630FCE"/>
    <w:rsid w:val="00631B29"/>
    <w:rsid w:val="00631C16"/>
    <w:rsid w:val="00635487"/>
    <w:rsid w:val="0064021C"/>
    <w:rsid w:val="006406E3"/>
    <w:rsid w:val="0064336F"/>
    <w:rsid w:val="006435F7"/>
    <w:rsid w:val="00644B59"/>
    <w:rsid w:val="00647CCF"/>
    <w:rsid w:val="00650542"/>
    <w:rsid w:val="0065054A"/>
    <w:rsid w:val="00652374"/>
    <w:rsid w:val="00653037"/>
    <w:rsid w:val="00654B84"/>
    <w:rsid w:val="00654D06"/>
    <w:rsid w:val="0066018F"/>
    <w:rsid w:val="00662AB8"/>
    <w:rsid w:val="006634A1"/>
    <w:rsid w:val="0066442F"/>
    <w:rsid w:val="006644CD"/>
    <w:rsid w:val="00666F78"/>
    <w:rsid w:val="00667077"/>
    <w:rsid w:val="00667B79"/>
    <w:rsid w:val="0067162B"/>
    <w:rsid w:val="00676E7B"/>
    <w:rsid w:val="00676EDB"/>
    <w:rsid w:val="00682848"/>
    <w:rsid w:val="00683F64"/>
    <w:rsid w:val="0068405D"/>
    <w:rsid w:val="00684186"/>
    <w:rsid w:val="0068517D"/>
    <w:rsid w:val="00690445"/>
    <w:rsid w:val="00691788"/>
    <w:rsid w:val="00691A0C"/>
    <w:rsid w:val="00692D1E"/>
    <w:rsid w:val="006931E8"/>
    <w:rsid w:val="0069354E"/>
    <w:rsid w:val="00693AF1"/>
    <w:rsid w:val="00693B9B"/>
    <w:rsid w:val="00696F2C"/>
    <w:rsid w:val="006A0556"/>
    <w:rsid w:val="006A0B04"/>
    <w:rsid w:val="006A108D"/>
    <w:rsid w:val="006A14E7"/>
    <w:rsid w:val="006A2256"/>
    <w:rsid w:val="006A2D11"/>
    <w:rsid w:val="006A31F4"/>
    <w:rsid w:val="006A67F3"/>
    <w:rsid w:val="006A69E9"/>
    <w:rsid w:val="006A6BF2"/>
    <w:rsid w:val="006B1E9E"/>
    <w:rsid w:val="006B42B5"/>
    <w:rsid w:val="006B5280"/>
    <w:rsid w:val="006B5627"/>
    <w:rsid w:val="006B5653"/>
    <w:rsid w:val="006B5DDA"/>
    <w:rsid w:val="006B78DB"/>
    <w:rsid w:val="006B7DCA"/>
    <w:rsid w:val="006C2487"/>
    <w:rsid w:val="006C38AA"/>
    <w:rsid w:val="006C3979"/>
    <w:rsid w:val="006C443E"/>
    <w:rsid w:val="006C4BFE"/>
    <w:rsid w:val="006C7400"/>
    <w:rsid w:val="006C79A8"/>
    <w:rsid w:val="006D0C5E"/>
    <w:rsid w:val="006D15F9"/>
    <w:rsid w:val="006D2240"/>
    <w:rsid w:val="006D55C2"/>
    <w:rsid w:val="006D5EF7"/>
    <w:rsid w:val="006D5F5B"/>
    <w:rsid w:val="006D6C1E"/>
    <w:rsid w:val="006D70D7"/>
    <w:rsid w:val="006E1709"/>
    <w:rsid w:val="006E2FE7"/>
    <w:rsid w:val="006E6742"/>
    <w:rsid w:val="006F0AEA"/>
    <w:rsid w:val="006F1534"/>
    <w:rsid w:val="006F2A11"/>
    <w:rsid w:val="006F4EA9"/>
    <w:rsid w:val="006F698A"/>
    <w:rsid w:val="00701557"/>
    <w:rsid w:val="00701D89"/>
    <w:rsid w:val="007049AC"/>
    <w:rsid w:val="00705DE6"/>
    <w:rsid w:val="00710ECB"/>
    <w:rsid w:val="00711F4E"/>
    <w:rsid w:val="00713A21"/>
    <w:rsid w:val="0071589A"/>
    <w:rsid w:val="0071636D"/>
    <w:rsid w:val="0071651D"/>
    <w:rsid w:val="00721F1C"/>
    <w:rsid w:val="0072207F"/>
    <w:rsid w:val="007220A3"/>
    <w:rsid w:val="00723309"/>
    <w:rsid w:val="00725C5C"/>
    <w:rsid w:val="00726817"/>
    <w:rsid w:val="0072703E"/>
    <w:rsid w:val="007304F0"/>
    <w:rsid w:val="00730694"/>
    <w:rsid w:val="00730D3A"/>
    <w:rsid w:val="007316B2"/>
    <w:rsid w:val="00731ECB"/>
    <w:rsid w:val="007331C5"/>
    <w:rsid w:val="007354F8"/>
    <w:rsid w:val="00741259"/>
    <w:rsid w:val="00744A4E"/>
    <w:rsid w:val="00745031"/>
    <w:rsid w:val="007450DE"/>
    <w:rsid w:val="00745D68"/>
    <w:rsid w:val="00746CAE"/>
    <w:rsid w:val="00746F8D"/>
    <w:rsid w:val="00747762"/>
    <w:rsid w:val="007530CF"/>
    <w:rsid w:val="007534B1"/>
    <w:rsid w:val="00753968"/>
    <w:rsid w:val="00754FF8"/>
    <w:rsid w:val="0075588F"/>
    <w:rsid w:val="007565F2"/>
    <w:rsid w:val="007631A9"/>
    <w:rsid w:val="00766B6B"/>
    <w:rsid w:val="00767E15"/>
    <w:rsid w:val="007759C5"/>
    <w:rsid w:val="007803D0"/>
    <w:rsid w:val="007807AA"/>
    <w:rsid w:val="007809C4"/>
    <w:rsid w:val="00784BB8"/>
    <w:rsid w:val="00784BD5"/>
    <w:rsid w:val="00784CE5"/>
    <w:rsid w:val="00784D9D"/>
    <w:rsid w:val="00785C17"/>
    <w:rsid w:val="00787221"/>
    <w:rsid w:val="00787EFE"/>
    <w:rsid w:val="00791BB5"/>
    <w:rsid w:val="0079412E"/>
    <w:rsid w:val="0079461A"/>
    <w:rsid w:val="007958E6"/>
    <w:rsid w:val="00797A2A"/>
    <w:rsid w:val="007A2F90"/>
    <w:rsid w:val="007A3316"/>
    <w:rsid w:val="007A3DFF"/>
    <w:rsid w:val="007A527E"/>
    <w:rsid w:val="007A58FC"/>
    <w:rsid w:val="007B000C"/>
    <w:rsid w:val="007B1846"/>
    <w:rsid w:val="007B2786"/>
    <w:rsid w:val="007B362B"/>
    <w:rsid w:val="007B4463"/>
    <w:rsid w:val="007B4B61"/>
    <w:rsid w:val="007B5258"/>
    <w:rsid w:val="007B7DD4"/>
    <w:rsid w:val="007C0C2D"/>
    <w:rsid w:val="007C1F6A"/>
    <w:rsid w:val="007C3405"/>
    <w:rsid w:val="007C4A84"/>
    <w:rsid w:val="007C52D7"/>
    <w:rsid w:val="007D41AC"/>
    <w:rsid w:val="007D4EEF"/>
    <w:rsid w:val="007E042D"/>
    <w:rsid w:val="007E0AD9"/>
    <w:rsid w:val="007E4AE0"/>
    <w:rsid w:val="007F2303"/>
    <w:rsid w:val="007F2666"/>
    <w:rsid w:val="007F26CC"/>
    <w:rsid w:val="007F2AFC"/>
    <w:rsid w:val="007F54B5"/>
    <w:rsid w:val="007F5EE4"/>
    <w:rsid w:val="007F72B2"/>
    <w:rsid w:val="00801983"/>
    <w:rsid w:val="00802352"/>
    <w:rsid w:val="00804E70"/>
    <w:rsid w:val="00805173"/>
    <w:rsid w:val="008051A8"/>
    <w:rsid w:val="0080686D"/>
    <w:rsid w:val="00806FB4"/>
    <w:rsid w:val="00812360"/>
    <w:rsid w:val="0081423B"/>
    <w:rsid w:val="00814E14"/>
    <w:rsid w:val="008161D2"/>
    <w:rsid w:val="00817F08"/>
    <w:rsid w:val="00821FD2"/>
    <w:rsid w:val="00822985"/>
    <w:rsid w:val="008232E3"/>
    <w:rsid w:val="00823D2F"/>
    <w:rsid w:val="00825543"/>
    <w:rsid w:val="00825AD5"/>
    <w:rsid w:val="008262AE"/>
    <w:rsid w:val="0082634B"/>
    <w:rsid w:val="008269FE"/>
    <w:rsid w:val="00826F8D"/>
    <w:rsid w:val="00827E97"/>
    <w:rsid w:val="00830896"/>
    <w:rsid w:val="008327DB"/>
    <w:rsid w:val="00833461"/>
    <w:rsid w:val="008339F8"/>
    <w:rsid w:val="00835E8C"/>
    <w:rsid w:val="00836004"/>
    <w:rsid w:val="008366A1"/>
    <w:rsid w:val="00841A6C"/>
    <w:rsid w:val="008436AE"/>
    <w:rsid w:val="00843E1A"/>
    <w:rsid w:val="0084443C"/>
    <w:rsid w:val="00845803"/>
    <w:rsid w:val="008502B7"/>
    <w:rsid w:val="0085382C"/>
    <w:rsid w:val="00855783"/>
    <w:rsid w:val="00856567"/>
    <w:rsid w:val="008572AB"/>
    <w:rsid w:val="0085756E"/>
    <w:rsid w:val="008604A8"/>
    <w:rsid w:val="008616C9"/>
    <w:rsid w:val="0086536E"/>
    <w:rsid w:val="00866C2B"/>
    <w:rsid w:val="00867E41"/>
    <w:rsid w:val="00870A3A"/>
    <w:rsid w:val="00872258"/>
    <w:rsid w:val="00875313"/>
    <w:rsid w:val="008756D6"/>
    <w:rsid w:val="00877D26"/>
    <w:rsid w:val="00880211"/>
    <w:rsid w:val="008809A3"/>
    <w:rsid w:val="00882BA5"/>
    <w:rsid w:val="00883F18"/>
    <w:rsid w:val="008857DD"/>
    <w:rsid w:val="00885A22"/>
    <w:rsid w:val="00886B23"/>
    <w:rsid w:val="00886B87"/>
    <w:rsid w:val="00891967"/>
    <w:rsid w:val="00891AA2"/>
    <w:rsid w:val="00891FA2"/>
    <w:rsid w:val="00892612"/>
    <w:rsid w:val="00892734"/>
    <w:rsid w:val="0089316F"/>
    <w:rsid w:val="008931B0"/>
    <w:rsid w:val="00894C99"/>
    <w:rsid w:val="00894D7D"/>
    <w:rsid w:val="00896FAC"/>
    <w:rsid w:val="00897D35"/>
    <w:rsid w:val="008A1D10"/>
    <w:rsid w:val="008A1DD8"/>
    <w:rsid w:val="008A2464"/>
    <w:rsid w:val="008A361B"/>
    <w:rsid w:val="008A553C"/>
    <w:rsid w:val="008A5DFA"/>
    <w:rsid w:val="008A6DCB"/>
    <w:rsid w:val="008A7DAF"/>
    <w:rsid w:val="008B114D"/>
    <w:rsid w:val="008B4224"/>
    <w:rsid w:val="008B4390"/>
    <w:rsid w:val="008B4806"/>
    <w:rsid w:val="008B631E"/>
    <w:rsid w:val="008B6F28"/>
    <w:rsid w:val="008C097D"/>
    <w:rsid w:val="008C0FBE"/>
    <w:rsid w:val="008C1367"/>
    <w:rsid w:val="008C303F"/>
    <w:rsid w:val="008C50F0"/>
    <w:rsid w:val="008C6701"/>
    <w:rsid w:val="008C6E4E"/>
    <w:rsid w:val="008D0755"/>
    <w:rsid w:val="008D0B58"/>
    <w:rsid w:val="008D3ABC"/>
    <w:rsid w:val="008D4240"/>
    <w:rsid w:val="008D45CD"/>
    <w:rsid w:val="008D4CE2"/>
    <w:rsid w:val="008D5A46"/>
    <w:rsid w:val="008E04E1"/>
    <w:rsid w:val="008E1786"/>
    <w:rsid w:val="008E1B90"/>
    <w:rsid w:val="008E2A9B"/>
    <w:rsid w:val="008E32E9"/>
    <w:rsid w:val="008E3A01"/>
    <w:rsid w:val="008E46BD"/>
    <w:rsid w:val="008E4834"/>
    <w:rsid w:val="008E49E7"/>
    <w:rsid w:val="008E4E7E"/>
    <w:rsid w:val="008E5D31"/>
    <w:rsid w:val="008F1C43"/>
    <w:rsid w:val="008F2964"/>
    <w:rsid w:val="008F2FAB"/>
    <w:rsid w:val="008F6F85"/>
    <w:rsid w:val="008F7EFB"/>
    <w:rsid w:val="009014D7"/>
    <w:rsid w:val="00901B52"/>
    <w:rsid w:val="009027BE"/>
    <w:rsid w:val="0090529E"/>
    <w:rsid w:val="0090538F"/>
    <w:rsid w:val="009057FF"/>
    <w:rsid w:val="00905F39"/>
    <w:rsid w:val="00906CB9"/>
    <w:rsid w:val="00911592"/>
    <w:rsid w:val="00911DBF"/>
    <w:rsid w:val="009122AE"/>
    <w:rsid w:val="0091398E"/>
    <w:rsid w:val="00915F0E"/>
    <w:rsid w:val="00916941"/>
    <w:rsid w:val="009206E6"/>
    <w:rsid w:val="00921407"/>
    <w:rsid w:val="009230F0"/>
    <w:rsid w:val="00926034"/>
    <w:rsid w:val="00931419"/>
    <w:rsid w:val="009334C4"/>
    <w:rsid w:val="0093417E"/>
    <w:rsid w:val="00936049"/>
    <w:rsid w:val="00937910"/>
    <w:rsid w:val="00940497"/>
    <w:rsid w:val="009404B9"/>
    <w:rsid w:val="00945C7E"/>
    <w:rsid w:val="00946987"/>
    <w:rsid w:val="0095242C"/>
    <w:rsid w:val="0095477A"/>
    <w:rsid w:val="00954E85"/>
    <w:rsid w:val="00956816"/>
    <w:rsid w:val="0096053F"/>
    <w:rsid w:val="00961748"/>
    <w:rsid w:val="009620E7"/>
    <w:rsid w:val="00963BEF"/>
    <w:rsid w:val="00963FFA"/>
    <w:rsid w:val="00964258"/>
    <w:rsid w:val="00965945"/>
    <w:rsid w:val="00970D21"/>
    <w:rsid w:val="00971B2C"/>
    <w:rsid w:val="00974723"/>
    <w:rsid w:val="0097613D"/>
    <w:rsid w:val="009761E3"/>
    <w:rsid w:val="00976258"/>
    <w:rsid w:val="0097631C"/>
    <w:rsid w:val="0097678E"/>
    <w:rsid w:val="009776F0"/>
    <w:rsid w:val="00977A58"/>
    <w:rsid w:val="009804D7"/>
    <w:rsid w:val="00980D9E"/>
    <w:rsid w:val="00983166"/>
    <w:rsid w:val="00984352"/>
    <w:rsid w:val="00985345"/>
    <w:rsid w:val="00987043"/>
    <w:rsid w:val="00993107"/>
    <w:rsid w:val="0099501E"/>
    <w:rsid w:val="00995DAA"/>
    <w:rsid w:val="009962CA"/>
    <w:rsid w:val="00996524"/>
    <w:rsid w:val="009A15B5"/>
    <w:rsid w:val="009A2539"/>
    <w:rsid w:val="009A384A"/>
    <w:rsid w:val="009A39E4"/>
    <w:rsid w:val="009A511D"/>
    <w:rsid w:val="009A5296"/>
    <w:rsid w:val="009A5B05"/>
    <w:rsid w:val="009A60B9"/>
    <w:rsid w:val="009A74A9"/>
    <w:rsid w:val="009A7821"/>
    <w:rsid w:val="009B122A"/>
    <w:rsid w:val="009B13DC"/>
    <w:rsid w:val="009B176B"/>
    <w:rsid w:val="009B3515"/>
    <w:rsid w:val="009B6895"/>
    <w:rsid w:val="009B76B1"/>
    <w:rsid w:val="009B7C97"/>
    <w:rsid w:val="009C048D"/>
    <w:rsid w:val="009C1E8C"/>
    <w:rsid w:val="009C208E"/>
    <w:rsid w:val="009C2856"/>
    <w:rsid w:val="009C340D"/>
    <w:rsid w:val="009C68DC"/>
    <w:rsid w:val="009C710C"/>
    <w:rsid w:val="009C771D"/>
    <w:rsid w:val="009C7BF8"/>
    <w:rsid w:val="009D02D9"/>
    <w:rsid w:val="009D0CD1"/>
    <w:rsid w:val="009D1BD1"/>
    <w:rsid w:val="009D3A89"/>
    <w:rsid w:val="009D475F"/>
    <w:rsid w:val="009D75FD"/>
    <w:rsid w:val="009E0F72"/>
    <w:rsid w:val="009E2182"/>
    <w:rsid w:val="009E2943"/>
    <w:rsid w:val="009E3CB7"/>
    <w:rsid w:val="009E6F86"/>
    <w:rsid w:val="009E79FF"/>
    <w:rsid w:val="009F2F7F"/>
    <w:rsid w:val="009F3E60"/>
    <w:rsid w:val="009F5C94"/>
    <w:rsid w:val="009F68E2"/>
    <w:rsid w:val="009F753F"/>
    <w:rsid w:val="009F7B71"/>
    <w:rsid w:val="00A01C9B"/>
    <w:rsid w:val="00A045EE"/>
    <w:rsid w:val="00A053DC"/>
    <w:rsid w:val="00A0639C"/>
    <w:rsid w:val="00A068F0"/>
    <w:rsid w:val="00A072A9"/>
    <w:rsid w:val="00A0741E"/>
    <w:rsid w:val="00A115F6"/>
    <w:rsid w:val="00A12244"/>
    <w:rsid w:val="00A1256B"/>
    <w:rsid w:val="00A15334"/>
    <w:rsid w:val="00A17BE8"/>
    <w:rsid w:val="00A202C1"/>
    <w:rsid w:val="00A20815"/>
    <w:rsid w:val="00A20F88"/>
    <w:rsid w:val="00A218F7"/>
    <w:rsid w:val="00A22DAF"/>
    <w:rsid w:val="00A23DB6"/>
    <w:rsid w:val="00A3261D"/>
    <w:rsid w:val="00A32D30"/>
    <w:rsid w:val="00A34075"/>
    <w:rsid w:val="00A3535D"/>
    <w:rsid w:val="00A35D3B"/>
    <w:rsid w:val="00A35FAC"/>
    <w:rsid w:val="00A36CAD"/>
    <w:rsid w:val="00A36D37"/>
    <w:rsid w:val="00A36F3B"/>
    <w:rsid w:val="00A411A2"/>
    <w:rsid w:val="00A43A73"/>
    <w:rsid w:val="00A476B0"/>
    <w:rsid w:val="00A504FD"/>
    <w:rsid w:val="00A50649"/>
    <w:rsid w:val="00A52815"/>
    <w:rsid w:val="00A538CB"/>
    <w:rsid w:val="00A54490"/>
    <w:rsid w:val="00A606E0"/>
    <w:rsid w:val="00A61189"/>
    <w:rsid w:val="00A62661"/>
    <w:rsid w:val="00A672E3"/>
    <w:rsid w:val="00A67701"/>
    <w:rsid w:val="00A67E40"/>
    <w:rsid w:val="00A712E1"/>
    <w:rsid w:val="00A72C32"/>
    <w:rsid w:val="00A72C4D"/>
    <w:rsid w:val="00A73588"/>
    <w:rsid w:val="00A74A6B"/>
    <w:rsid w:val="00A7553E"/>
    <w:rsid w:val="00A76FF3"/>
    <w:rsid w:val="00A83B83"/>
    <w:rsid w:val="00A84C19"/>
    <w:rsid w:val="00A9019C"/>
    <w:rsid w:val="00A92C76"/>
    <w:rsid w:val="00A931CC"/>
    <w:rsid w:val="00A960BE"/>
    <w:rsid w:val="00A96AF4"/>
    <w:rsid w:val="00AA23AF"/>
    <w:rsid w:val="00AA2C37"/>
    <w:rsid w:val="00AA322C"/>
    <w:rsid w:val="00AA5BF4"/>
    <w:rsid w:val="00AA654B"/>
    <w:rsid w:val="00AB0AE3"/>
    <w:rsid w:val="00AB1FAB"/>
    <w:rsid w:val="00AB3189"/>
    <w:rsid w:val="00AB37F8"/>
    <w:rsid w:val="00AB3F3D"/>
    <w:rsid w:val="00AB4EB8"/>
    <w:rsid w:val="00AB57CD"/>
    <w:rsid w:val="00AB5CFF"/>
    <w:rsid w:val="00AB6086"/>
    <w:rsid w:val="00AC1E2B"/>
    <w:rsid w:val="00AC2DC4"/>
    <w:rsid w:val="00AC4561"/>
    <w:rsid w:val="00AC486F"/>
    <w:rsid w:val="00AC5462"/>
    <w:rsid w:val="00AD1E2A"/>
    <w:rsid w:val="00AD1F60"/>
    <w:rsid w:val="00AD2BB9"/>
    <w:rsid w:val="00AD4323"/>
    <w:rsid w:val="00AD435B"/>
    <w:rsid w:val="00AD4E55"/>
    <w:rsid w:val="00AD5AD1"/>
    <w:rsid w:val="00AE020F"/>
    <w:rsid w:val="00AE1A77"/>
    <w:rsid w:val="00AE208C"/>
    <w:rsid w:val="00AE2976"/>
    <w:rsid w:val="00AE3349"/>
    <w:rsid w:val="00AE40B1"/>
    <w:rsid w:val="00AE6771"/>
    <w:rsid w:val="00AE679E"/>
    <w:rsid w:val="00AE7BE4"/>
    <w:rsid w:val="00AF1848"/>
    <w:rsid w:val="00AF3F0B"/>
    <w:rsid w:val="00AF424A"/>
    <w:rsid w:val="00AF452E"/>
    <w:rsid w:val="00AF4738"/>
    <w:rsid w:val="00AF79DD"/>
    <w:rsid w:val="00B00117"/>
    <w:rsid w:val="00B00716"/>
    <w:rsid w:val="00B0459E"/>
    <w:rsid w:val="00B04F88"/>
    <w:rsid w:val="00B05A42"/>
    <w:rsid w:val="00B0639B"/>
    <w:rsid w:val="00B07AFC"/>
    <w:rsid w:val="00B106FA"/>
    <w:rsid w:val="00B11578"/>
    <w:rsid w:val="00B11CFA"/>
    <w:rsid w:val="00B14470"/>
    <w:rsid w:val="00B15A73"/>
    <w:rsid w:val="00B16503"/>
    <w:rsid w:val="00B17E15"/>
    <w:rsid w:val="00B20977"/>
    <w:rsid w:val="00B21067"/>
    <w:rsid w:val="00B2174E"/>
    <w:rsid w:val="00B23224"/>
    <w:rsid w:val="00B23F7B"/>
    <w:rsid w:val="00B24D3D"/>
    <w:rsid w:val="00B2523C"/>
    <w:rsid w:val="00B27CBF"/>
    <w:rsid w:val="00B307A8"/>
    <w:rsid w:val="00B30BF8"/>
    <w:rsid w:val="00B31076"/>
    <w:rsid w:val="00B3501C"/>
    <w:rsid w:val="00B36134"/>
    <w:rsid w:val="00B36629"/>
    <w:rsid w:val="00B3786F"/>
    <w:rsid w:val="00B41128"/>
    <w:rsid w:val="00B4166B"/>
    <w:rsid w:val="00B42247"/>
    <w:rsid w:val="00B42996"/>
    <w:rsid w:val="00B44DCA"/>
    <w:rsid w:val="00B4628D"/>
    <w:rsid w:val="00B50307"/>
    <w:rsid w:val="00B50533"/>
    <w:rsid w:val="00B5548E"/>
    <w:rsid w:val="00B6132A"/>
    <w:rsid w:val="00B61E43"/>
    <w:rsid w:val="00B62016"/>
    <w:rsid w:val="00B620C7"/>
    <w:rsid w:val="00B6229E"/>
    <w:rsid w:val="00B62737"/>
    <w:rsid w:val="00B6363F"/>
    <w:rsid w:val="00B6377C"/>
    <w:rsid w:val="00B63E09"/>
    <w:rsid w:val="00B652A9"/>
    <w:rsid w:val="00B665F9"/>
    <w:rsid w:val="00B6724F"/>
    <w:rsid w:val="00B67753"/>
    <w:rsid w:val="00B7073B"/>
    <w:rsid w:val="00B74804"/>
    <w:rsid w:val="00B75DD6"/>
    <w:rsid w:val="00B75F3B"/>
    <w:rsid w:val="00B76951"/>
    <w:rsid w:val="00B8014B"/>
    <w:rsid w:val="00B82AE6"/>
    <w:rsid w:val="00B82C20"/>
    <w:rsid w:val="00B83858"/>
    <w:rsid w:val="00B84BEE"/>
    <w:rsid w:val="00B84ECC"/>
    <w:rsid w:val="00B85759"/>
    <w:rsid w:val="00B869DD"/>
    <w:rsid w:val="00B87302"/>
    <w:rsid w:val="00B87E39"/>
    <w:rsid w:val="00B91292"/>
    <w:rsid w:val="00B94BE2"/>
    <w:rsid w:val="00B96FF3"/>
    <w:rsid w:val="00B9738D"/>
    <w:rsid w:val="00BA185E"/>
    <w:rsid w:val="00BA2182"/>
    <w:rsid w:val="00BA31E6"/>
    <w:rsid w:val="00BA3A31"/>
    <w:rsid w:val="00BB3966"/>
    <w:rsid w:val="00BB41DD"/>
    <w:rsid w:val="00BB4513"/>
    <w:rsid w:val="00BB455C"/>
    <w:rsid w:val="00BB4C30"/>
    <w:rsid w:val="00BB74B0"/>
    <w:rsid w:val="00BB7BFC"/>
    <w:rsid w:val="00BB7DEA"/>
    <w:rsid w:val="00BC2150"/>
    <w:rsid w:val="00BC7960"/>
    <w:rsid w:val="00BC7DE4"/>
    <w:rsid w:val="00BD083E"/>
    <w:rsid w:val="00BD1236"/>
    <w:rsid w:val="00BD170B"/>
    <w:rsid w:val="00BD3C1C"/>
    <w:rsid w:val="00BD532E"/>
    <w:rsid w:val="00BD66E3"/>
    <w:rsid w:val="00BD6C2E"/>
    <w:rsid w:val="00BE021D"/>
    <w:rsid w:val="00BE0A90"/>
    <w:rsid w:val="00BE226F"/>
    <w:rsid w:val="00BE2CD3"/>
    <w:rsid w:val="00BE3231"/>
    <w:rsid w:val="00BE3B49"/>
    <w:rsid w:val="00BE4248"/>
    <w:rsid w:val="00BE47C0"/>
    <w:rsid w:val="00BE6341"/>
    <w:rsid w:val="00BE6C30"/>
    <w:rsid w:val="00BF0008"/>
    <w:rsid w:val="00BF08A3"/>
    <w:rsid w:val="00BF1DAF"/>
    <w:rsid w:val="00BF211E"/>
    <w:rsid w:val="00BF23EF"/>
    <w:rsid w:val="00BF58BD"/>
    <w:rsid w:val="00C010EB"/>
    <w:rsid w:val="00C02766"/>
    <w:rsid w:val="00C04902"/>
    <w:rsid w:val="00C05E82"/>
    <w:rsid w:val="00C0670A"/>
    <w:rsid w:val="00C07A4F"/>
    <w:rsid w:val="00C10F15"/>
    <w:rsid w:val="00C11D8D"/>
    <w:rsid w:val="00C1310D"/>
    <w:rsid w:val="00C13CA1"/>
    <w:rsid w:val="00C143D9"/>
    <w:rsid w:val="00C14F9A"/>
    <w:rsid w:val="00C15B01"/>
    <w:rsid w:val="00C15FCD"/>
    <w:rsid w:val="00C16E3C"/>
    <w:rsid w:val="00C179DD"/>
    <w:rsid w:val="00C17AA0"/>
    <w:rsid w:val="00C203AB"/>
    <w:rsid w:val="00C20BAB"/>
    <w:rsid w:val="00C22CC1"/>
    <w:rsid w:val="00C248EF"/>
    <w:rsid w:val="00C25187"/>
    <w:rsid w:val="00C26051"/>
    <w:rsid w:val="00C2646D"/>
    <w:rsid w:val="00C27E8E"/>
    <w:rsid w:val="00C321E1"/>
    <w:rsid w:val="00C36D7B"/>
    <w:rsid w:val="00C37F38"/>
    <w:rsid w:val="00C41412"/>
    <w:rsid w:val="00C4498E"/>
    <w:rsid w:val="00C4569E"/>
    <w:rsid w:val="00C46D55"/>
    <w:rsid w:val="00C4739C"/>
    <w:rsid w:val="00C50523"/>
    <w:rsid w:val="00C50E32"/>
    <w:rsid w:val="00C52AF9"/>
    <w:rsid w:val="00C52C82"/>
    <w:rsid w:val="00C52CE4"/>
    <w:rsid w:val="00C54181"/>
    <w:rsid w:val="00C54422"/>
    <w:rsid w:val="00C57995"/>
    <w:rsid w:val="00C602AE"/>
    <w:rsid w:val="00C620D1"/>
    <w:rsid w:val="00C62EF9"/>
    <w:rsid w:val="00C63E82"/>
    <w:rsid w:val="00C65BAF"/>
    <w:rsid w:val="00C66C5B"/>
    <w:rsid w:val="00C70076"/>
    <w:rsid w:val="00C703BF"/>
    <w:rsid w:val="00C70F37"/>
    <w:rsid w:val="00C71A05"/>
    <w:rsid w:val="00C7323C"/>
    <w:rsid w:val="00C733A8"/>
    <w:rsid w:val="00C756B7"/>
    <w:rsid w:val="00C75FB4"/>
    <w:rsid w:val="00C76327"/>
    <w:rsid w:val="00C76B82"/>
    <w:rsid w:val="00C77550"/>
    <w:rsid w:val="00C804AE"/>
    <w:rsid w:val="00C80BC1"/>
    <w:rsid w:val="00C823A7"/>
    <w:rsid w:val="00C834BE"/>
    <w:rsid w:val="00C839C8"/>
    <w:rsid w:val="00C84A24"/>
    <w:rsid w:val="00C8506E"/>
    <w:rsid w:val="00C8550F"/>
    <w:rsid w:val="00C8561F"/>
    <w:rsid w:val="00C85A53"/>
    <w:rsid w:val="00C908A8"/>
    <w:rsid w:val="00C9169B"/>
    <w:rsid w:val="00C9169E"/>
    <w:rsid w:val="00C91F41"/>
    <w:rsid w:val="00C94904"/>
    <w:rsid w:val="00C95715"/>
    <w:rsid w:val="00C96C65"/>
    <w:rsid w:val="00C97A11"/>
    <w:rsid w:val="00CA09C3"/>
    <w:rsid w:val="00CA13DA"/>
    <w:rsid w:val="00CA1551"/>
    <w:rsid w:val="00CA15A1"/>
    <w:rsid w:val="00CA182D"/>
    <w:rsid w:val="00CA18A3"/>
    <w:rsid w:val="00CA275A"/>
    <w:rsid w:val="00CA4154"/>
    <w:rsid w:val="00CA5FC7"/>
    <w:rsid w:val="00CA74BD"/>
    <w:rsid w:val="00CB1A48"/>
    <w:rsid w:val="00CB2F96"/>
    <w:rsid w:val="00CB30C3"/>
    <w:rsid w:val="00CB3C10"/>
    <w:rsid w:val="00CB4175"/>
    <w:rsid w:val="00CB6F8F"/>
    <w:rsid w:val="00CB725D"/>
    <w:rsid w:val="00CB797E"/>
    <w:rsid w:val="00CC0519"/>
    <w:rsid w:val="00CC226F"/>
    <w:rsid w:val="00CC28E6"/>
    <w:rsid w:val="00CC3DDC"/>
    <w:rsid w:val="00CC3F08"/>
    <w:rsid w:val="00CC478E"/>
    <w:rsid w:val="00CC5D56"/>
    <w:rsid w:val="00CC7B42"/>
    <w:rsid w:val="00CD1175"/>
    <w:rsid w:val="00CD2124"/>
    <w:rsid w:val="00CD2888"/>
    <w:rsid w:val="00CD2F06"/>
    <w:rsid w:val="00CD7196"/>
    <w:rsid w:val="00CE187D"/>
    <w:rsid w:val="00CE1D90"/>
    <w:rsid w:val="00CE22D8"/>
    <w:rsid w:val="00CE3272"/>
    <w:rsid w:val="00CE48A0"/>
    <w:rsid w:val="00CE6166"/>
    <w:rsid w:val="00CE65DB"/>
    <w:rsid w:val="00CE6634"/>
    <w:rsid w:val="00CE714F"/>
    <w:rsid w:val="00CF0B30"/>
    <w:rsid w:val="00CF1854"/>
    <w:rsid w:val="00CF3CD5"/>
    <w:rsid w:val="00CF4108"/>
    <w:rsid w:val="00D00FEB"/>
    <w:rsid w:val="00D01C41"/>
    <w:rsid w:val="00D02BE2"/>
    <w:rsid w:val="00D056DD"/>
    <w:rsid w:val="00D059A6"/>
    <w:rsid w:val="00D064DA"/>
    <w:rsid w:val="00D06850"/>
    <w:rsid w:val="00D069F9"/>
    <w:rsid w:val="00D06F98"/>
    <w:rsid w:val="00D06FAF"/>
    <w:rsid w:val="00D07130"/>
    <w:rsid w:val="00D07182"/>
    <w:rsid w:val="00D07D65"/>
    <w:rsid w:val="00D07F0B"/>
    <w:rsid w:val="00D11B4E"/>
    <w:rsid w:val="00D128BD"/>
    <w:rsid w:val="00D130B6"/>
    <w:rsid w:val="00D13802"/>
    <w:rsid w:val="00D227A5"/>
    <w:rsid w:val="00D23B81"/>
    <w:rsid w:val="00D24B79"/>
    <w:rsid w:val="00D2546F"/>
    <w:rsid w:val="00D277CB"/>
    <w:rsid w:val="00D30F9A"/>
    <w:rsid w:val="00D32326"/>
    <w:rsid w:val="00D341E9"/>
    <w:rsid w:val="00D35EC9"/>
    <w:rsid w:val="00D439C6"/>
    <w:rsid w:val="00D45ACE"/>
    <w:rsid w:val="00D46891"/>
    <w:rsid w:val="00D47258"/>
    <w:rsid w:val="00D479E6"/>
    <w:rsid w:val="00D505A5"/>
    <w:rsid w:val="00D60502"/>
    <w:rsid w:val="00D60A54"/>
    <w:rsid w:val="00D61BEF"/>
    <w:rsid w:val="00D62631"/>
    <w:rsid w:val="00D63031"/>
    <w:rsid w:val="00D63939"/>
    <w:rsid w:val="00D65448"/>
    <w:rsid w:val="00D666DA"/>
    <w:rsid w:val="00D6684D"/>
    <w:rsid w:val="00D66FF0"/>
    <w:rsid w:val="00D70382"/>
    <w:rsid w:val="00D7509B"/>
    <w:rsid w:val="00D75A20"/>
    <w:rsid w:val="00D76E03"/>
    <w:rsid w:val="00D76F2D"/>
    <w:rsid w:val="00D779E9"/>
    <w:rsid w:val="00D81D74"/>
    <w:rsid w:val="00D82602"/>
    <w:rsid w:val="00D86E9D"/>
    <w:rsid w:val="00D9045F"/>
    <w:rsid w:val="00D91562"/>
    <w:rsid w:val="00D91CCB"/>
    <w:rsid w:val="00D9221F"/>
    <w:rsid w:val="00D92B3F"/>
    <w:rsid w:val="00D9501A"/>
    <w:rsid w:val="00D951E8"/>
    <w:rsid w:val="00D95A3B"/>
    <w:rsid w:val="00DA0F2B"/>
    <w:rsid w:val="00DA3F61"/>
    <w:rsid w:val="00DA5357"/>
    <w:rsid w:val="00DA5762"/>
    <w:rsid w:val="00DB0DA2"/>
    <w:rsid w:val="00DB1242"/>
    <w:rsid w:val="00DB20B0"/>
    <w:rsid w:val="00DB3AB2"/>
    <w:rsid w:val="00DB3E61"/>
    <w:rsid w:val="00DB4123"/>
    <w:rsid w:val="00DB6292"/>
    <w:rsid w:val="00DB7756"/>
    <w:rsid w:val="00DB7C4F"/>
    <w:rsid w:val="00DB7DA7"/>
    <w:rsid w:val="00DC0B31"/>
    <w:rsid w:val="00DC0E2D"/>
    <w:rsid w:val="00DC1292"/>
    <w:rsid w:val="00DC1C6A"/>
    <w:rsid w:val="00DC2741"/>
    <w:rsid w:val="00DC3076"/>
    <w:rsid w:val="00DC5512"/>
    <w:rsid w:val="00DC5623"/>
    <w:rsid w:val="00DC7973"/>
    <w:rsid w:val="00DD1AEA"/>
    <w:rsid w:val="00DD2446"/>
    <w:rsid w:val="00DD26C8"/>
    <w:rsid w:val="00DD3929"/>
    <w:rsid w:val="00DD3BFB"/>
    <w:rsid w:val="00DD4A4E"/>
    <w:rsid w:val="00DD534A"/>
    <w:rsid w:val="00DD5C4A"/>
    <w:rsid w:val="00DD5F69"/>
    <w:rsid w:val="00DD6AE6"/>
    <w:rsid w:val="00DD7081"/>
    <w:rsid w:val="00DD7795"/>
    <w:rsid w:val="00DE043B"/>
    <w:rsid w:val="00DE1827"/>
    <w:rsid w:val="00DE39DA"/>
    <w:rsid w:val="00DE6437"/>
    <w:rsid w:val="00DE6CC1"/>
    <w:rsid w:val="00DE6DF9"/>
    <w:rsid w:val="00DE71DC"/>
    <w:rsid w:val="00DE76B7"/>
    <w:rsid w:val="00DE7F66"/>
    <w:rsid w:val="00DF0794"/>
    <w:rsid w:val="00DF1504"/>
    <w:rsid w:val="00DF4072"/>
    <w:rsid w:val="00DF4379"/>
    <w:rsid w:val="00DF65B9"/>
    <w:rsid w:val="00DF6E87"/>
    <w:rsid w:val="00E000DB"/>
    <w:rsid w:val="00E0023A"/>
    <w:rsid w:val="00E0023E"/>
    <w:rsid w:val="00E00BA0"/>
    <w:rsid w:val="00E0186F"/>
    <w:rsid w:val="00E01C65"/>
    <w:rsid w:val="00E03859"/>
    <w:rsid w:val="00E03EA3"/>
    <w:rsid w:val="00E04D16"/>
    <w:rsid w:val="00E10719"/>
    <w:rsid w:val="00E127A3"/>
    <w:rsid w:val="00E153D8"/>
    <w:rsid w:val="00E2424D"/>
    <w:rsid w:val="00E24DDA"/>
    <w:rsid w:val="00E253AD"/>
    <w:rsid w:val="00E25B4C"/>
    <w:rsid w:val="00E26812"/>
    <w:rsid w:val="00E2726C"/>
    <w:rsid w:val="00E305E7"/>
    <w:rsid w:val="00E306C7"/>
    <w:rsid w:val="00E30BDE"/>
    <w:rsid w:val="00E31D4D"/>
    <w:rsid w:val="00E322D0"/>
    <w:rsid w:val="00E34CEF"/>
    <w:rsid w:val="00E3550A"/>
    <w:rsid w:val="00E36E8F"/>
    <w:rsid w:val="00E417F8"/>
    <w:rsid w:val="00E42DEF"/>
    <w:rsid w:val="00E4353B"/>
    <w:rsid w:val="00E436F3"/>
    <w:rsid w:val="00E43C02"/>
    <w:rsid w:val="00E4668E"/>
    <w:rsid w:val="00E505D6"/>
    <w:rsid w:val="00E50A13"/>
    <w:rsid w:val="00E5320E"/>
    <w:rsid w:val="00E53B1C"/>
    <w:rsid w:val="00E56B65"/>
    <w:rsid w:val="00E5765F"/>
    <w:rsid w:val="00E57C41"/>
    <w:rsid w:val="00E60478"/>
    <w:rsid w:val="00E60EC4"/>
    <w:rsid w:val="00E611B8"/>
    <w:rsid w:val="00E61402"/>
    <w:rsid w:val="00E61861"/>
    <w:rsid w:val="00E65520"/>
    <w:rsid w:val="00E6566D"/>
    <w:rsid w:val="00E65BE5"/>
    <w:rsid w:val="00E667C1"/>
    <w:rsid w:val="00E66853"/>
    <w:rsid w:val="00E67900"/>
    <w:rsid w:val="00E70E3F"/>
    <w:rsid w:val="00E70FCE"/>
    <w:rsid w:val="00E7227D"/>
    <w:rsid w:val="00E7268A"/>
    <w:rsid w:val="00E738F1"/>
    <w:rsid w:val="00E74956"/>
    <w:rsid w:val="00E74F76"/>
    <w:rsid w:val="00E75631"/>
    <w:rsid w:val="00E7703D"/>
    <w:rsid w:val="00E808ED"/>
    <w:rsid w:val="00E815E4"/>
    <w:rsid w:val="00E8238F"/>
    <w:rsid w:val="00E842C7"/>
    <w:rsid w:val="00E84D8E"/>
    <w:rsid w:val="00E8529A"/>
    <w:rsid w:val="00E85BFD"/>
    <w:rsid w:val="00E87C5B"/>
    <w:rsid w:val="00E906C9"/>
    <w:rsid w:val="00E93DBD"/>
    <w:rsid w:val="00E946E1"/>
    <w:rsid w:val="00E94FF9"/>
    <w:rsid w:val="00E954E8"/>
    <w:rsid w:val="00E96D2B"/>
    <w:rsid w:val="00EA05CC"/>
    <w:rsid w:val="00EA0660"/>
    <w:rsid w:val="00EA09A7"/>
    <w:rsid w:val="00EA11F9"/>
    <w:rsid w:val="00EA1C05"/>
    <w:rsid w:val="00EA1D85"/>
    <w:rsid w:val="00EA21D6"/>
    <w:rsid w:val="00EA238D"/>
    <w:rsid w:val="00EA2A24"/>
    <w:rsid w:val="00EA2F7C"/>
    <w:rsid w:val="00EA35FD"/>
    <w:rsid w:val="00EA5B24"/>
    <w:rsid w:val="00EA6F02"/>
    <w:rsid w:val="00EB1036"/>
    <w:rsid w:val="00EB1504"/>
    <w:rsid w:val="00EB2A87"/>
    <w:rsid w:val="00EB3A44"/>
    <w:rsid w:val="00EB4348"/>
    <w:rsid w:val="00EB519B"/>
    <w:rsid w:val="00EB7761"/>
    <w:rsid w:val="00EC01BE"/>
    <w:rsid w:val="00EC0EC9"/>
    <w:rsid w:val="00EC11D4"/>
    <w:rsid w:val="00EC1561"/>
    <w:rsid w:val="00EC1785"/>
    <w:rsid w:val="00EC5D10"/>
    <w:rsid w:val="00EC6BE2"/>
    <w:rsid w:val="00ED03ED"/>
    <w:rsid w:val="00ED04F1"/>
    <w:rsid w:val="00ED1D67"/>
    <w:rsid w:val="00ED21A1"/>
    <w:rsid w:val="00ED2403"/>
    <w:rsid w:val="00ED3439"/>
    <w:rsid w:val="00ED533A"/>
    <w:rsid w:val="00ED63C5"/>
    <w:rsid w:val="00ED670B"/>
    <w:rsid w:val="00ED7445"/>
    <w:rsid w:val="00EE0E0A"/>
    <w:rsid w:val="00EE17D3"/>
    <w:rsid w:val="00EE1803"/>
    <w:rsid w:val="00EE2307"/>
    <w:rsid w:val="00EE2324"/>
    <w:rsid w:val="00EE27B6"/>
    <w:rsid w:val="00EE41A3"/>
    <w:rsid w:val="00EE55B0"/>
    <w:rsid w:val="00EE5633"/>
    <w:rsid w:val="00EE6D56"/>
    <w:rsid w:val="00EF1011"/>
    <w:rsid w:val="00EF2A46"/>
    <w:rsid w:val="00EF2E2A"/>
    <w:rsid w:val="00EF35FA"/>
    <w:rsid w:val="00EF3E14"/>
    <w:rsid w:val="00EF53FC"/>
    <w:rsid w:val="00EF7E18"/>
    <w:rsid w:val="00F0071F"/>
    <w:rsid w:val="00F01D7F"/>
    <w:rsid w:val="00F020A2"/>
    <w:rsid w:val="00F028FF"/>
    <w:rsid w:val="00F02B41"/>
    <w:rsid w:val="00F02C02"/>
    <w:rsid w:val="00F06C00"/>
    <w:rsid w:val="00F06F45"/>
    <w:rsid w:val="00F071CC"/>
    <w:rsid w:val="00F100F6"/>
    <w:rsid w:val="00F116DF"/>
    <w:rsid w:val="00F12BFC"/>
    <w:rsid w:val="00F133C4"/>
    <w:rsid w:val="00F138B4"/>
    <w:rsid w:val="00F13C53"/>
    <w:rsid w:val="00F14E9A"/>
    <w:rsid w:val="00F14F60"/>
    <w:rsid w:val="00F15BB4"/>
    <w:rsid w:val="00F15C11"/>
    <w:rsid w:val="00F16A1E"/>
    <w:rsid w:val="00F16A88"/>
    <w:rsid w:val="00F226A5"/>
    <w:rsid w:val="00F241E9"/>
    <w:rsid w:val="00F24DCE"/>
    <w:rsid w:val="00F2520C"/>
    <w:rsid w:val="00F253D8"/>
    <w:rsid w:val="00F274B0"/>
    <w:rsid w:val="00F27709"/>
    <w:rsid w:val="00F32345"/>
    <w:rsid w:val="00F32948"/>
    <w:rsid w:val="00F33439"/>
    <w:rsid w:val="00F36C86"/>
    <w:rsid w:val="00F417FE"/>
    <w:rsid w:val="00F42AC5"/>
    <w:rsid w:val="00F43068"/>
    <w:rsid w:val="00F43461"/>
    <w:rsid w:val="00F443EE"/>
    <w:rsid w:val="00F447B7"/>
    <w:rsid w:val="00F46C28"/>
    <w:rsid w:val="00F503DE"/>
    <w:rsid w:val="00F51E02"/>
    <w:rsid w:val="00F53462"/>
    <w:rsid w:val="00F535DD"/>
    <w:rsid w:val="00F53751"/>
    <w:rsid w:val="00F53D61"/>
    <w:rsid w:val="00F55004"/>
    <w:rsid w:val="00F559A5"/>
    <w:rsid w:val="00F56345"/>
    <w:rsid w:val="00F60BAD"/>
    <w:rsid w:val="00F67031"/>
    <w:rsid w:val="00F71A95"/>
    <w:rsid w:val="00F7343F"/>
    <w:rsid w:val="00F745BF"/>
    <w:rsid w:val="00F75FAF"/>
    <w:rsid w:val="00F812D6"/>
    <w:rsid w:val="00F820AD"/>
    <w:rsid w:val="00F822DF"/>
    <w:rsid w:val="00F82FC0"/>
    <w:rsid w:val="00F8352F"/>
    <w:rsid w:val="00F92299"/>
    <w:rsid w:val="00F924D4"/>
    <w:rsid w:val="00F92C14"/>
    <w:rsid w:val="00F93D50"/>
    <w:rsid w:val="00F95EDF"/>
    <w:rsid w:val="00F97152"/>
    <w:rsid w:val="00FA122A"/>
    <w:rsid w:val="00FA24D6"/>
    <w:rsid w:val="00FA3320"/>
    <w:rsid w:val="00FA3A2B"/>
    <w:rsid w:val="00FA4590"/>
    <w:rsid w:val="00FA4C42"/>
    <w:rsid w:val="00FA5949"/>
    <w:rsid w:val="00FA65A5"/>
    <w:rsid w:val="00FB02C6"/>
    <w:rsid w:val="00FB19E0"/>
    <w:rsid w:val="00FB3B11"/>
    <w:rsid w:val="00FB46F1"/>
    <w:rsid w:val="00FB46FA"/>
    <w:rsid w:val="00FB4AA8"/>
    <w:rsid w:val="00FB4B46"/>
    <w:rsid w:val="00FB4B98"/>
    <w:rsid w:val="00FB4F7F"/>
    <w:rsid w:val="00FB5B4D"/>
    <w:rsid w:val="00FB7AEC"/>
    <w:rsid w:val="00FB7F80"/>
    <w:rsid w:val="00FC03F0"/>
    <w:rsid w:val="00FC09C2"/>
    <w:rsid w:val="00FC28DD"/>
    <w:rsid w:val="00FC609C"/>
    <w:rsid w:val="00FC7285"/>
    <w:rsid w:val="00FC7361"/>
    <w:rsid w:val="00FD11A0"/>
    <w:rsid w:val="00FD183C"/>
    <w:rsid w:val="00FD1966"/>
    <w:rsid w:val="00FD1B85"/>
    <w:rsid w:val="00FD5450"/>
    <w:rsid w:val="00FD59C5"/>
    <w:rsid w:val="00FD6221"/>
    <w:rsid w:val="00FD6570"/>
    <w:rsid w:val="00FD72D9"/>
    <w:rsid w:val="00FD7829"/>
    <w:rsid w:val="00FE0977"/>
    <w:rsid w:val="00FE1E2E"/>
    <w:rsid w:val="00FE20C7"/>
    <w:rsid w:val="00FE4B17"/>
    <w:rsid w:val="00FF00AE"/>
    <w:rsid w:val="00FF0FC7"/>
    <w:rsid w:val="00FF1229"/>
    <w:rsid w:val="00FF217B"/>
    <w:rsid w:val="00FF24B3"/>
    <w:rsid w:val="00FF63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F0D85"/>
  <w15:docId w15:val="{A91FCFF7-391B-4344-ACE3-2DB7813B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5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sz w:val="24"/>
      <w:szCs w:val="24"/>
      <w:lang w:val="es-CO"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 w:val="24"/>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194854610">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29412327">
      <w:bodyDiv w:val="1"/>
      <w:marLeft w:val="0"/>
      <w:marRight w:val="0"/>
      <w:marTop w:val="0"/>
      <w:marBottom w:val="0"/>
      <w:divBdr>
        <w:top w:val="none" w:sz="0" w:space="0" w:color="auto"/>
        <w:left w:val="none" w:sz="0" w:space="0" w:color="auto"/>
        <w:bottom w:val="none" w:sz="0" w:space="0" w:color="auto"/>
        <w:right w:val="none" w:sz="0" w:space="0" w:color="auto"/>
      </w:divBdr>
    </w:div>
    <w:div w:id="368342417">
      <w:bodyDiv w:val="1"/>
      <w:marLeft w:val="0"/>
      <w:marRight w:val="0"/>
      <w:marTop w:val="0"/>
      <w:marBottom w:val="0"/>
      <w:divBdr>
        <w:top w:val="none" w:sz="0" w:space="0" w:color="auto"/>
        <w:left w:val="none" w:sz="0" w:space="0" w:color="auto"/>
        <w:bottom w:val="none" w:sz="0" w:space="0" w:color="auto"/>
        <w:right w:val="none" w:sz="0" w:space="0" w:color="auto"/>
      </w:divBdr>
    </w:div>
    <w:div w:id="389350256">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8141278">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1237234">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0504">
      <w:bodyDiv w:val="1"/>
      <w:marLeft w:val="0"/>
      <w:marRight w:val="0"/>
      <w:marTop w:val="0"/>
      <w:marBottom w:val="0"/>
      <w:divBdr>
        <w:top w:val="none" w:sz="0" w:space="0" w:color="auto"/>
        <w:left w:val="none" w:sz="0" w:space="0" w:color="auto"/>
        <w:bottom w:val="none" w:sz="0" w:space="0" w:color="auto"/>
        <w:right w:val="none" w:sz="0" w:space="0" w:color="auto"/>
      </w:divBdr>
    </w:div>
    <w:div w:id="1445808071">
      <w:bodyDiv w:val="1"/>
      <w:marLeft w:val="0"/>
      <w:marRight w:val="0"/>
      <w:marTop w:val="0"/>
      <w:marBottom w:val="0"/>
      <w:divBdr>
        <w:top w:val="none" w:sz="0" w:space="0" w:color="auto"/>
        <w:left w:val="none" w:sz="0" w:space="0" w:color="auto"/>
        <w:bottom w:val="none" w:sz="0" w:space="0" w:color="auto"/>
        <w:right w:val="none" w:sz="0" w:space="0" w:color="auto"/>
      </w:divBdr>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3509">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02586929">
      <w:bodyDiv w:val="1"/>
      <w:marLeft w:val="0"/>
      <w:marRight w:val="0"/>
      <w:marTop w:val="0"/>
      <w:marBottom w:val="0"/>
      <w:divBdr>
        <w:top w:val="none" w:sz="0" w:space="0" w:color="auto"/>
        <w:left w:val="none" w:sz="0" w:space="0" w:color="auto"/>
        <w:bottom w:val="none" w:sz="0" w:space="0" w:color="auto"/>
        <w:right w:val="none" w:sz="0" w:space="0" w:color="auto"/>
      </w:divBdr>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76234B-690D-410B-AD4D-BD53A2BB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1842</Words>
  <Characters>10137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11956</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2018-05-03T12:12:00Z</cp:lastPrinted>
  <dcterms:created xsi:type="dcterms:W3CDTF">2018-11-09T02:47:00Z</dcterms:created>
  <dcterms:modified xsi:type="dcterms:W3CDTF">2018-11-09T02:47:00Z</dcterms:modified>
</cp:coreProperties>
</file>