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ECF531" w14:textId="303C4A91" w:rsidR="00CF0B30" w:rsidRPr="002E1F7F" w:rsidRDefault="00CF0B30" w:rsidP="000A66C1">
      <w:pPr>
        <w:pStyle w:val="Ttulo"/>
        <w:jc w:val="center"/>
        <w:rPr>
          <w:rFonts w:ascii="Verdana" w:hAnsi="Verdana"/>
          <w:b/>
          <w:color w:val="000000"/>
          <w:sz w:val="32"/>
          <w:szCs w:val="32"/>
        </w:rPr>
      </w:pPr>
      <w:r w:rsidRPr="002E1F7F">
        <w:rPr>
          <w:rFonts w:ascii="Verdana" w:hAnsi="Verdana"/>
          <w:b/>
          <w:sz w:val="32"/>
          <w:szCs w:val="32"/>
        </w:rPr>
        <w:t xml:space="preserve">INFORME </w:t>
      </w:r>
      <w:r w:rsidR="003B26E1" w:rsidRPr="002E1F7F">
        <w:rPr>
          <w:rFonts w:ascii="Verdana" w:hAnsi="Verdana"/>
          <w:b/>
          <w:sz w:val="32"/>
          <w:szCs w:val="32"/>
        </w:rPr>
        <w:t>CNO 5</w:t>
      </w:r>
      <w:r w:rsidR="005108DC" w:rsidRPr="002E1F7F">
        <w:rPr>
          <w:rFonts w:ascii="Verdana" w:hAnsi="Verdana"/>
          <w:b/>
          <w:sz w:val="32"/>
          <w:szCs w:val="32"/>
        </w:rPr>
        <w:t>3</w:t>
      </w:r>
      <w:r w:rsidR="004B66AC">
        <w:rPr>
          <w:rFonts w:ascii="Verdana" w:hAnsi="Verdana"/>
          <w:b/>
          <w:sz w:val="32"/>
          <w:szCs w:val="32"/>
        </w:rPr>
        <w:t>9</w:t>
      </w:r>
      <w:bookmarkStart w:id="0" w:name="_GoBack"/>
      <w:bookmarkEnd w:id="0"/>
    </w:p>
    <w:p w14:paraId="42873F87" w14:textId="06012E84" w:rsidR="00CF0B30" w:rsidRPr="001A3613" w:rsidRDefault="00CF0B30" w:rsidP="0018416B">
      <w:pPr>
        <w:jc w:val="both"/>
        <w:rPr>
          <w:rFonts w:ascii="Verdana" w:hAnsi="Verdana" w:cs="Cambria"/>
          <w:color w:val="000000"/>
          <w:sz w:val="22"/>
          <w:szCs w:val="22"/>
        </w:rPr>
      </w:pPr>
    </w:p>
    <w:p w14:paraId="6BA34F1B" w14:textId="12545998" w:rsidR="007F2666" w:rsidRPr="0015033B" w:rsidRDefault="0006427E">
      <w:pPr>
        <w:jc w:val="both"/>
        <w:rPr>
          <w:rFonts w:ascii="Verdana" w:hAnsi="Verdana" w:cs="Cambria"/>
          <w:color w:val="000000"/>
        </w:rPr>
      </w:pPr>
      <w:r>
        <w:rPr>
          <w:rFonts w:ascii="Verdana" w:hAnsi="Verdana" w:cs="Cambria"/>
          <w:color w:val="000000"/>
        </w:rPr>
        <w:t xml:space="preserve">Fecha: </w:t>
      </w:r>
      <w:r w:rsidR="004B66AC">
        <w:rPr>
          <w:rFonts w:ascii="Verdana" w:hAnsi="Verdana" w:cs="Cambria"/>
          <w:color w:val="000000"/>
        </w:rPr>
        <w:t>junio 7</w:t>
      </w:r>
      <w:r w:rsidR="00AA5BF4" w:rsidRPr="0015033B">
        <w:rPr>
          <w:rFonts w:ascii="Verdana" w:hAnsi="Verdana" w:cs="Cambria"/>
          <w:color w:val="000000"/>
        </w:rPr>
        <w:t xml:space="preserve"> </w:t>
      </w:r>
      <w:r w:rsidR="001A2B49" w:rsidRPr="0015033B">
        <w:rPr>
          <w:rFonts w:ascii="Verdana" w:hAnsi="Verdana" w:cs="Cambria"/>
          <w:color w:val="000000"/>
        </w:rPr>
        <w:t>de 2018</w:t>
      </w:r>
    </w:p>
    <w:p w14:paraId="564951D9" w14:textId="5C69CE2A" w:rsidR="00601475" w:rsidRPr="0015033B" w:rsidRDefault="008D5A46">
      <w:pPr>
        <w:tabs>
          <w:tab w:val="left" w:pos="8134"/>
        </w:tabs>
        <w:jc w:val="both"/>
        <w:rPr>
          <w:rFonts w:ascii="Verdana" w:hAnsi="Verdana" w:cs="Cambria"/>
          <w:color w:val="000000"/>
        </w:rPr>
      </w:pPr>
      <w:r w:rsidRPr="0015033B">
        <w:rPr>
          <w:rFonts w:ascii="Verdana" w:hAnsi="Verdana" w:cs="Cambria"/>
          <w:color w:val="000000"/>
        </w:rPr>
        <w:tab/>
      </w:r>
    </w:p>
    <w:p w14:paraId="7C1CF8A5" w14:textId="4660C484" w:rsidR="007F2666" w:rsidRPr="0018416B" w:rsidRDefault="007F2666">
      <w:pPr>
        <w:jc w:val="both"/>
        <w:rPr>
          <w:rFonts w:ascii="Verdana" w:hAnsi="Verdana" w:cs="PTSans-Regular"/>
          <w:color w:val="000000" w:themeColor="text1"/>
          <w:sz w:val="22"/>
          <w:szCs w:val="22"/>
          <w:u w:val="single"/>
          <w:lang w:val="es-ES" w:eastAsia="en-CA"/>
        </w:rPr>
      </w:pPr>
      <w:r w:rsidRPr="0018416B">
        <w:rPr>
          <w:rFonts w:ascii="Verdana" w:hAnsi="Verdana" w:cs="PTSans-Regular"/>
          <w:color w:val="000000" w:themeColor="text1"/>
          <w:sz w:val="22"/>
          <w:szCs w:val="22"/>
          <w:u w:val="single"/>
          <w:lang w:val="es-ES" w:eastAsia="en-CA"/>
        </w:rPr>
        <w:t xml:space="preserve">Aspectos </w:t>
      </w:r>
      <w:r w:rsidR="002E1F7F" w:rsidRPr="0018416B">
        <w:rPr>
          <w:rFonts w:ascii="Verdana" w:hAnsi="Verdana" w:cs="PTSans-Regular"/>
          <w:color w:val="000000" w:themeColor="text1"/>
          <w:sz w:val="22"/>
          <w:szCs w:val="22"/>
          <w:u w:val="single"/>
          <w:lang w:val="es-ES" w:eastAsia="en-CA"/>
        </w:rPr>
        <w:t>A</w:t>
      </w:r>
      <w:r w:rsidRPr="0018416B">
        <w:rPr>
          <w:rFonts w:ascii="Verdana" w:hAnsi="Verdana" w:cs="PTSans-Regular"/>
          <w:color w:val="000000" w:themeColor="text1"/>
          <w:sz w:val="22"/>
          <w:szCs w:val="22"/>
          <w:u w:val="single"/>
          <w:lang w:val="es-ES" w:eastAsia="en-CA"/>
        </w:rPr>
        <w:t>dministrativos:</w:t>
      </w:r>
    </w:p>
    <w:p w14:paraId="13303C5B" w14:textId="77777777" w:rsidR="007304F0" w:rsidRPr="0018416B" w:rsidRDefault="007304F0">
      <w:pPr>
        <w:pStyle w:val="Prrafodelista"/>
        <w:ind w:left="720"/>
        <w:jc w:val="both"/>
        <w:rPr>
          <w:rFonts w:ascii="Verdana" w:hAnsi="Verdana" w:cs="Cambria"/>
          <w:b/>
          <w:color w:val="000000" w:themeColor="text1"/>
          <w:sz w:val="22"/>
          <w:szCs w:val="22"/>
        </w:rPr>
      </w:pPr>
    </w:p>
    <w:p w14:paraId="4BA00750" w14:textId="77777777" w:rsidR="007304F0" w:rsidRPr="0018416B" w:rsidRDefault="007304F0">
      <w:pPr>
        <w:pStyle w:val="Prrafodelista"/>
        <w:jc w:val="both"/>
        <w:rPr>
          <w:rFonts w:ascii="Verdana" w:hAnsi="Verdana" w:cs="Cambria"/>
          <w:color w:val="000000" w:themeColor="text1"/>
          <w:sz w:val="22"/>
          <w:szCs w:val="22"/>
        </w:rPr>
      </w:pPr>
    </w:p>
    <w:p w14:paraId="567BA041" w14:textId="47C35D02" w:rsidR="00534C0E" w:rsidRPr="0018416B" w:rsidRDefault="008A7DAF" w:rsidP="0018416B">
      <w:pPr>
        <w:jc w:val="both"/>
        <w:rPr>
          <w:rFonts w:ascii="Verdana" w:hAnsi="Verdana" w:cs="Cambria"/>
          <w:color w:val="000000" w:themeColor="text1"/>
          <w:sz w:val="22"/>
          <w:szCs w:val="22"/>
        </w:rPr>
      </w:pPr>
      <w:r w:rsidRPr="0018416B">
        <w:rPr>
          <w:rFonts w:ascii="Verdana" w:hAnsi="Verdana" w:cs="Cambria"/>
          <w:color w:val="000000" w:themeColor="text1"/>
          <w:sz w:val="22"/>
          <w:szCs w:val="22"/>
        </w:rPr>
        <w:t>1. Teniendo en cuenta lo previsto en el Reglamento Interno y en el Código de Ética, a</w:t>
      </w:r>
      <w:r w:rsidR="007304F0" w:rsidRPr="0018416B">
        <w:rPr>
          <w:rFonts w:ascii="Verdana" w:hAnsi="Verdana" w:cs="Cambria"/>
          <w:color w:val="000000" w:themeColor="text1"/>
          <w:sz w:val="22"/>
          <w:szCs w:val="22"/>
        </w:rPr>
        <w:t xml:space="preserve"> la fecha </w:t>
      </w:r>
      <w:r w:rsidR="00534C0E" w:rsidRPr="0018416B">
        <w:rPr>
          <w:rFonts w:ascii="Verdana" w:hAnsi="Verdana" w:cs="Cambria"/>
          <w:color w:val="000000" w:themeColor="text1"/>
          <w:sz w:val="22"/>
          <w:szCs w:val="22"/>
        </w:rPr>
        <w:t>los candidatos propuestos para elegir el miembro independiente del Comité Asesor de Estrategia son:</w:t>
      </w:r>
    </w:p>
    <w:p w14:paraId="5FBFCAC8" w14:textId="77777777" w:rsidR="00534C0E" w:rsidRPr="0018416B" w:rsidRDefault="00534C0E">
      <w:pPr>
        <w:pStyle w:val="Prrafodelista"/>
        <w:jc w:val="both"/>
        <w:rPr>
          <w:rFonts w:ascii="Verdana" w:hAnsi="Verdana" w:cs="Cambria"/>
          <w:color w:val="000000" w:themeColor="text1"/>
          <w:sz w:val="22"/>
          <w:szCs w:val="22"/>
        </w:rPr>
      </w:pPr>
    </w:p>
    <w:p w14:paraId="6A9E545A" w14:textId="77777777" w:rsidR="00534C0E" w:rsidRPr="0018416B" w:rsidRDefault="00534C0E">
      <w:pPr>
        <w:pStyle w:val="Prrafodelista"/>
        <w:numPr>
          <w:ilvl w:val="0"/>
          <w:numId w:val="11"/>
        </w:numPr>
        <w:jc w:val="both"/>
        <w:rPr>
          <w:rFonts w:ascii="Verdana" w:hAnsi="Verdana" w:cs="Arial"/>
          <w:color w:val="000000" w:themeColor="text1"/>
          <w:sz w:val="22"/>
          <w:szCs w:val="22"/>
          <w:lang w:eastAsia="en-US"/>
        </w:rPr>
      </w:pPr>
      <w:r w:rsidRPr="0018416B">
        <w:rPr>
          <w:rFonts w:ascii="Verdana" w:hAnsi="Verdana" w:cs="Arial"/>
          <w:color w:val="000000" w:themeColor="text1"/>
          <w:sz w:val="22"/>
          <w:szCs w:val="22"/>
        </w:rPr>
        <w:t>CARMENZA CHAHIN</w:t>
      </w:r>
    </w:p>
    <w:p w14:paraId="5D49607C" w14:textId="2FC349FD" w:rsidR="00534C0E" w:rsidRPr="0018416B" w:rsidRDefault="00534C0E">
      <w:pPr>
        <w:pStyle w:val="Prrafodelista"/>
        <w:numPr>
          <w:ilvl w:val="0"/>
          <w:numId w:val="11"/>
        </w:numPr>
        <w:jc w:val="both"/>
        <w:rPr>
          <w:rFonts w:ascii="Verdana" w:hAnsi="Verdana" w:cs="Cambria"/>
          <w:color w:val="000000" w:themeColor="text1"/>
          <w:sz w:val="22"/>
          <w:szCs w:val="22"/>
        </w:rPr>
      </w:pPr>
      <w:r w:rsidRPr="0018416B">
        <w:rPr>
          <w:rFonts w:ascii="Verdana" w:hAnsi="Verdana" w:cs="Cambria"/>
          <w:color w:val="000000" w:themeColor="text1"/>
          <w:sz w:val="22"/>
          <w:szCs w:val="22"/>
        </w:rPr>
        <w:t>GERMÁN CORREDOR</w:t>
      </w:r>
    </w:p>
    <w:p w14:paraId="71FA2EBF" w14:textId="25A084C5" w:rsidR="008A7DAF" w:rsidRPr="0018416B" w:rsidRDefault="008A7DAF" w:rsidP="0018416B">
      <w:pPr>
        <w:jc w:val="both"/>
        <w:rPr>
          <w:rFonts w:ascii="Verdana" w:hAnsi="Verdana" w:cs="Cambria"/>
          <w:color w:val="000000" w:themeColor="text1"/>
          <w:sz w:val="22"/>
          <w:szCs w:val="22"/>
        </w:rPr>
      </w:pPr>
    </w:p>
    <w:p w14:paraId="1A1243C0" w14:textId="26A1A8B3" w:rsidR="008A7DAF" w:rsidRPr="0018416B" w:rsidRDefault="008A7DAF" w:rsidP="0018416B">
      <w:pPr>
        <w:jc w:val="both"/>
        <w:rPr>
          <w:rFonts w:ascii="Verdana" w:hAnsi="Verdana" w:cs="Cambria"/>
          <w:color w:val="000000" w:themeColor="text1"/>
          <w:sz w:val="22"/>
          <w:szCs w:val="22"/>
        </w:rPr>
      </w:pPr>
      <w:r w:rsidRPr="0018416B">
        <w:rPr>
          <w:rFonts w:ascii="Verdana" w:hAnsi="Verdana" w:cs="Cambria"/>
          <w:color w:val="000000" w:themeColor="text1"/>
          <w:sz w:val="22"/>
          <w:szCs w:val="22"/>
        </w:rPr>
        <w:t>2. El Plan Estratégico con los ajustes solicitados se encuentran como anexo del presente informe. A partir de este mes se da inicio a las actividades del plan.</w:t>
      </w:r>
    </w:p>
    <w:p w14:paraId="22D19865" w14:textId="5DD02B76" w:rsidR="008A7DAF" w:rsidRPr="0018416B" w:rsidRDefault="008A7DAF" w:rsidP="0018416B">
      <w:pPr>
        <w:jc w:val="both"/>
        <w:rPr>
          <w:rFonts w:ascii="Verdana" w:hAnsi="Verdana" w:cs="Cambria"/>
          <w:color w:val="000000" w:themeColor="text1"/>
          <w:sz w:val="22"/>
          <w:szCs w:val="22"/>
        </w:rPr>
      </w:pPr>
    </w:p>
    <w:p w14:paraId="162046BB" w14:textId="58D40845" w:rsidR="008A7DAF" w:rsidRPr="0018416B" w:rsidRDefault="008A7DAF" w:rsidP="0018416B">
      <w:pPr>
        <w:jc w:val="both"/>
        <w:rPr>
          <w:rFonts w:ascii="Verdana" w:hAnsi="Verdana" w:cs="Cambria"/>
          <w:color w:val="000000" w:themeColor="text1"/>
          <w:sz w:val="22"/>
          <w:szCs w:val="22"/>
        </w:rPr>
      </w:pPr>
      <w:r w:rsidRPr="0018416B">
        <w:rPr>
          <w:rFonts w:ascii="Verdana" w:hAnsi="Verdana" w:cs="Cambria"/>
          <w:color w:val="000000" w:themeColor="text1"/>
          <w:sz w:val="22"/>
          <w:szCs w:val="22"/>
        </w:rPr>
        <w:t>3. A finales del año 2016 el CNO</w:t>
      </w:r>
      <w:r w:rsidR="0006427E">
        <w:rPr>
          <w:rFonts w:ascii="Verdana" w:hAnsi="Verdana" w:cs="Cambria"/>
          <w:color w:val="000000" w:themeColor="text1"/>
          <w:sz w:val="22"/>
          <w:szCs w:val="22"/>
        </w:rPr>
        <w:t>,</w:t>
      </w:r>
      <w:r w:rsidRPr="0018416B">
        <w:rPr>
          <w:rFonts w:ascii="Verdana" w:hAnsi="Verdana" w:cs="Cambria"/>
          <w:color w:val="000000" w:themeColor="text1"/>
          <w:sz w:val="22"/>
          <w:szCs w:val="22"/>
        </w:rPr>
        <w:t xml:space="preserve"> con el acompañamiento de Delima </w:t>
      </w:r>
      <w:r w:rsidR="0006427E" w:rsidRPr="0018416B">
        <w:rPr>
          <w:rFonts w:ascii="Verdana" w:hAnsi="Verdana" w:cs="Cambria"/>
          <w:color w:val="000000" w:themeColor="text1"/>
          <w:sz w:val="22"/>
          <w:szCs w:val="22"/>
        </w:rPr>
        <w:t>Marsh</w:t>
      </w:r>
      <w:r w:rsidR="0006427E">
        <w:rPr>
          <w:rFonts w:ascii="Verdana" w:hAnsi="Verdana" w:cs="Cambria"/>
          <w:color w:val="000000" w:themeColor="text1"/>
          <w:sz w:val="22"/>
          <w:szCs w:val="22"/>
        </w:rPr>
        <w:t xml:space="preserve">, </w:t>
      </w:r>
      <w:r w:rsidR="0006427E" w:rsidRPr="0018416B">
        <w:rPr>
          <w:rFonts w:ascii="Verdana" w:hAnsi="Verdana" w:cs="Cambria"/>
          <w:color w:val="000000" w:themeColor="text1"/>
          <w:sz w:val="22"/>
          <w:szCs w:val="22"/>
        </w:rPr>
        <w:t>formuló</w:t>
      </w:r>
      <w:r w:rsidRPr="0018416B">
        <w:rPr>
          <w:rFonts w:ascii="Verdana" w:hAnsi="Verdana" w:cs="Cambria"/>
          <w:color w:val="000000" w:themeColor="text1"/>
          <w:sz w:val="22"/>
          <w:szCs w:val="22"/>
        </w:rPr>
        <w:t xml:space="preserve"> la matriz de riesgos de la operación, en la que se identificaron los riesgos, la calificación de los controles, la probabilidad de ocurrencia, el impacto y el riesgo residual de estos. La segunda parte del ejercicio es la identificación de los planes de acción para administrar los riesgos identificados. Se adjunta para su revisión la propuesta de planes de acción.</w:t>
      </w:r>
    </w:p>
    <w:p w14:paraId="328DA17C" w14:textId="266B9371" w:rsidR="00A35FAC" w:rsidRPr="0018416B" w:rsidRDefault="004A2125">
      <w:pPr>
        <w:jc w:val="both"/>
        <w:rPr>
          <w:rFonts w:ascii="Verdana" w:hAnsi="Verdana" w:cs="Cambria"/>
          <w:color w:val="000000" w:themeColor="text1"/>
          <w:sz w:val="22"/>
          <w:szCs w:val="22"/>
        </w:rPr>
      </w:pPr>
      <w:r w:rsidRPr="0018416B">
        <w:rPr>
          <w:rFonts w:ascii="Verdana" w:hAnsi="Verdana" w:cs="Cambria"/>
          <w:color w:val="000000" w:themeColor="text1"/>
          <w:sz w:val="22"/>
          <w:szCs w:val="22"/>
        </w:rPr>
        <w:t xml:space="preserve"> </w:t>
      </w:r>
    </w:p>
    <w:p w14:paraId="1F9E465F" w14:textId="0E5AD69C" w:rsidR="00057E7C" w:rsidRPr="0018416B" w:rsidRDefault="00057E7C">
      <w:pPr>
        <w:jc w:val="both"/>
        <w:rPr>
          <w:rFonts w:ascii="Verdana" w:hAnsi="Verdana" w:cs="Cambria"/>
          <w:color w:val="000000" w:themeColor="text1"/>
          <w:sz w:val="22"/>
          <w:szCs w:val="22"/>
          <w:u w:val="single"/>
        </w:rPr>
      </w:pPr>
      <w:r w:rsidRPr="0018416B">
        <w:rPr>
          <w:rFonts w:ascii="Verdana" w:hAnsi="Verdana" w:cs="Cambria"/>
          <w:color w:val="000000" w:themeColor="text1"/>
          <w:sz w:val="22"/>
          <w:szCs w:val="22"/>
          <w:u w:val="single"/>
        </w:rPr>
        <w:t xml:space="preserve">Aspectos </w:t>
      </w:r>
      <w:r w:rsidR="002E1F7F" w:rsidRPr="0018416B">
        <w:rPr>
          <w:rFonts w:ascii="Verdana" w:hAnsi="Verdana" w:cs="Cambria"/>
          <w:color w:val="000000" w:themeColor="text1"/>
          <w:sz w:val="22"/>
          <w:szCs w:val="22"/>
          <w:u w:val="single"/>
        </w:rPr>
        <w:t>T</w:t>
      </w:r>
      <w:r w:rsidRPr="0018416B">
        <w:rPr>
          <w:rFonts w:ascii="Verdana" w:hAnsi="Verdana" w:cs="Cambria"/>
          <w:color w:val="000000" w:themeColor="text1"/>
          <w:sz w:val="22"/>
          <w:szCs w:val="22"/>
          <w:u w:val="single"/>
        </w:rPr>
        <w:t>écnicos</w:t>
      </w:r>
      <w:r w:rsidR="00AE208C" w:rsidRPr="0018416B">
        <w:rPr>
          <w:rFonts w:ascii="Verdana" w:hAnsi="Verdana" w:cs="Cambria"/>
          <w:color w:val="000000" w:themeColor="text1"/>
          <w:sz w:val="22"/>
          <w:szCs w:val="22"/>
          <w:u w:val="single"/>
        </w:rPr>
        <w:t>:</w:t>
      </w:r>
    </w:p>
    <w:p w14:paraId="71E33ABD" w14:textId="77777777" w:rsidR="00CF0B30" w:rsidRPr="0018416B" w:rsidRDefault="00CF0B30">
      <w:pPr>
        <w:keepNext/>
        <w:tabs>
          <w:tab w:val="left" w:pos="-426"/>
          <w:tab w:val="left" w:pos="540"/>
        </w:tabs>
        <w:autoSpaceDE w:val="0"/>
        <w:autoSpaceDN w:val="0"/>
        <w:adjustRightInd w:val="0"/>
        <w:jc w:val="both"/>
        <w:outlineLvl w:val="2"/>
        <w:rPr>
          <w:rFonts w:ascii="Verdana" w:hAnsi="Verdana" w:cs="Cambria"/>
          <w:bCs/>
          <w:color w:val="000000" w:themeColor="text1"/>
          <w:sz w:val="22"/>
          <w:szCs w:val="22"/>
          <w:lang w:val="pt-BR"/>
        </w:rPr>
      </w:pPr>
    </w:p>
    <w:p w14:paraId="1D06DD02" w14:textId="2F68BC56" w:rsidR="00290F9E" w:rsidRDefault="00FA65A5" w:rsidP="0018416B">
      <w:pPr>
        <w:contextualSpacing/>
        <w:jc w:val="both"/>
        <w:rPr>
          <w:rFonts w:ascii="Verdana" w:hAnsi="Verdana" w:cs="PTSans-Regular"/>
          <w:color w:val="000000" w:themeColor="text1"/>
          <w:sz w:val="22"/>
          <w:szCs w:val="22"/>
          <w:lang w:val="es-ES" w:eastAsia="en-CA"/>
        </w:rPr>
      </w:pPr>
      <w:r>
        <w:rPr>
          <w:rFonts w:ascii="Verdana" w:hAnsi="Verdana" w:cs="PTSans-Regular"/>
          <w:color w:val="000000" w:themeColor="text1"/>
          <w:sz w:val="22"/>
          <w:szCs w:val="22"/>
          <w:lang w:val="pt-BR" w:eastAsia="en-CA"/>
        </w:rPr>
        <w:t xml:space="preserve">1. </w:t>
      </w:r>
      <w:r w:rsidRPr="0018416B">
        <w:rPr>
          <w:rFonts w:ascii="Verdana" w:hAnsi="Verdana" w:cs="PTSans-Regular"/>
          <w:color w:val="000000" w:themeColor="text1"/>
          <w:sz w:val="22"/>
          <w:szCs w:val="22"/>
          <w:lang w:val="es-ES" w:eastAsia="en-CA"/>
        </w:rPr>
        <w:t xml:space="preserve">Dando cumplimiento a las tareas asignadas por la Resolución CREG 030 de 2018 al CNO, el Subcomité de Protecciones </w:t>
      </w:r>
      <w:r w:rsidRPr="00FA65A5">
        <w:rPr>
          <w:rFonts w:ascii="Verdana" w:hAnsi="Verdana" w:cs="PTSans-Regular"/>
          <w:color w:val="000000" w:themeColor="text1"/>
          <w:sz w:val="22"/>
          <w:szCs w:val="22"/>
          <w:lang w:val="es-ES" w:eastAsia="en-CA"/>
        </w:rPr>
        <w:t>termin</w:t>
      </w:r>
      <w:r>
        <w:rPr>
          <w:rFonts w:ascii="Verdana" w:hAnsi="Verdana" w:cs="PTSans-Regular"/>
          <w:color w:val="000000" w:themeColor="text1"/>
          <w:sz w:val="22"/>
          <w:szCs w:val="22"/>
          <w:lang w:val="es-ES" w:eastAsia="en-CA"/>
        </w:rPr>
        <w:t>ó</w:t>
      </w:r>
      <w:r w:rsidRPr="0018416B">
        <w:rPr>
          <w:rFonts w:ascii="Verdana" w:hAnsi="Verdana" w:cs="PTSans-Regular"/>
          <w:color w:val="000000" w:themeColor="text1"/>
          <w:sz w:val="22"/>
          <w:szCs w:val="22"/>
          <w:lang w:val="es-ES" w:eastAsia="en-CA"/>
        </w:rPr>
        <w:t xml:space="preserve"> el documento de </w:t>
      </w:r>
      <w:r>
        <w:rPr>
          <w:rFonts w:ascii="Verdana" w:hAnsi="Verdana" w:cs="PTSans-Regular"/>
          <w:color w:val="000000" w:themeColor="text1"/>
          <w:sz w:val="22"/>
          <w:szCs w:val="22"/>
          <w:lang w:val="es-ES" w:eastAsia="en-CA"/>
        </w:rPr>
        <w:t>“</w:t>
      </w:r>
      <w:r w:rsidRPr="00FA65A5">
        <w:rPr>
          <w:rFonts w:ascii="Verdana" w:hAnsi="Verdana" w:cs="PTSans-Regular"/>
          <w:color w:val="000000" w:themeColor="text1"/>
          <w:sz w:val="22"/>
          <w:szCs w:val="22"/>
          <w:lang w:val="es-ES" w:eastAsia="en-CA"/>
        </w:rPr>
        <w:t>Requisitos de Protecciones para la conexión de Sistemas de Generación (menor a 5 MW) en el SIN</w:t>
      </w:r>
      <w:r>
        <w:rPr>
          <w:rFonts w:ascii="Verdana" w:hAnsi="Verdana" w:cs="PTSans-Regular"/>
          <w:color w:val="000000" w:themeColor="text1"/>
          <w:sz w:val="22"/>
          <w:szCs w:val="22"/>
          <w:lang w:val="es-ES" w:eastAsia="en-CA"/>
        </w:rPr>
        <w:t>”</w:t>
      </w:r>
      <w:r w:rsidRPr="0018416B">
        <w:rPr>
          <w:rFonts w:ascii="Verdana" w:hAnsi="Verdana" w:cs="PTSans-Regular"/>
          <w:color w:val="000000" w:themeColor="text1"/>
          <w:sz w:val="22"/>
          <w:szCs w:val="22"/>
          <w:lang w:val="es-ES" w:eastAsia="en-CA"/>
        </w:rPr>
        <w:t xml:space="preserve">. El Comité de Distribución está trabajando en la </w:t>
      </w:r>
      <w:r w:rsidR="00290F9E">
        <w:rPr>
          <w:rFonts w:ascii="Verdana" w:hAnsi="Verdana" w:cs="PTSans-Regular"/>
          <w:color w:val="000000" w:themeColor="text1"/>
          <w:sz w:val="22"/>
          <w:szCs w:val="22"/>
          <w:lang w:val="es-ES" w:eastAsia="en-CA"/>
        </w:rPr>
        <w:t xml:space="preserve">definición de las pruebas </w:t>
      </w:r>
      <w:r w:rsidR="00290F9E" w:rsidRPr="00290F9E">
        <w:rPr>
          <w:rFonts w:ascii="Verdana" w:hAnsi="Verdana" w:cs="PTSans-Regular"/>
          <w:color w:val="000000" w:themeColor="text1"/>
          <w:sz w:val="22"/>
          <w:szCs w:val="22"/>
          <w:lang w:val="es-ES" w:eastAsia="en-CA"/>
        </w:rPr>
        <w:t>requeridas durante el proceso de conexión de los AGPE y GD</w:t>
      </w:r>
      <w:r w:rsidR="00290F9E">
        <w:rPr>
          <w:rFonts w:ascii="Verdana" w:hAnsi="Verdana" w:cs="PTSans-Regular"/>
          <w:color w:val="000000" w:themeColor="text1"/>
          <w:sz w:val="22"/>
          <w:szCs w:val="22"/>
          <w:lang w:val="es-ES" w:eastAsia="en-CA"/>
        </w:rPr>
        <w:t>. Dado que el plazo máximo para el cumplimiento de estos mandatos regulatorios es el 1 de julio, se tramitará la aprobación de dos CNO no presenciales.</w:t>
      </w:r>
    </w:p>
    <w:p w14:paraId="1B7CA003" w14:textId="77777777" w:rsidR="00290F9E" w:rsidRDefault="00290F9E" w:rsidP="0018416B">
      <w:pPr>
        <w:contextualSpacing/>
        <w:jc w:val="both"/>
        <w:rPr>
          <w:rFonts w:ascii="Verdana" w:hAnsi="Verdana" w:cs="PTSans-Regular"/>
          <w:color w:val="000000" w:themeColor="text1"/>
          <w:sz w:val="22"/>
          <w:szCs w:val="22"/>
          <w:lang w:val="es-ES" w:eastAsia="en-CA"/>
        </w:rPr>
      </w:pPr>
    </w:p>
    <w:p w14:paraId="261EC6E2" w14:textId="08042E9F" w:rsidR="00FA65A5" w:rsidRPr="0018416B" w:rsidRDefault="00290F9E" w:rsidP="0018416B">
      <w:pPr>
        <w:contextualSpacing/>
        <w:jc w:val="both"/>
        <w:rPr>
          <w:rFonts w:ascii="Verdana" w:hAnsi="Verdana" w:cs="PTSans-Regular"/>
          <w:color w:val="000000" w:themeColor="text1"/>
          <w:sz w:val="22"/>
          <w:szCs w:val="22"/>
          <w:lang w:val="es-ES" w:eastAsia="en-CA"/>
        </w:rPr>
      </w:pPr>
      <w:r>
        <w:rPr>
          <w:rFonts w:ascii="Verdana" w:hAnsi="Verdana" w:cs="PTSans-Regular"/>
          <w:color w:val="000000" w:themeColor="text1"/>
          <w:sz w:val="22"/>
          <w:szCs w:val="22"/>
          <w:lang w:val="es-ES" w:eastAsia="en-CA"/>
        </w:rPr>
        <w:t xml:space="preserve">Adicionalmente, el Comité de Distribución está trabajando en la </w:t>
      </w:r>
      <w:r w:rsidR="00FA65A5" w:rsidRPr="0018416B">
        <w:rPr>
          <w:rFonts w:ascii="Verdana" w:hAnsi="Verdana" w:cs="PTSans-Regular"/>
          <w:color w:val="000000" w:themeColor="text1"/>
          <w:sz w:val="22"/>
          <w:szCs w:val="22"/>
          <w:lang w:val="es-ES" w:eastAsia="en-CA"/>
        </w:rPr>
        <w:t>estandarización de los formatos de solicitud de conexión simplificada</w:t>
      </w:r>
      <w:r w:rsidR="0006427E">
        <w:rPr>
          <w:rFonts w:ascii="Verdana" w:hAnsi="Verdana" w:cs="PTSans-Regular"/>
          <w:color w:val="000000" w:themeColor="text1"/>
          <w:sz w:val="22"/>
          <w:szCs w:val="22"/>
          <w:lang w:val="es-ES" w:eastAsia="en-CA"/>
        </w:rPr>
        <w:t>, pruebas requeridas para la conexión</w:t>
      </w:r>
      <w:r w:rsidR="00FA65A5" w:rsidRPr="0018416B">
        <w:rPr>
          <w:rFonts w:ascii="Verdana" w:hAnsi="Verdana" w:cs="PTSans-Regular"/>
          <w:color w:val="000000" w:themeColor="text1"/>
          <w:sz w:val="22"/>
          <w:szCs w:val="22"/>
          <w:lang w:val="es-ES" w:eastAsia="en-CA"/>
        </w:rPr>
        <w:t xml:space="preserve"> y el contenido de los estudios simplificado</w:t>
      </w:r>
      <w:r w:rsidR="0006427E">
        <w:rPr>
          <w:rFonts w:ascii="Verdana" w:hAnsi="Verdana" w:cs="PTSans-Regular"/>
          <w:color w:val="000000" w:themeColor="text1"/>
          <w:sz w:val="22"/>
          <w:szCs w:val="22"/>
          <w:lang w:val="es-ES" w:eastAsia="en-CA"/>
        </w:rPr>
        <w:t>s</w:t>
      </w:r>
      <w:r w:rsidR="00FA65A5" w:rsidRPr="0018416B">
        <w:rPr>
          <w:rFonts w:ascii="Verdana" w:hAnsi="Verdana" w:cs="PTSans-Regular"/>
          <w:color w:val="000000" w:themeColor="text1"/>
          <w:sz w:val="22"/>
          <w:szCs w:val="22"/>
          <w:lang w:val="es-ES" w:eastAsia="en-CA"/>
        </w:rPr>
        <w:t>, a partir de la información en</w:t>
      </w:r>
      <w:r w:rsidRPr="00290F9E">
        <w:rPr>
          <w:rFonts w:ascii="Verdana" w:hAnsi="Verdana" w:cs="PTSans-Regular"/>
          <w:color w:val="000000" w:themeColor="text1"/>
          <w:sz w:val="22"/>
          <w:szCs w:val="22"/>
          <w:lang w:val="es-ES" w:eastAsia="en-CA"/>
        </w:rPr>
        <w:t>viada por los operadores de red</w:t>
      </w:r>
      <w:r>
        <w:rPr>
          <w:rFonts w:ascii="Verdana" w:hAnsi="Verdana" w:cs="PTSans-Regular"/>
          <w:color w:val="000000" w:themeColor="text1"/>
          <w:sz w:val="22"/>
          <w:szCs w:val="22"/>
          <w:lang w:val="es-ES" w:eastAsia="en-CA"/>
        </w:rPr>
        <w:t>, cuyo resultado</w:t>
      </w:r>
      <w:r w:rsidR="00FA65A5" w:rsidRPr="0018416B">
        <w:rPr>
          <w:rFonts w:ascii="Verdana" w:hAnsi="Verdana" w:cs="PTSans-Regular"/>
          <w:color w:val="000000" w:themeColor="text1"/>
          <w:sz w:val="22"/>
          <w:szCs w:val="22"/>
          <w:lang w:val="es-ES" w:eastAsia="en-CA"/>
        </w:rPr>
        <w:t xml:space="preserve"> </w:t>
      </w:r>
      <w:r>
        <w:rPr>
          <w:rFonts w:ascii="Verdana" w:hAnsi="Verdana" w:cs="PTSans-Regular"/>
          <w:color w:val="000000" w:themeColor="text1"/>
          <w:sz w:val="22"/>
          <w:szCs w:val="22"/>
          <w:lang w:val="es-ES" w:eastAsia="en-CA"/>
        </w:rPr>
        <w:t xml:space="preserve">será </w:t>
      </w:r>
      <w:r w:rsidRPr="00290F9E">
        <w:rPr>
          <w:rFonts w:ascii="Verdana" w:hAnsi="Verdana" w:cs="PTSans-Regular"/>
          <w:color w:val="000000" w:themeColor="text1"/>
          <w:sz w:val="22"/>
          <w:szCs w:val="22"/>
          <w:lang w:val="es-ES" w:eastAsia="en-CA"/>
        </w:rPr>
        <w:t>publicad</w:t>
      </w:r>
      <w:r>
        <w:rPr>
          <w:rFonts w:ascii="Verdana" w:hAnsi="Verdana" w:cs="PTSans-Regular"/>
          <w:color w:val="000000" w:themeColor="text1"/>
          <w:sz w:val="22"/>
          <w:szCs w:val="22"/>
          <w:lang w:val="es-ES" w:eastAsia="en-CA"/>
        </w:rPr>
        <w:t>o</w:t>
      </w:r>
      <w:r w:rsidR="00FA65A5" w:rsidRPr="0018416B">
        <w:rPr>
          <w:rFonts w:ascii="Verdana" w:hAnsi="Verdana" w:cs="PTSans-Regular"/>
          <w:color w:val="000000" w:themeColor="text1"/>
          <w:sz w:val="22"/>
          <w:szCs w:val="22"/>
          <w:lang w:val="es-ES" w:eastAsia="en-CA"/>
        </w:rPr>
        <w:t xml:space="preserve"> para consulta del público en general </w:t>
      </w:r>
      <w:r>
        <w:rPr>
          <w:rFonts w:ascii="Verdana" w:hAnsi="Verdana" w:cs="PTSans-Regular"/>
          <w:color w:val="000000" w:themeColor="text1"/>
          <w:sz w:val="22"/>
          <w:szCs w:val="22"/>
          <w:lang w:val="es-ES" w:eastAsia="en-CA"/>
        </w:rPr>
        <w:t xml:space="preserve">a partir del 9 de junio y hasta el 18 de junio, </w:t>
      </w:r>
      <w:r w:rsidR="00FA65A5" w:rsidRPr="0018416B">
        <w:rPr>
          <w:rFonts w:ascii="Verdana" w:hAnsi="Verdana" w:cs="PTSans-Regular"/>
          <w:color w:val="000000" w:themeColor="text1"/>
          <w:sz w:val="22"/>
          <w:szCs w:val="22"/>
          <w:lang w:val="es-ES" w:eastAsia="en-CA"/>
        </w:rPr>
        <w:t>y posterior envío a la CREG</w:t>
      </w:r>
      <w:r w:rsidR="0006427E">
        <w:rPr>
          <w:rFonts w:ascii="Verdana" w:hAnsi="Verdana" w:cs="PTSans-Regular"/>
          <w:color w:val="000000" w:themeColor="text1"/>
          <w:sz w:val="22"/>
          <w:szCs w:val="22"/>
          <w:lang w:val="es-ES" w:eastAsia="en-CA"/>
        </w:rPr>
        <w:t xml:space="preserve"> (el formato simplificado y el contenido de los estudios)</w:t>
      </w:r>
      <w:r w:rsidR="00FA65A5" w:rsidRPr="0018416B">
        <w:rPr>
          <w:rFonts w:ascii="Verdana" w:hAnsi="Verdana" w:cs="PTSans-Regular"/>
          <w:color w:val="000000" w:themeColor="text1"/>
          <w:sz w:val="22"/>
          <w:szCs w:val="22"/>
          <w:lang w:val="es-ES" w:eastAsia="en-CA"/>
        </w:rPr>
        <w:t>.</w:t>
      </w:r>
    </w:p>
    <w:p w14:paraId="47929547" w14:textId="77777777" w:rsidR="00EC11D4" w:rsidRPr="0018416B" w:rsidRDefault="00EC11D4" w:rsidP="0018416B">
      <w:pPr>
        <w:jc w:val="both"/>
        <w:rPr>
          <w:lang w:val="es-ES" w:eastAsia="en-CA"/>
        </w:rPr>
      </w:pPr>
    </w:p>
    <w:p w14:paraId="680CD294" w14:textId="784494AA" w:rsidR="00290F9E" w:rsidRDefault="00290F9E" w:rsidP="0018416B">
      <w:pPr>
        <w:jc w:val="both"/>
        <w:rPr>
          <w:rFonts w:ascii="Verdana" w:hAnsi="Verdana" w:cs="PTSans-Regular"/>
          <w:color w:val="000000" w:themeColor="text1"/>
          <w:sz w:val="22"/>
          <w:szCs w:val="22"/>
          <w:lang w:val="es-ES" w:eastAsia="en-CA"/>
        </w:rPr>
      </w:pPr>
      <w:r>
        <w:rPr>
          <w:rFonts w:ascii="Verdana" w:hAnsi="Verdana" w:cs="PTSans-Regular"/>
          <w:color w:val="000000" w:themeColor="text1"/>
          <w:sz w:val="22"/>
          <w:szCs w:val="22"/>
          <w:lang w:val="es-ES" w:eastAsia="en-CA"/>
        </w:rPr>
        <w:t xml:space="preserve">2. La Universidad de los Andes entregó para revisión y comentarios de la Comisión de Plantas </w:t>
      </w:r>
      <w:r w:rsidR="0006427E">
        <w:rPr>
          <w:rFonts w:ascii="Verdana" w:hAnsi="Verdana" w:cs="PTSans-Regular"/>
          <w:color w:val="000000" w:themeColor="text1"/>
          <w:sz w:val="22"/>
          <w:szCs w:val="22"/>
          <w:lang w:val="es-ES" w:eastAsia="en-CA"/>
        </w:rPr>
        <w:t xml:space="preserve">eólicas </w:t>
      </w:r>
      <w:r w:rsidRPr="00290F9E">
        <w:rPr>
          <w:rFonts w:ascii="Verdana" w:hAnsi="Verdana" w:cs="PTSans-Regular"/>
          <w:color w:val="000000" w:themeColor="text1"/>
          <w:sz w:val="22"/>
          <w:szCs w:val="22"/>
          <w:lang w:val="es-ES" w:eastAsia="en-CA"/>
        </w:rPr>
        <w:t xml:space="preserve">los </w:t>
      </w:r>
      <w:r>
        <w:rPr>
          <w:rFonts w:ascii="Verdana" w:hAnsi="Verdana" w:cs="PTSans-Regular"/>
          <w:color w:val="000000" w:themeColor="text1"/>
          <w:sz w:val="22"/>
          <w:szCs w:val="22"/>
          <w:lang w:val="es-ES" w:eastAsia="en-CA"/>
        </w:rPr>
        <w:t xml:space="preserve">siguientes </w:t>
      </w:r>
      <w:r w:rsidRPr="00290F9E">
        <w:rPr>
          <w:rFonts w:ascii="Verdana" w:hAnsi="Verdana" w:cs="PTSans-Regular"/>
          <w:color w:val="000000" w:themeColor="text1"/>
          <w:sz w:val="22"/>
          <w:szCs w:val="22"/>
          <w:lang w:val="es-ES" w:eastAsia="en-CA"/>
        </w:rPr>
        <w:t>protocolos</w:t>
      </w:r>
      <w:r w:rsidR="0006427E">
        <w:rPr>
          <w:rFonts w:ascii="Verdana" w:hAnsi="Verdana" w:cs="PTSans-Regular"/>
          <w:color w:val="000000" w:themeColor="text1"/>
          <w:sz w:val="22"/>
          <w:szCs w:val="22"/>
          <w:lang w:val="es-ES" w:eastAsia="en-CA"/>
        </w:rPr>
        <w:t>,</w:t>
      </w:r>
      <w:r w:rsidRPr="00290F9E">
        <w:rPr>
          <w:rFonts w:ascii="Verdana" w:hAnsi="Verdana" w:cs="PTSans-Regular"/>
          <w:color w:val="000000" w:themeColor="text1"/>
          <w:sz w:val="22"/>
          <w:szCs w:val="22"/>
          <w:lang w:val="es-ES" w:eastAsia="en-CA"/>
        </w:rPr>
        <w:t xml:space="preserve"> asociados a las tareas asignadas por la Comisión en su Resolución CREG 167 de 2017, “Por la cual se define la metodología para determinar la en</w:t>
      </w:r>
      <w:r>
        <w:rPr>
          <w:rFonts w:ascii="Verdana" w:hAnsi="Verdana" w:cs="PTSans-Regular"/>
          <w:color w:val="000000" w:themeColor="text1"/>
          <w:sz w:val="22"/>
          <w:szCs w:val="22"/>
          <w:lang w:val="es-ES" w:eastAsia="en-CA"/>
        </w:rPr>
        <w:t>ergía firme de plantas eólicas”:</w:t>
      </w:r>
    </w:p>
    <w:p w14:paraId="304075B1" w14:textId="33EFDD9F" w:rsidR="00C4739C" w:rsidRDefault="00C4739C" w:rsidP="0018416B">
      <w:pPr>
        <w:jc w:val="both"/>
        <w:rPr>
          <w:rFonts w:ascii="Verdana" w:hAnsi="Verdana" w:cs="PTSans-Regular"/>
          <w:color w:val="000000" w:themeColor="text1"/>
          <w:sz w:val="22"/>
          <w:szCs w:val="22"/>
          <w:lang w:val="es-ES" w:eastAsia="en-CA"/>
        </w:rPr>
      </w:pPr>
    </w:p>
    <w:p w14:paraId="21E51B8A" w14:textId="3ED06299" w:rsidR="00C4739C" w:rsidRPr="0018416B" w:rsidRDefault="00C4739C" w:rsidP="0018416B">
      <w:pPr>
        <w:pStyle w:val="Prrafodelista"/>
        <w:numPr>
          <w:ilvl w:val="0"/>
          <w:numId w:val="12"/>
        </w:numPr>
        <w:jc w:val="both"/>
        <w:rPr>
          <w:rFonts w:ascii="Verdana" w:hAnsi="Verdana" w:cs="PTSans-Regular"/>
          <w:color w:val="000000" w:themeColor="text1"/>
          <w:sz w:val="22"/>
          <w:szCs w:val="22"/>
          <w:lang w:val="es-ES" w:eastAsia="en-CA"/>
        </w:rPr>
      </w:pPr>
      <w:r>
        <w:rPr>
          <w:rFonts w:ascii="Verdana" w:hAnsi="Verdana" w:cs="PTSans-Regular"/>
          <w:color w:val="000000" w:themeColor="text1"/>
          <w:sz w:val="22"/>
          <w:szCs w:val="22"/>
          <w:lang w:val="es-ES" w:eastAsia="en-CA"/>
        </w:rPr>
        <w:t>Variables por</w:t>
      </w:r>
      <w:r w:rsidRPr="00C4739C">
        <w:rPr>
          <w:rFonts w:ascii="Verdana" w:hAnsi="Verdana" w:cs="PTSans-Regular"/>
          <w:color w:val="000000" w:themeColor="text1"/>
          <w:sz w:val="22"/>
          <w:szCs w:val="22"/>
          <w:lang w:val="es-ES" w:eastAsia="en-CA"/>
        </w:rPr>
        <w:t xml:space="preserve"> considerar</w:t>
      </w:r>
      <w:r w:rsidRPr="0018416B">
        <w:rPr>
          <w:rFonts w:ascii="Verdana" w:hAnsi="Verdana" w:cs="PTSans-Regular"/>
          <w:color w:val="000000" w:themeColor="text1"/>
          <w:sz w:val="22"/>
          <w:szCs w:val="22"/>
          <w:lang w:val="es-ES" w:eastAsia="en-CA"/>
        </w:rPr>
        <w:t xml:space="preserve">, calidad y tratamiento de las mediciones para hacer el modelamiento energético de la planta o parque, haciendo uso de los modelos numéricos o software especializado, que cumpla con los estándares de la industria eólica. </w:t>
      </w:r>
    </w:p>
    <w:p w14:paraId="6D5E4357" w14:textId="77777777" w:rsidR="00C4739C" w:rsidRPr="00C4739C" w:rsidRDefault="00C4739C">
      <w:pPr>
        <w:jc w:val="both"/>
        <w:rPr>
          <w:rFonts w:ascii="Verdana" w:hAnsi="Verdana" w:cs="PTSans-Regular"/>
          <w:color w:val="000000" w:themeColor="text1"/>
          <w:sz w:val="22"/>
          <w:szCs w:val="22"/>
          <w:lang w:val="es-ES" w:eastAsia="en-CA"/>
        </w:rPr>
      </w:pPr>
    </w:p>
    <w:p w14:paraId="544A4D83" w14:textId="0F41E924" w:rsidR="00C4739C" w:rsidRPr="0018416B" w:rsidRDefault="00C4739C" w:rsidP="0018416B">
      <w:pPr>
        <w:pStyle w:val="Prrafodelista"/>
        <w:numPr>
          <w:ilvl w:val="0"/>
          <w:numId w:val="12"/>
        </w:numPr>
        <w:jc w:val="both"/>
        <w:rPr>
          <w:rFonts w:ascii="Verdana" w:hAnsi="Verdana" w:cs="PTSans-Regular"/>
          <w:color w:val="000000" w:themeColor="text1"/>
          <w:sz w:val="22"/>
          <w:szCs w:val="22"/>
          <w:lang w:val="es-ES" w:eastAsia="en-CA"/>
        </w:rPr>
      </w:pPr>
      <w:r w:rsidRPr="0018416B">
        <w:rPr>
          <w:rFonts w:ascii="Verdana" w:hAnsi="Verdana" w:cs="PTSans-Regular"/>
          <w:color w:val="000000" w:themeColor="text1"/>
          <w:sz w:val="22"/>
          <w:szCs w:val="22"/>
          <w:lang w:val="es-ES" w:eastAsia="en-CA"/>
        </w:rPr>
        <w:t xml:space="preserve">Función de Conversión para cada planta o parque, que permita obtener la producción de energía neta mensual promedio en kWh/día a partir de velocidades del viento promedio mensual. </w:t>
      </w:r>
    </w:p>
    <w:p w14:paraId="418C8836" w14:textId="77777777" w:rsidR="00C4739C" w:rsidRPr="00C4739C" w:rsidRDefault="00C4739C">
      <w:pPr>
        <w:jc w:val="both"/>
        <w:rPr>
          <w:rFonts w:ascii="Verdana" w:hAnsi="Verdana" w:cs="PTSans-Regular"/>
          <w:color w:val="000000" w:themeColor="text1"/>
          <w:sz w:val="22"/>
          <w:szCs w:val="22"/>
          <w:lang w:val="es-ES" w:eastAsia="en-CA"/>
        </w:rPr>
      </w:pPr>
    </w:p>
    <w:p w14:paraId="47524F7E" w14:textId="377AEA4C" w:rsidR="00C4739C" w:rsidRPr="0018416B" w:rsidRDefault="00C4739C" w:rsidP="0018416B">
      <w:pPr>
        <w:pStyle w:val="Prrafodelista"/>
        <w:numPr>
          <w:ilvl w:val="0"/>
          <w:numId w:val="12"/>
        </w:numPr>
        <w:jc w:val="both"/>
        <w:rPr>
          <w:rFonts w:ascii="Verdana" w:hAnsi="Verdana" w:cs="PTSans-Regular"/>
          <w:color w:val="000000" w:themeColor="text1"/>
          <w:sz w:val="22"/>
          <w:szCs w:val="22"/>
          <w:lang w:val="es-ES" w:eastAsia="en-CA"/>
        </w:rPr>
      </w:pPr>
      <w:r w:rsidRPr="0018416B">
        <w:rPr>
          <w:rFonts w:ascii="Verdana" w:hAnsi="Verdana" w:cs="PTSans-Regular"/>
          <w:color w:val="000000" w:themeColor="text1"/>
          <w:sz w:val="22"/>
          <w:szCs w:val="22"/>
          <w:lang w:val="es-ES" w:eastAsia="en-CA"/>
        </w:rPr>
        <w:t>Lista de técnicas aplicables para referir las velocidades de viento a diferentes alturas, de acuerdo con las mejores técnicas utilizadas en la industria eólica.</w:t>
      </w:r>
    </w:p>
    <w:p w14:paraId="3BC06060" w14:textId="77777777" w:rsidR="00C4739C" w:rsidRPr="00C4739C" w:rsidRDefault="00C4739C">
      <w:pPr>
        <w:jc w:val="both"/>
        <w:rPr>
          <w:rFonts w:ascii="Verdana" w:hAnsi="Verdana" w:cs="PTSans-Regular"/>
          <w:color w:val="000000" w:themeColor="text1"/>
          <w:sz w:val="22"/>
          <w:szCs w:val="22"/>
          <w:lang w:val="es-ES" w:eastAsia="en-CA"/>
        </w:rPr>
      </w:pPr>
    </w:p>
    <w:p w14:paraId="5E3E2747" w14:textId="6A586E6D" w:rsidR="00C4739C" w:rsidRPr="0018416B" w:rsidRDefault="00C4739C" w:rsidP="0018416B">
      <w:pPr>
        <w:pStyle w:val="Prrafodelista"/>
        <w:numPr>
          <w:ilvl w:val="0"/>
          <w:numId w:val="12"/>
        </w:numPr>
        <w:jc w:val="both"/>
        <w:rPr>
          <w:rFonts w:ascii="Verdana" w:hAnsi="Verdana" w:cs="PTSans-Regular"/>
          <w:color w:val="000000" w:themeColor="text1"/>
          <w:sz w:val="22"/>
          <w:szCs w:val="22"/>
          <w:lang w:val="es-ES" w:eastAsia="en-CA"/>
        </w:rPr>
      </w:pPr>
      <w:r w:rsidRPr="0018416B">
        <w:rPr>
          <w:rFonts w:ascii="Verdana" w:hAnsi="Verdana" w:cs="PTSans-Regular"/>
          <w:color w:val="000000" w:themeColor="text1"/>
          <w:sz w:val="22"/>
          <w:szCs w:val="22"/>
          <w:lang w:val="es-ES" w:eastAsia="en-CA"/>
        </w:rPr>
        <w:t>Lista de entidades reconocidas a nivel nacional o internacional que pueden utilizarse como fuentes de información secundaria.</w:t>
      </w:r>
    </w:p>
    <w:p w14:paraId="1175B7EC" w14:textId="77777777" w:rsidR="00C4739C" w:rsidRPr="00C4739C" w:rsidRDefault="00C4739C">
      <w:pPr>
        <w:jc w:val="both"/>
        <w:rPr>
          <w:rFonts w:ascii="Verdana" w:hAnsi="Verdana" w:cs="PTSans-Regular"/>
          <w:color w:val="000000" w:themeColor="text1"/>
          <w:sz w:val="22"/>
          <w:szCs w:val="22"/>
          <w:lang w:val="es-ES" w:eastAsia="en-CA"/>
        </w:rPr>
      </w:pPr>
    </w:p>
    <w:p w14:paraId="1415D9D5" w14:textId="4D434D34" w:rsidR="00C4739C" w:rsidRDefault="00C4739C" w:rsidP="0018416B">
      <w:pPr>
        <w:pStyle w:val="Prrafodelista"/>
        <w:numPr>
          <w:ilvl w:val="0"/>
          <w:numId w:val="12"/>
        </w:numPr>
        <w:jc w:val="both"/>
        <w:rPr>
          <w:rFonts w:ascii="Verdana" w:hAnsi="Verdana" w:cs="PTSans-Regular"/>
          <w:color w:val="000000" w:themeColor="text1"/>
          <w:sz w:val="22"/>
          <w:szCs w:val="22"/>
          <w:lang w:val="es-ES" w:eastAsia="en-CA"/>
        </w:rPr>
      </w:pPr>
      <w:r w:rsidRPr="0018416B">
        <w:rPr>
          <w:rFonts w:ascii="Verdana" w:hAnsi="Verdana" w:cs="PTSans-Regular"/>
          <w:color w:val="000000" w:themeColor="text1"/>
          <w:sz w:val="22"/>
          <w:szCs w:val="22"/>
          <w:lang w:val="es-ES" w:eastAsia="en-CA"/>
        </w:rPr>
        <w:t>Lista de métodos de extrapolación que cumplan con estándares de la industria eólica. Lo anterior para la construcción de la serie histórica de vientos referenciada en el numeral 2.3 de la citada Resolución.</w:t>
      </w:r>
    </w:p>
    <w:p w14:paraId="4D57F020" w14:textId="77777777" w:rsidR="00CA18A3" w:rsidRPr="0018416B" w:rsidRDefault="00CA18A3" w:rsidP="0018416B">
      <w:pPr>
        <w:pStyle w:val="Prrafodelista"/>
        <w:jc w:val="both"/>
        <w:rPr>
          <w:rFonts w:ascii="Verdana" w:hAnsi="Verdana" w:cs="PTSans-Regular"/>
          <w:color w:val="000000" w:themeColor="text1"/>
          <w:sz w:val="22"/>
          <w:szCs w:val="22"/>
          <w:lang w:val="es-ES" w:eastAsia="en-CA"/>
        </w:rPr>
      </w:pPr>
    </w:p>
    <w:p w14:paraId="29F594BD" w14:textId="266978B5" w:rsidR="00CA18A3" w:rsidRDefault="00CA18A3" w:rsidP="0018416B">
      <w:pPr>
        <w:jc w:val="both"/>
        <w:rPr>
          <w:rFonts w:ascii="Verdana" w:hAnsi="Verdana" w:cs="PTSans-Regular"/>
          <w:color w:val="000000" w:themeColor="text1"/>
          <w:sz w:val="22"/>
          <w:szCs w:val="22"/>
          <w:lang w:val="es-ES" w:eastAsia="en-CA"/>
        </w:rPr>
      </w:pPr>
      <w:r>
        <w:rPr>
          <w:rFonts w:ascii="Verdana" w:hAnsi="Verdana" w:cs="PTSans-Regular"/>
          <w:color w:val="000000" w:themeColor="text1"/>
          <w:sz w:val="22"/>
          <w:szCs w:val="22"/>
          <w:lang w:val="es-ES" w:eastAsia="en-CA"/>
        </w:rPr>
        <w:t>Se inicia el proceso de socialización de los documentos</w:t>
      </w:r>
      <w:r w:rsidR="0006427E">
        <w:rPr>
          <w:rFonts w:ascii="Verdana" w:hAnsi="Verdana" w:cs="PTSans-Regular"/>
          <w:color w:val="000000" w:themeColor="text1"/>
          <w:sz w:val="22"/>
          <w:szCs w:val="22"/>
          <w:lang w:val="es-ES" w:eastAsia="en-CA"/>
        </w:rPr>
        <w:t xml:space="preserve"> y aplicativo asociado,</w:t>
      </w:r>
      <w:r>
        <w:rPr>
          <w:rFonts w:ascii="Verdana" w:hAnsi="Verdana" w:cs="PTSans-Regular"/>
          <w:color w:val="000000" w:themeColor="text1"/>
          <w:sz w:val="22"/>
          <w:szCs w:val="22"/>
          <w:lang w:val="es-ES" w:eastAsia="en-CA"/>
        </w:rPr>
        <w:t xml:space="preserve"> y se recibirán comentarios hasta el 19 de junio. Se tendrá</w:t>
      </w:r>
      <w:r w:rsidR="0006427E">
        <w:rPr>
          <w:rFonts w:ascii="Verdana" w:hAnsi="Verdana" w:cs="PTSans-Regular"/>
          <w:color w:val="000000" w:themeColor="text1"/>
          <w:sz w:val="22"/>
          <w:szCs w:val="22"/>
          <w:lang w:val="es-ES" w:eastAsia="en-CA"/>
        </w:rPr>
        <w:t>n</w:t>
      </w:r>
      <w:r>
        <w:rPr>
          <w:rFonts w:ascii="Verdana" w:hAnsi="Verdana" w:cs="PTSans-Regular"/>
          <w:color w:val="000000" w:themeColor="text1"/>
          <w:sz w:val="22"/>
          <w:szCs w:val="22"/>
          <w:lang w:val="es-ES" w:eastAsia="en-CA"/>
        </w:rPr>
        <w:t xml:space="preserve"> </w:t>
      </w:r>
      <w:r w:rsidR="0006427E">
        <w:rPr>
          <w:rFonts w:ascii="Verdana" w:hAnsi="Verdana" w:cs="PTSans-Regular"/>
          <w:color w:val="000000" w:themeColor="text1"/>
          <w:sz w:val="22"/>
          <w:szCs w:val="22"/>
          <w:lang w:val="es-ES" w:eastAsia="en-CA"/>
        </w:rPr>
        <w:t xml:space="preserve">los protocolos definitivos </w:t>
      </w:r>
      <w:r>
        <w:rPr>
          <w:rFonts w:ascii="Verdana" w:hAnsi="Verdana" w:cs="PTSans-Regular"/>
          <w:color w:val="000000" w:themeColor="text1"/>
          <w:sz w:val="22"/>
          <w:szCs w:val="22"/>
          <w:lang w:val="es-ES" w:eastAsia="en-CA"/>
        </w:rPr>
        <w:t xml:space="preserve">en la </w:t>
      </w:r>
      <w:r w:rsidR="0006427E">
        <w:rPr>
          <w:rFonts w:ascii="Verdana" w:hAnsi="Verdana" w:cs="PTSans-Regular"/>
          <w:color w:val="000000" w:themeColor="text1"/>
          <w:sz w:val="22"/>
          <w:szCs w:val="22"/>
          <w:lang w:val="es-ES" w:eastAsia="en-CA"/>
        </w:rPr>
        <w:t>última</w:t>
      </w:r>
      <w:r>
        <w:rPr>
          <w:rFonts w:ascii="Verdana" w:hAnsi="Verdana" w:cs="PTSans-Regular"/>
          <w:color w:val="000000" w:themeColor="text1"/>
          <w:sz w:val="22"/>
          <w:szCs w:val="22"/>
          <w:lang w:val="es-ES" w:eastAsia="en-CA"/>
        </w:rPr>
        <w:t xml:space="preserve"> semana del mes de junio. Para su adopción se convocará un </w:t>
      </w:r>
      <w:r w:rsidR="00E61861">
        <w:rPr>
          <w:rFonts w:ascii="Verdana" w:hAnsi="Verdana" w:cs="PTSans-Regular"/>
          <w:color w:val="000000" w:themeColor="text1"/>
          <w:sz w:val="22"/>
          <w:szCs w:val="22"/>
          <w:lang w:val="es-ES" w:eastAsia="en-CA"/>
        </w:rPr>
        <w:t>C</w:t>
      </w:r>
      <w:r>
        <w:rPr>
          <w:rFonts w:ascii="Verdana" w:hAnsi="Verdana" w:cs="PTSans-Regular"/>
          <w:color w:val="000000" w:themeColor="text1"/>
          <w:sz w:val="22"/>
          <w:szCs w:val="22"/>
          <w:lang w:val="es-ES" w:eastAsia="en-CA"/>
        </w:rPr>
        <w:t>N</w:t>
      </w:r>
      <w:r w:rsidR="00E61861">
        <w:rPr>
          <w:rFonts w:ascii="Verdana" w:hAnsi="Verdana" w:cs="PTSans-Regular"/>
          <w:color w:val="000000" w:themeColor="text1"/>
          <w:sz w:val="22"/>
          <w:szCs w:val="22"/>
          <w:lang w:val="es-ES" w:eastAsia="en-CA"/>
        </w:rPr>
        <w:t>O</w:t>
      </w:r>
      <w:r>
        <w:rPr>
          <w:rFonts w:ascii="Verdana" w:hAnsi="Verdana" w:cs="PTSans-Regular"/>
          <w:color w:val="000000" w:themeColor="text1"/>
          <w:sz w:val="22"/>
          <w:szCs w:val="22"/>
          <w:lang w:val="es-ES" w:eastAsia="en-CA"/>
        </w:rPr>
        <w:t xml:space="preserve"> no presencial.</w:t>
      </w:r>
    </w:p>
    <w:p w14:paraId="4622C60B" w14:textId="3F147F25" w:rsidR="00CA18A3" w:rsidRDefault="00CA18A3" w:rsidP="0018416B">
      <w:pPr>
        <w:jc w:val="both"/>
        <w:rPr>
          <w:rFonts w:ascii="Verdana" w:hAnsi="Verdana" w:cs="PTSans-Regular"/>
          <w:color w:val="000000" w:themeColor="text1"/>
          <w:sz w:val="22"/>
          <w:szCs w:val="22"/>
          <w:lang w:val="es-ES" w:eastAsia="en-CA"/>
        </w:rPr>
      </w:pPr>
    </w:p>
    <w:p w14:paraId="105E7E8B" w14:textId="13FB8BFC" w:rsidR="00CA18A3" w:rsidRPr="0018416B" w:rsidRDefault="00CA18A3" w:rsidP="0018416B">
      <w:pPr>
        <w:jc w:val="both"/>
        <w:rPr>
          <w:rFonts w:ascii="Verdana" w:hAnsi="Verdana" w:cs="PTSans-Regular"/>
          <w:color w:val="000000" w:themeColor="text1"/>
          <w:sz w:val="22"/>
          <w:szCs w:val="22"/>
          <w:lang w:val="es-ES" w:eastAsia="en-CA"/>
        </w:rPr>
      </w:pPr>
      <w:r>
        <w:rPr>
          <w:rFonts w:ascii="Verdana" w:hAnsi="Verdana" w:cs="PTSans-Regular"/>
          <w:color w:val="000000" w:themeColor="text1"/>
          <w:sz w:val="22"/>
          <w:szCs w:val="22"/>
          <w:lang w:val="es-ES" w:eastAsia="en-CA"/>
        </w:rPr>
        <w:t>3.</w:t>
      </w:r>
      <w:r w:rsidR="00083AC9">
        <w:rPr>
          <w:rFonts w:ascii="Verdana" w:hAnsi="Verdana" w:cs="PTSans-Regular"/>
          <w:color w:val="000000" w:themeColor="text1"/>
          <w:sz w:val="22"/>
          <w:szCs w:val="22"/>
          <w:lang w:val="es-ES" w:eastAsia="en-CA"/>
        </w:rPr>
        <w:t xml:space="preserve"> </w:t>
      </w:r>
      <w:r w:rsidR="00E61861">
        <w:rPr>
          <w:rFonts w:ascii="Verdana" w:hAnsi="Verdana" w:cs="PTSans-Regular"/>
          <w:color w:val="000000" w:themeColor="text1"/>
          <w:sz w:val="22"/>
          <w:szCs w:val="22"/>
          <w:lang w:val="es-ES" w:eastAsia="en-CA"/>
        </w:rPr>
        <w:t xml:space="preserve">En el mes de marzo de 2017 el Consejo aprobó la convocatoria para el proceso de selección del consultor que desarrollaría </w:t>
      </w:r>
      <w:r w:rsidR="00083AC9">
        <w:rPr>
          <w:rFonts w:ascii="Verdana" w:hAnsi="Verdana" w:cs="PTSans-Regular"/>
          <w:color w:val="000000" w:themeColor="text1"/>
          <w:sz w:val="22"/>
          <w:szCs w:val="22"/>
          <w:lang w:val="es-ES" w:eastAsia="en-CA"/>
        </w:rPr>
        <w:t xml:space="preserve">la </w:t>
      </w:r>
      <w:r w:rsidR="00083AC9" w:rsidRPr="00083AC9">
        <w:rPr>
          <w:rFonts w:ascii="Verdana" w:hAnsi="Verdana" w:cs="PTSans-Regular"/>
          <w:color w:val="000000" w:themeColor="text1"/>
          <w:sz w:val="22"/>
          <w:szCs w:val="22"/>
          <w:lang w:val="es-ES" w:eastAsia="en-CA"/>
        </w:rPr>
        <w:t>“Cuantificación de las Incertidumbres Asociadas a los Balances Energéticos del SIN”</w:t>
      </w:r>
      <w:r w:rsidR="00E61861">
        <w:rPr>
          <w:rFonts w:ascii="Verdana" w:hAnsi="Verdana" w:cs="PTSans-Regular"/>
          <w:color w:val="000000" w:themeColor="text1"/>
          <w:sz w:val="22"/>
          <w:szCs w:val="22"/>
          <w:lang w:val="es-ES" w:eastAsia="en-CA"/>
        </w:rPr>
        <w:t xml:space="preserve">. Con base en la autorización, el año pasado se hicieron dos procesos de selección que fueron declarados desiertos. Dada la experiencia del año pasado y que el Manual de Contratación del CNO lo permite, el Subcomité Hidrológico recomendó hacer la invitación directa a la </w:t>
      </w:r>
      <w:r w:rsidR="00083AC9">
        <w:rPr>
          <w:rFonts w:ascii="Verdana" w:hAnsi="Verdana" w:cs="PTSans-Regular"/>
          <w:color w:val="000000" w:themeColor="text1"/>
          <w:sz w:val="22"/>
          <w:szCs w:val="22"/>
          <w:lang w:val="es-ES" w:eastAsia="en-CA"/>
        </w:rPr>
        <w:t xml:space="preserve">Universidad Nacional sede Medellín </w:t>
      </w:r>
      <w:r w:rsidR="00A045EE">
        <w:rPr>
          <w:rFonts w:ascii="Verdana" w:hAnsi="Verdana" w:cs="PTSans-Regular"/>
          <w:color w:val="000000" w:themeColor="text1"/>
          <w:sz w:val="22"/>
          <w:szCs w:val="22"/>
          <w:lang w:val="es-ES" w:eastAsia="en-CA"/>
        </w:rPr>
        <w:t>p</w:t>
      </w:r>
      <w:r w:rsidR="00083AC9">
        <w:rPr>
          <w:rFonts w:ascii="Verdana" w:hAnsi="Verdana" w:cs="PTSans-Regular"/>
          <w:color w:val="000000" w:themeColor="text1"/>
          <w:sz w:val="22"/>
          <w:szCs w:val="22"/>
          <w:lang w:val="es-ES" w:eastAsia="en-CA"/>
        </w:rPr>
        <w:t>a</w:t>
      </w:r>
      <w:r w:rsidR="00A045EE">
        <w:rPr>
          <w:rFonts w:ascii="Verdana" w:hAnsi="Verdana" w:cs="PTSans-Regular"/>
          <w:color w:val="000000" w:themeColor="text1"/>
          <w:sz w:val="22"/>
          <w:szCs w:val="22"/>
          <w:lang w:val="es-ES" w:eastAsia="en-CA"/>
        </w:rPr>
        <w:t>ra</w:t>
      </w:r>
      <w:r w:rsidR="00083AC9">
        <w:rPr>
          <w:rFonts w:ascii="Verdana" w:hAnsi="Verdana" w:cs="PTSans-Regular"/>
          <w:color w:val="000000" w:themeColor="text1"/>
          <w:sz w:val="22"/>
          <w:szCs w:val="22"/>
          <w:lang w:val="es-ES" w:eastAsia="en-CA"/>
        </w:rPr>
        <w:t xml:space="preserve"> presentar el equipo de trabajo que desarrollaría el trabajo</w:t>
      </w:r>
      <w:r w:rsidR="00E61861">
        <w:rPr>
          <w:rFonts w:ascii="Verdana" w:hAnsi="Verdana" w:cs="PTSans-Regular"/>
          <w:color w:val="000000" w:themeColor="text1"/>
          <w:sz w:val="22"/>
          <w:szCs w:val="22"/>
          <w:lang w:val="es-ES" w:eastAsia="en-CA"/>
        </w:rPr>
        <w:t xml:space="preserve"> y si este cumple con los requisitos de los términos de referencia se le solicitaría la presentación de la oferta económica</w:t>
      </w:r>
      <w:r w:rsidR="00E7703D">
        <w:rPr>
          <w:rFonts w:ascii="Verdana" w:hAnsi="Verdana" w:cs="PTSans-Regular"/>
          <w:color w:val="000000" w:themeColor="text1"/>
          <w:sz w:val="22"/>
          <w:szCs w:val="22"/>
          <w:lang w:val="es-ES" w:eastAsia="en-CA"/>
        </w:rPr>
        <w:t>. La consultoría tiene un plazo de ejecución de 4 meses.</w:t>
      </w:r>
    </w:p>
    <w:p w14:paraId="597589A9" w14:textId="4FD90D24" w:rsidR="00C4739C" w:rsidRDefault="00C4739C" w:rsidP="0018416B">
      <w:pPr>
        <w:jc w:val="both"/>
        <w:rPr>
          <w:rFonts w:ascii="Verdana" w:hAnsi="Verdana" w:cs="PTSans-Regular"/>
          <w:color w:val="000000" w:themeColor="text1"/>
          <w:sz w:val="22"/>
          <w:szCs w:val="22"/>
          <w:lang w:val="es-ES" w:eastAsia="en-CA"/>
        </w:rPr>
      </w:pPr>
    </w:p>
    <w:p w14:paraId="54DA0E52" w14:textId="671710B8" w:rsidR="00AB6086" w:rsidRDefault="00AB6086" w:rsidP="00A50649">
      <w:pPr>
        <w:jc w:val="both"/>
        <w:rPr>
          <w:rFonts w:ascii="Verdana" w:hAnsi="Verdana" w:cs="PTSans-Regular"/>
          <w:color w:val="000000" w:themeColor="text1"/>
          <w:sz w:val="22"/>
          <w:szCs w:val="22"/>
          <w:lang w:val="es-ES" w:eastAsia="en-CA"/>
        </w:rPr>
      </w:pPr>
      <w:r>
        <w:rPr>
          <w:rFonts w:ascii="Verdana" w:hAnsi="Verdana" w:cs="PTSans-Regular"/>
          <w:color w:val="000000" w:themeColor="text1"/>
          <w:sz w:val="22"/>
          <w:szCs w:val="22"/>
          <w:lang w:val="es-ES" w:eastAsia="en-CA"/>
        </w:rPr>
        <w:t xml:space="preserve">4. El MADS dio respuesta a la comunicación enviada por la UPME, el CNO y XM sobre los impactos energéticos de la aplicación de la Guía de Caudal Ambiental. </w:t>
      </w:r>
      <w:r w:rsidR="00A045EE">
        <w:rPr>
          <w:rFonts w:ascii="Verdana" w:hAnsi="Verdana" w:cs="PTSans-Regular"/>
          <w:color w:val="000000" w:themeColor="text1"/>
          <w:sz w:val="22"/>
          <w:szCs w:val="22"/>
          <w:lang w:val="es-ES" w:eastAsia="en-CA"/>
        </w:rPr>
        <w:t>Se propone</w:t>
      </w:r>
      <w:r w:rsidR="0006427E">
        <w:rPr>
          <w:rFonts w:ascii="Verdana" w:hAnsi="Verdana" w:cs="PTSans-Regular"/>
          <w:color w:val="000000" w:themeColor="text1"/>
          <w:sz w:val="22"/>
          <w:szCs w:val="22"/>
          <w:lang w:val="es-ES" w:eastAsia="en-CA"/>
        </w:rPr>
        <w:t xml:space="preserve"> redacta</w:t>
      </w:r>
      <w:r w:rsidR="00A045EE">
        <w:rPr>
          <w:rFonts w:ascii="Verdana" w:hAnsi="Verdana" w:cs="PTSans-Regular"/>
          <w:color w:val="000000" w:themeColor="text1"/>
          <w:sz w:val="22"/>
          <w:szCs w:val="22"/>
          <w:lang w:val="es-ES" w:eastAsia="en-CA"/>
        </w:rPr>
        <w:t>r</w:t>
      </w:r>
      <w:r w:rsidR="0006427E">
        <w:rPr>
          <w:rFonts w:ascii="Verdana" w:hAnsi="Verdana" w:cs="PTSans-Regular"/>
          <w:color w:val="000000" w:themeColor="text1"/>
          <w:sz w:val="22"/>
          <w:szCs w:val="22"/>
          <w:lang w:val="es-ES" w:eastAsia="en-CA"/>
        </w:rPr>
        <w:t xml:space="preserve"> comunicación conjunta XM-CNO para dar respuesta a cada uno de los puntos planteados por el MADS, específicamente </w:t>
      </w:r>
      <w:r w:rsidR="00F82FC0">
        <w:rPr>
          <w:rFonts w:ascii="Verdana" w:hAnsi="Verdana" w:cs="PTSans-Regular"/>
          <w:color w:val="000000" w:themeColor="text1"/>
          <w:sz w:val="22"/>
          <w:szCs w:val="22"/>
          <w:lang w:val="es-ES" w:eastAsia="en-CA"/>
        </w:rPr>
        <w:t xml:space="preserve">el impacto mínimo de la Guía, según este </w:t>
      </w:r>
      <w:r w:rsidR="00A045EE">
        <w:rPr>
          <w:rFonts w:ascii="Verdana" w:hAnsi="Verdana" w:cs="PTSans-Regular"/>
          <w:color w:val="000000" w:themeColor="text1"/>
          <w:sz w:val="22"/>
          <w:szCs w:val="22"/>
          <w:lang w:val="es-ES" w:eastAsia="en-CA"/>
        </w:rPr>
        <w:t>M</w:t>
      </w:r>
      <w:r w:rsidR="00F82FC0">
        <w:rPr>
          <w:rFonts w:ascii="Verdana" w:hAnsi="Verdana" w:cs="PTSans-Regular"/>
          <w:color w:val="000000" w:themeColor="text1"/>
          <w:sz w:val="22"/>
          <w:szCs w:val="22"/>
          <w:lang w:val="es-ES" w:eastAsia="en-CA"/>
        </w:rPr>
        <w:t xml:space="preserve">inisterio, para el caso donde la restricción solamente cobija a los proyectos futuros (reducción del 4 % del valor esperado de la generación hidroeléctrica agregada). Es importante mencionar que el MADS plantea </w:t>
      </w:r>
      <w:r w:rsidR="00A50649">
        <w:rPr>
          <w:rFonts w:ascii="Verdana" w:hAnsi="Verdana" w:cs="PTSans-Regular"/>
          <w:color w:val="000000" w:themeColor="text1"/>
          <w:sz w:val="22"/>
          <w:szCs w:val="22"/>
          <w:lang w:val="es-ES" w:eastAsia="en-CA"/>
        </w:rPr>
        <w:t>en su respuesta una referencia a las emisiones de metano de las plantas hidroeléctrica</w:t>
      </w:r>
      <w:r w:rsidR="00A045EE">
        <w:rPr>
          <w:rFonts w:ascii="Verdana" w:hAnsi="Verdana" w:cs="PTSans-Regular"/>
          <w:color w:val="000000" w:themeColor="text1"/>
          <w:sz w:val="22"/>
          <w:szCs w:val="22"/>
          <w:lang w:val="es-ES" w:eastAsia="en-CA"/>
        </w:rPr>
        <w:t>s</w:t>
      </w:r>
      <w:r w:rsidR="00A50649">
        <w:rPr>
          <w:rFonts w:ascii="Verdana" w:hAnsi="Verdana" w:cs="PTSans-Regular"/>
          <w:color w:val="000000" w:themeColor="text1"/>
          <w:sz w:val="22"/>
          <w:szCs w:val="22"/>
          <w:lang w:val="es-ES" w:eastAsia="en-CA"/>
        </w:rPr>
        <w:t xml:space="preserve"> con embalse, más nocivas que los gases de efecto invernadero, razón por la cual invita al sector eléctrico </w:t>
      </w:r>
      <w:r w:rsidR="00A045EE">
        <w:rPr>
          <w:rFonts w:ascii="Verdana" w:hAnsi="Verdana" w:cs="PTSans-Regular"/>
          <w:color w:val="000000" w:themeColor="text1"/>
          <w:sz w:val="22"/>
          <w:szCs w:val="22"/>
          <w:lang w:val="es-ES" w:eastAsia="en-CA"/>
        </w:rPr>
        <w:t xml:space="preserve">a </w:t>
      </w:r>
      <w:r w:rsidR="00A50649">
        <w:rPr>
          <w:rFonts w:ascii="Verdana" w:hAnsi="Verdana" w:cs="PTSans-Regular"/>
          <w:color w:val="000000" w:themeColor="text1"/>
          <w:sz w:val="22"/>
          <w:szCs w:val="22"/>
          <w:lang w:val="es-ES" w:eastAsia="en-CA"/>
        </w:rPr>
        <w:t xml:space="preserve">reformular su estrategia de expansión. </w:t>
      </w:r>
    </w:p>
    <w:p w14:paraId="76B94CD6" w14:textId="3DC5AB3F" w:rsidR="00350E0E" w:rsidRDefault="00350E0E" w:rsidP="00A50649">
      <w:pPr>
        <w:jc w:val="both"/>
        <w:rPr>
          <w:rFonts w:ascii="Verdana" w:hAnsi="Verdana" w:cs="PTSans-Regular"/>
          <w:color w:val="000000" w:themeColor="text1"/>
          <w:sz w:val="22"/>
          <w:szCs w:val="22"/>
          <w:lang w:val="es-ES" w:eastAsia="en-CA"/>
        </w:rPr>
      </w:pPr>
    </w:p>
    <w:p w14:paraId="63477351" w14:textId="7AE94D04" w:rsidR="00350E0E" w:rsidRDefault="00350E0E" w:rsidP="0018416B">
      <w:pPr>
        <w:jc w:val="both"/>
        <w:rPr>
          <w:rFonts w:ascii="Verdana" w:hAnsi="Verdana" w:cs="PTSans-Regular"/>
          <w:color w:val="000000" w:themeColor="text1"/>
          <w:sz w:val="22"/>
          <w:szCs w:val="22"/>
          <w:lang w:val="es-ES" w:eastAsia="en-CA"/>
        </w:rPr>
      </w:pPr>
      <w:r>
        <w:rPr>
          <w:rFonts w:ascii="Verdana" w:hAnsi="Verdana" w:cs="PTSans-Regular"/>
          <w:color w:val="000000" w:themeColor="text1"/>
          <w:sz w:val="22"/>
          <w:szCs w:val="22"/>
          <w:lang w:val="es-ES" w:eastAsia="en-CA"/>
        </w:rPr>
        <w:lastRenderedPageBreak/>
        <w:t>Respecto a este punto, se evaluar</w:t>
      </w:r>
      <w:r w:rsidR="00A045EE">
        <w:rPr>
          <w:rFonts w:ascii="Verdana" w:hAnsi="Verdana" w:cs="PTSans-Regular"/>
          <w:color w:val="000000" w:themeColor="text1"/>
          <w:sz w:val="22"/>
          <w:szCs w:val="22"/>
          <w:lang w:val="es-ES" w:eastAsia="en-CA"/>
        </w:rPr>
        <w:t>á</w:t>
      </w:r>
      <w:r>
        <w:rPr>
          <w:rFonts w:ascii="Verdana" w:hAnsi="Verdana" w:cs="PTSans-Regular"/>
          <w:color w:val="000000" w:themeColor="text1"/>
          <w:sz w:val="22"/>
          <w:szCs w:val="22"/>
          <w:lang w:val="es-ES" w:eastAsia="en-CA"/>
        </w:rPr>
        <w:t xml:space="preserve"> el impacto en el mediano plazo del atraso de Ituango, incluyendo la aplicación de la guía del MADS.</w:t>
      </w:r>
    </w:p>
    <w:p w14:paraId="7D1B7D78" w14:textId="22A9549D" w:rsidR="00DE6CC1" w:rsidRDefault="00DE6CC1" w:rsidP="0018416B">
      <w:pPr>
        <w:jc w:val="both"/>
        <w:rPr>
          <w:rFonts w:ascii="Verdana" w:hAnsi="Verdana" w:cs="PTSans-Regular"/>
          <w:color w:val="000000" w:themeColor="text1"/>
          <w:sz w:val="22"/>
          <w:szCs w:val="22"/>
          <w:lang w:val="es-ES" w:eastAsia="en-CA"/>
        </w:rPr>
      </w:pPr>
    </w:p>
    <w:p w14:paraId="551FD3CA" w14:textId="1DEE07DD" w:rsidR="00DE6CC1" w:rsidRDefault="00DE6CC1" w:rsidP="00A50649">
      <w:pPr>
        <w:jc w:val="both"/>
        <w:rPr>
          <w:rFonts w:ascii="Verdana" w:hAnsi="Verdana" w:cs="PTSans-Regular"/>
          <w:color w:val="000000" w:themeColor="text1"/>
          <w:sz w:val="22"/>
          <w:szCs w:val="22"/>
          <w:lang w:val="es-ES" w:eastAsia="en-CA"/>
        </w:rPr>
      </w:pPr>
      <w:r>
        <w:rPr>
          <w:rFonts w:ascii="Verdana" w:hAnsi="Verdana" w:cs="PTSans-Regular"/>
          <w:color w:val="000000" w:themeColor="text1"/>
          <w:sz w:val="22"/>
          <w:szCs w:val="22"/>
          <w:lang w:val="es-ES" w:eastAsia="en-CA"/>
        </w:rPr>
        <w:t xml:space="preserve">5. El </w:t>
      </w:r>
      <w:r w:rsidR="003272AD">
        <w:rPr>
          <w:rFonts w:ascii="Verdana" w:hAnsi="Verdana" w:cs="PTSans-Regular"/>
          <w:color w:val="000000" w:themeColor="text1"/>
          <w:sz w:val="22"/>
          <w:szCs w:val="22"/>
          <w:lang w:val="es-ES" w:eastAsia="en-CA"/>
        </w:rPr>
        <w:t>martes se tuvo una reunión preliminar con el contratista seleccionado para llevar a cabo el contrato de la CREG de análisis de los servicios complementarios del SIN. El cronograma de ejecución ya dio inicio y la propuesta de ellos es organizar las reuniones con el Grupo Código de Redes del CNO. El contrato de la CREG de A</w:t>
      </w:r>
      <w:r w:rsidR="003272AD" w:rsidRPr="003272AD">
        <w:rPr>
          <w:rFonts w:ascii="Verdana" w:hAnsi="Verdana" w:cs="PTSans-Regular"/>
          <w:color w:val="000000" w:themeColor="text1"/>
          <w:sz w:val="22"/>
          <w:szCs w:val="22"/>
          <w:lang w:val="es-ES" w:eastAsia="en-CA"/>
        </w:rPr>
        <w:t>nálisis</w:t>
      </w:r>
      <w:r w:rsidR="003272AD">
        <w:rPr>
          <w:rFonts w:ascii="Verdana" w:hAnsi="Verdana" w:cs="PTSans-Regular"/>
          <w:color w:val="000000" w:themeColor="text1"/>
          <w:sz w:val="22"/>
          <w:szCs w:val="22"/>
          <w:lang w:val="es-ES" w:eastAsia="en-CA"/>
        </w:rPr>
        <w:t>, revisión y actualización del Código de R</w:t>
      </w:r>
      <w:r w:rsidR="003272AD" w:rsidRPr="003272AD">
        <w:rPr>
          <w:rFonts w:ascii="Verdana" w:hAnsi="Verdana" w:cs="PTSans-Regular"/>
          <w:color w:val="000000" w:themeColor="text1"/>
          <w:sz w:val="22"/>
          <w:szCs w:val="22"/>
          <w:lang w:val="es-ES" w:eastAsia="en-CA"/>
        </w:rPr>
        <w:t>edes</w:t>
      </w:r>
      <w:r w:rsidR="003272AD">
        <w:rPr>
          <w:rFonts w:ascii="Verdana" w:hAnsi="Verdana" w:cs="PTSans-Regular"/>
          <w:color w:val="000000" w:themeColor="text1"/>
          <w:sz w:val="22"/>
          <w:szCs w:val="22"/>
          <w:lang w:val="es-ES" w:eastAsia="en-CA"/>
        </w:rPr>
        <w:t xml:space="preserve"> aún se encuentra en proceso de evaluación de las ofertas y se espera adjudicación el 18 de junio.</w:t>
      </w:r>
    </w:p>
    <w:p w14:paraId="4FB07317" w14:textId="3F3C0FF9" w:rsidR="00A50649" w:rsidRDefault="00A50649" w:rsidP="00A50649">
      <w:pPr>
        <w:jc w:val="both"/>
        <w:rPr>
          <w:rFonts w:ascii="Verdana" w:hAnsi="Verdana" w:cs="PTSans-Regular"/>
          <w:color w:val="000000" w:themeColor="text1"/>
          <w:sz w:val="22"/>
          <w:szCs w:val="22"/>
          <w:lang w:val="es-ES" w:eastAsia="en-CA"/>
        </w:rPr>
      </w:pPr>
    </w:p>
    <w:p w14:paraId="78F24FCF" w14:textId="7B5D6F38" w:rsidR="00AD4E55" w:rsidRDefault="00A50649" w:rsidP="00A50649">
      <w:pPr>
        <w:jc w:val="both"/>
        <w:rPr>
          <w:rFonts w:ascii="Verdana" w:hAnsi="Verdana" w:cs="PTSans-Regular"/>
          <w:color w:val="000000" w:themeColor="text1"/>
          <w:sz w:val="22"/>
          <w:szCs w:val="22"/>
          <w:lang w:val="es-ES" w:eastAsia="en-CA"/>
        </w:rPr>
      </w:pPr>
      <w:r>
        <w:rPr>
          <w:rFonts w:ascii="Verdana" w:hAnsi="Verdana" w:cs="PTSans-Regular"/>
          <w:color w:val="000000" w:themeColor="text1"/>
          <w:sz w:val="22"/>
          <w:szCs w:val="22"/>
          <w:lang w:val="es-ES" w:eastAsia="en-CA"/>
        </w:rPr>
        <w:t>Es importante mencionar que</w:t>
      </w:r>
      <w:r w:rsidR="00412741">
        <w:rPr>
          <w:rFonts w:ascii="Verdana" w:hAnsi="Verdana" w:cs="PTSans-Regular"/>
          <w:color w:val="000000" w:themeColor="text1"/>
          <w:sz w:val="22"/>
          <w:szCs w:val="22"/>
          <w:lang w:val="es-ES" w:eastAsia="en-CA"/>
        </w:rPr>
        <w:t xml:space="preserve"> el pilar de este ejercicio es la formulación y simulación </w:t>
      </w:r>
      <w:r w:rsidR="00AD4E55">
        <w:rPr>
          <w:rFonts w:ascii="Verdana" w:hAnsi="Verdana" w:cs="PTSans-Regular"/>
          <w:color w:val="000000" w:themeColor="text1"/>
          <w:sz w:val="22"/>
          <w:szCs w:val="22"/>
          <w:lang w:val="es-ES" w:eastAsia="en-CA"/>
        </w:rPr>
        <w:t>de escenarios, ya que a partir de ellos se establecen las mejores alternativas de solución para proporcionar los servicios complementarios. Por ejemplo, en la medida que las restricciones al turbinamiento de las plantas hidroeléctricas prosperen y se disminuya la capacidad de almacenamiento de los embalses, surgirán otras alternativas no convencionales para proporcionar estos servicios. Es importante que junto con XM y UPME se participe en la construcción de dichos casos.</w:t>
      </w:r>
    </w:p>
    <w:p w14:paraId="4EA49694" w14:textId="77777777" w:rsidR="00AD4E55" w:rsidRDefault="00AD4E55" w:rsidP="00A50649">
      <w:pPr>
        <w:jc w:val="both"/>
        <w:rPr>
          <w:rFonts w:ascii="Verdana" w:hAnsi="Verdana" w:cs="PTSans-Regular"/>
          <w:color w:val="000000" w:themeColor="text1"/>
          <w:sz w:val="22"/>
          <w:szCs w:val="22"/>
          <w:lang w:val="es-ES" w:eastAsia="en-CA"/>
        </w:rPr>
      </w:pPr>
    </w:p>
    <w:p w14:paraId="6C3BA76B" w14:textId="44E0A0B2" w:rsidR="00EC11D4" w:rsidRDefault="00AD4E55" w:rsidP="00A50649">
      <w:pPr>
        <w:jc w:val="both"/>
        <w:rPr>
          <w:rFonts w:ascii="Verdana" w:hAnsi="Verdana" w:cs="PTSans-Regular"/>
          <w:color w:val="000000" w:themeColor="text1"/>
          <w:sz w:val="22"/>
          <w:szCs w:val="22"/>
          <w:lang w:val="es-ES" w:eastAsia="en-CA"/>
        </w:rPr>
      </w:pPr>
      <w:r>
        <w:rPr>
          <w:rFonts w:ascii="Verdana" w:hAnsi="Verdana" w:cs="PTSans-Regular"/>
          <w:color w:val="000000" w:themeColor="text1"/>
          <w:sz w:val="22"/>
          <w:szCs w:val="22"/>
          <w:lang w:val="es-ES" w:eastAsia="en-CA"/>
        </w:rPr>
        <w:t xml:space="preserve">6. </w:t>
      </w:r>
      <w:r w:rsidR="00EC11D4" w:rsidRPr="0018416B">
        <w:rPr>
          <w:rFonts w:ascii="Verdana" w:hAnsi="Verdana" w:cs="PTSans-Regular"/>
          <w:color w:val="000000" w:themeColor="text1"/>
          <w:sz w:val="22"/>
          <w:szCs w:val="22"/>
          <w:lang w:val="es-ES" w:eastAsia="en-CA"/>
        </w:rPr>
        <w:t xml:space="preserve">Se llevó a cabo </w:t>
      </w:r>
      <w:r w:rsidR="00E6566D" w:rsidRPr="0018416B">
        <w:rPr>
          <w:rFonts w:ascii="Verdana" w:hAnsi="Verdana" w:cs="PTSans-Regular"/>
          <w:color w:val="000000" w:themeColor="text1"/>
          <w:sz w:val="22"/>
          <w:szCs w:val="22"/>
          <w:lang w:val="es-ES" w:eastAsia="en-CA"/>
        </w:rPr>
        <w:t xml:space="preserve">la </w:t>
      </w:r>
      <w:r>
        <w:rPr>
          <w:rFonts w:ascii="Verdana" w:hAnsi="Verdana" w:cs="PTSans-Regular"/>
          <w:color w:val="000000" w:themeColor="text1"/>
          <w:sz w:val="22"/>
          <w:szCs w:val="22"/>
          <w:lang w:val="es-ES" w:eastAsia="en-CA"/>
        </w:rPr>
        <w:t>tercera</w:t>
      </w:r>
      <w:r w:rsidRPr="0018416B">
        <w:rPr>
          <w:rFonts w:ascii="Verdana" w:hAnsi="Verdana" w:cs="PTSans-Regular"/>
          <w:color w:val="000000" w:themeColor="text1"/>
          <w:sz w:val="22"/>
          <w:szCs w:val="22"/>
          <w:lang w:val="es-ES" w:eastAsia="en-CA"/>
        </w:rPr>
        <w:t xml:space="preserve"> </w:t>
      </w:r>
      <w:r w:rsidR="00EC11D4" w:rsidRPr="0018416B">
        <w:rPr>
          <w:rFonts w:ascii="Verdana" w:hAnsi="Verdana" w:cs="PTSans-Regular"/>
          <w:color w:val="000000" w:themeColor="text1"/>
          <w:sz w:val="22"/>
          <w:szCs w:val="22"/>
          <w:lang w:val="es-ES" w:eastAsia="en-CA"/>
        </w:rPr>
        <w:t>reunión conjunta entre XM-UPME-CNO, para compartir la visión respecto al concepto de flexibilidad sistémica</w:t>
      </w:r>
      <w:r w:rsidR="0046209F" w:rsidRPr="0018416B">
        <w:rPr>
          <w:rFonts w:ascii="Verdana" w:hAnsi="Verdana" w:cs="PTSans-Regular"/>
          <w:color w:val="000000" w:themeColor="text1"/>
          <w:sz w:val="22"/>
          <w:szCs w:val="22"/>
          <w:lang w:val="es-ES" w:eastAsia="en-CA"/>
        </w:rPr>
        <w:t>, en el marco de los análisis técnicos que se deben realizar para evaluar el impacto de la incorporación de las FNCER</w:t>
      </w:r>
      <w:r w:rsidR="00EC11D4" w:rsidRPr="0018416B">
        <w:rPr>
          <w:rFonts w:ascii="Verdana" w:hAnsi="Verdana" w:cs="PTSans-Regular"/>
          <w:color w:val="000000" w:themeColor="text1"/>
          <w:sz w:val="22"/>
          <w:szCs w:val="22"/>
          <w:lang w:val="es-ES" w:eastAsia="en-CA"/>
        </w:rPr>
        <w:t>.</w:t>
      </w:r>
      <w:r w:rsidR="0046209F" w:rsidRPr="0018416B">
        <w:rPr>
          <w:rFonts w:ascii="Verdana" w:hAnsi="Verdana" w:cs="PTSans-Regular"/>
          <w:color w:val="000000" w:themeColor="text1"/>
          <w:sz w:val="22"/>
          <w:szCs w:val="22"/>
          <w:lang w:val="es-ES" w:eastAsia="en-CA"/>
        </w:rPr>
        <w:t xml:space="preserve"> </w:t>
      </w:r>
      <w:r>
        <w:rPr>
          <w:rFonts w:ascii="Verdana" w:hAnsi="Verdana" w:cs="PTSans-Regular"/>
          <w:color w:val="000000" w:themeColor="text1"/>
          <w:sz w:val="22"/>
          <w:szCs w:val="22"/>
          <w:lang w:val="es-ES" w:eastAsia="en-CA"/>
        </w:rPr>
        <w:t>Ya se tiene un punto común de entendimiento sobre dicho concepto, motivo por la cual la metodología de cuantificación de este atributo, métricas y supuestos del estudio de XM, ya fueron definidas. Se espera tener los primeros resultados del estudio piloto en el mes de julio de 2018.</w:t>
      </w:r>
    </w:p>
    <w:p w14:paraId="3AB2FEB3" w14:textId="7FE1DCAF" w:rsidR="008232E3" w:rsidRDefault="008232E3" w:rsidP="00A50649">
      <w:pPr>
        <w:jc w:val="both"/>
        <w:rPr>
          <w:rFonts w:ascii="Verdana" w:hAnsi="Verdana" w:cs="PTSans-Regular"/>
          <w:color w:val="000000" w:themeColor="text1"/>
          <w:sz w:val="22"/>
          <w:szCs w:val="22"/>
          <w:lang w:val="es-ES" w:eastAsia="en-CA"/>
        </w:rPr>
      </w:pPr>
    </w:p>
    <w:p w14:paraId="16DC269B" w14:textId="5D32FDD2" w:rsidR="008232E3" w:rsidRDefault="008232E3" w:rsidP="00A50649">
      <w:pPr>
        <w:jc w:val="both"/>
        <w:rPr>
          <w:rFonts w:ascii="Verdana" w:hAnsi="Verdana" w:cs="PTSans-Regular"/>
          <w:color w:val="000000" w:themeColor="text1"/>
          <w:sz w:val="22"/>
          <w:szCs w:val="22"/>
          <w:lang w:val="es-ES" w:eastAsia="en-CA"/>
        </w:rPr>
      </w:pPr>
      <w:r>
        <w:rPr>
          <w:rFonts w:ascii="Verdana" w:hAnsi="Verdana" w:cs="PTSans-Regular"/>
          <w:color w:val="000000" w:themeColor="text1"/>
          <w:sz w:val="22"/>
          <w:szCs w:val="22"/>
          <w:lang w:val="es-ES" w:eastAsia="en-CA"/>
        </w:rPr>
        <w:t xml:space="preserve">7. Se publicó para comentarios las resoluciones CREG 064-067 de 2018, donde el regulador plantea una subasta de reconfiguración de venta para el periodo 2018-2019, la asignación administrada a prorrata de le ENFICC de las obligaciones para los periodos 2019-2020, 2020-2021 y 2021-2022, una subasta de expansión para el horizonte 2022-2023 y un nuevo mecanismo de expansión. En este momento el Comité de Operación está redactando una comunicación de comentarios a dichas resoluciones, centrándose en los tiempos requeridos para que los proyectos de generación entren en servicio cuando el sistema los requiera. Adicionalmente, estudiar otras posibilidades de expansión, dado que las condiciones del sistema no son las mejores para incorporar nuevas unidades sin expansión de red.   </w:t>
      </w:r>
    </w:p>
    <w:p w14:paraId="2516588B" w14:textId="654FA5A9" w:rsidR="00AD4E55" w:rsidRDefault="00AD4E55" w:rsidP="00A50649">
      <w:pPr>
        <w:jc w:val="both"/>
        <w:rPr>
          <w:rFonts w:ascii="Verdana" w:hAnsi="Verdana" w:cs="PTSans-Regular"/>
          <w:color w:val="000000" w:themeColor="text1"/>
          <w:sz w:val="22"/>
          <w:szCs w:val="22"/>
          <w:lang w:val="es-ES" w:eastAsia="en-CA"/>
        </w:rPr>
      </w:pPr>
    </w:p>
    <w:p w14:paraId="1ABB3B03" w14:textId="12404C7F" w:rsidR="00350E0E" w:rsidRDefault="008232E3" w:rsidP="00A50649">
      <w:pPr>
        <w:jc w:val="both"/>
        <w:rPr>
          <w:rFonts w:ascii="Verdana" w:hAnsi="Verdana" w:cs="PTSans-Regular"/>
          <w:color w:val="000000" w:themeColor="text1"/>
          <w:sz w:val="22"/>
          <w:szCs w:val="22"/>
          <w:lang w:val="es-ES" w:eastAsia="en-CA"/>
        </w:rPr>
      </w:pPr>
      <w:r>
        <w:rPr>
          <w:rFonts w:ascii="Verdana" w:hAnsi="Verdana" w:cs="PTSans-Regular"/>
          <w:color w:val="000000" w:themeColor="text1"/>
          <w:sz w:val="22"/>
          <w:szCs w:val="22"/>
          <w:lang w:val="es-ES" w:eastAsia="en-CA"/>
        </w:rPr>
        <w:t>8</w:t>
      </w:r>
      <w:r w:rsidR="00AD4E55">
        <w:rPr>
          <w:rFonts w:ascii="Verdana" w:hAnsi="Verdana" w:cs="PTSans-Regular"/>
          <w:color w:val="000000" w:themeColor="text1"/>
          <w:sz w:val="22"/>
          <w:szCs w:val="22"/>
          <w:lang w:val="es-ES" w:eastAsia="en-CA"/>
        </w:rPr>
        <w:t>. Se llevo a cabo el seminario “</w:t>
      </w:r>
      <w:r w:rsidR="00350E0E" w:rsidRPr="00350E0E">
        <w:rPr>
          <w:rFonts w:ascii="Verdana" w:hAnsi="Verdana" w:cs="PTSans-Regular"/>
          <w:color w:val="000000" w:themeColor="text1"/>
          <w:sz w:val="22"/>
          <w:szCs w:val="22"/>
          <w:lang w:val="es-ES" w:eastAsia="en-CA"/>
        </w:rPr>
        <w:t>Planeamiento energético de sistemas eléctricos modernos y sostenibles</w:t>
      </w:r>
      <w:r w:rsidR="00AD4E55">
        <w:rPr>
          <w:rFonts w:ascii="Verdana" w:hAnsi="Verdana" w:cs="PTSans-Regular"/>
          <w:color w:val="000000" w:themeColor="text1"/>
          <w:sz w:val="22"/>
          <w:szCs w:val="22"/>
          <w:lang w:val="es-ES" w:eastAsia="en-CA"/>
        </w:rPr>
        <w:t>”</w:t>
      </w:r>
      <w:r w:rsidR="00350E0E">
        <w:rPr>
          <w:rFonts w:ascii="Verdana" w:hAnsi="Verdana" w:cs="PTSans-Regular"/>
          <w:color w:val="000000" w:themeColor="text1"/>
          <w:sz w:val="22"/>
          <w:szCs w:val="22"/>
          <w:lang w:val="es-ES" w:eastAsia="en-CA"/>
        </w:rPr>
        <w:t xml:space="preserve">, organizado por el CNO, XM, BID, CEPAL y MME. Se contó con la participación de más de 75 personas </w:t>
      </w:r>
      <w:r w:rsidR="00A045EE">
        <w:rPr>
          <w:rFonts w:ascii="Verdana" w:hAnsi="Verdana" w:cs="PTSans-Regular"/>
          <w:color w:val="000000" w:themeColor="text1"/>
          <w:sz w:val="22"/>
          <w:szCs w:val="22"/>
          <w:lang w:val="es-ES" w:eastAsia="en-CA"/>
        </w:rPr>
        <w:t>y participantes d</w:t>
      </w:r>
      <w:r w:rsidR="0018416B">
        <w:rPr>
          <w:rFonts w:ascii="Verdana" w:hAnsi="Verdana" w:cs="PTSans-Regular"/>
          <w:color w:val="000000" w:themeColor="text1"/>
          <w:sz w:val="22"/>
          <w:szCs w:val="22"/>
          <w:lang w:val="es-ES" w:eastAsia="en-CA"/>
        </w:rPr>
        <w:t>e</w:t>
      </w:r>
      <w:r w:rsidR="00A045EE">
        <w:rPr>
          <w:rFonts w:ascii="Verdana" w:hAnsi="Verdana" w:cs="PTSans-Regular"/>
          <w:color w:val="000000" w:themeColor="text1"/>
          <w:sz w:val="22"/>
          <w:szCs w:val="22"/>
          <w:lang w:val="es-ES" w:eastAsia="en-CA"/>
        </w:rPr>
        <w:t xml:space="preserve"> Méjico, Ecuador, </w:t>
      </w:r>
      <w:r w:rsidR="0018416B">
        <w:rPr>
          <w:rFonts w:ascii="Verdana" w:hAnsi="Verdana" w:cs="PTSans-Regular"/>
          <w:color w:val="000000" w:themeColor="text1"/>
          <w:sz w:val="22"/>
          <w:szCs w:val="22"/>
          <w:lang w:val="es-ES" w:eastAsia="en-CA"/>
        </w:rPr>
        <w:t xml:space="preserve">Chile, Perú y Brasil, </w:t>
      </w:r>
      <w:r w:rsidR="00350E0E">
        <w:rPr>
          <w:rFonts w:ascii="Verdana" w:hAnsi="Verdana" w:cs="PTSans-Regular"/>
          <w:color w:val="000000" w:themeColor="text1"/>
          <w:sz w:val="22"/>
          <w:szCs w:val="22"/>
          <w:lang w:val="es-ES" w:eastAsia="en-CA"/>
        </w:rPr>
        <w:t xml:space="preserve">y la intervención de conferencistas de Chile, Brasil, Australia y Colombia. Se publicarán próximamente las principales conclusiones </w:t>
      </w:r>
      <w:r w:rsidR="0018416B">
        <w:rPr>
          <w:rFonts w:ascii="Verdana" w:hAnsi="Verdana" w:cs="PTSans-Regular"/>
          <w:color w:val="000000" w:themeColor="text1"/>
          <w:sz w:val="22"/>
          <w:szCs w:val="22"/>
          <w:lang w:val="es-ES" w:eastAsia="en-CA"/>
        </w:rPr>
        <w:t xml:space="preserve">y las memorias </w:t>
      </w:r>
      <w:r w:rsidR="00350E0E">
        <w:rPr>
          <w:rFonts w:ascii="Verdana" w:hAnsi="Verdana" w:cs="PTSans-Regular"/>
          <w:color w:val="000000" w:themeColor="text1"/>
          <w:sz w:val="22"/>
          <w:szCs w:val="22"/>
          <w:lang w:val="es-ES" w:eastAsia="en-CA"/>
        </w:rPr>
        <w:t>del evento en la página del Consejo.</w:t>
      </w:r>
    </w:p>
    <w:p w14:paraId="7D1A64C0" w14:textId="78981D3F" w:rsidR="00AD4E55" w:rsidRDefault="00AD4E55" w:rsidP="00A50649">
      <w:pPr>
        <w:jc w:val="both"/>
        <w:rPr>
          <w:rFonts w:ascii="Verdana" w:hAnsi="Verdana" w:cs="PTSans-Regular"/>
          <w:color w:val="000000" w:themeColor="text1"/>
          <w:sz w:val="22"/>
          <w:szCs w:val="22"/>
          <w:lang w:val="es-ES" w:eastAsia="en-CA"/>
        </w:rPr>
      </w:pPr>
    </w:p>
    <w:p w14:paraId="7EA6FD3C" w14:textId="77777777" w:rsidR="00AD4E55" w:rsidRPr="0018416B" w:rsidRDefault="00AD4E55" w:rsidP="0018416B">
      <w:pPr>
        <w:jc w:val="both"/>
        <w:rPr>
          <w:rFonts w:ascii="Verdana" w:hAnsi="Verdana" w:cs="PTSans-Regular"/>
          <w:color w:val="000000" w:themeColor="text1"/>
          <w:sz w:val="22"/>
          <w:szCs w:val="22"/>
          <w:lang w:val="es-ES" w:eastAsia="en-CA"/>
        </w:rPr>
      </w:pPr>
    </w:p>
    <w:p w14:paraId="266D0AE9" w14:textId="77777777" w:rsidR="000500A3" w:rsidRPr="0018416B" w:rsidRDefault="000500A3" w:rsidP="0018416B">
      <w:pPr>
        <w:pStyle w:val="Prrafodelista"/>
        <w:jc w:val="both"/>
        <w:rPr>
          <w:rFonts w:ascii="Verdana" w:hAnsi="Verdana" w:cs="PTSans-Regular"/>
          <w:color w:val="000000" w:themeColor="text1"/>
          <w:sz w:val="22"/>
          <w:szCs w:val="22"/>
          <w:lang w:val="es-ES" w:eastAsia="en-CA"/>
        </w:rPr>
      </w:pPr>
    </w:p>
    <w:p w14:paraId="02DE6FED" w14:textId="12D27093" w:rsidR="00E5320E" w:rsidRPr="0018416B" w:rsidRDefault="00E5320E" w:rsidP="0018416B">
      <w:pPr>
        <w:jc w:val="both"/>
        <w:rPr>
          <w:rFonts w:ascii="Verdana" w:hAnsi="Verdana" w:cs="PTSans-Regular"/>
          <w:sz w:val="22"/>
          <w:szCs w:val="22"/>
          <w:lang w:val="es-ES" w:eastAsia="en-CA"/>
        </w:rPr>
      </w:pPr>
    </w:p>
    <w:sectPr w:rsidR="00E5320E" w:rsidRPr="0018416B" w:rsidSect="004454E2">
      <w:headerReference w:type="default" r:id="rId8"/>
      <w:footerReference w:type="default" r:id="rId9"/>
      <w:pgSz w:w="12242" w:h="15842" w:code="1"/>
      <w:pgMar w:top="851" w:right="1327" w:bottom="1134" w:left="170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9AF36" w14:textId="77777777" w:rsidR="00F133C4" w:rsidRDefault="00F133C4">
      <w:r>
        <w:separator/>
      </w:r>
    </w:p>
  </w:endnote>
  <w:endnote w:type="continuationSeparator" w:id="0">
    <w:p w14:paraId="2FED41F3" w14:textId="77777777" w:rsidR="00F133C4" w:rsidRDefault="00F13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TSans-Regular">
    <w:altName w:val="Arial"/>
    <w:panose1 w:val="00000000000000000000"/>
    <w:charset w:val="4D"/>
    <w:family w:val="swiss"/>
    <w:notTrueType/>
    <w:pitch w:val="variable"/>
    <w:sig w:usb0="A00002EF" w:usb1="5000204B" w:usb2="00000000" w:usb3="00000000" w:csb0="00000097"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EC19D" w14:textId="2E34858C" w:rsidR="00135EB1" w:rsidRPr="003D56D0" w:rsidRDefault="003B26E1" w:rsidP="003D56D0">
    <w:pPr>
      <w:pStyle w:val="Piedepgina"/>
    </w:pPr>
    <w:r>
      <w:t>Informe Reunión CNO 5</w:t>
    </w:r>
    <w:r w:rsidR="00546B6B">
      <w:t>3</w:t>
    </w:r>
    <w:r w:rsidR="004B66AC">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EE403" w14:textId="77777777" w:rsidR="00F133C4" w:rsidRDefault="00F133C4">
      <w:r>
        <w:separator/>
      </w:r>
    </w:p>
  </w:footnote>
  <w:footnote w:type="continuationSeparator" w:id="0">
    <w:p w14:paraId="0C372FBD" w14:textId="77777777" w:rsidR="00F133C4" w:rsidRDefault="00F13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174BA" w14:textId="77777777" w:rsidR="00135EB1" w:rsidRDefault="00135EB1">
    <w:pPr>
      <w:pStyle w:val="Encabezado"/>
      <w:tabs>
        <w:tab w:val="center" w:pos="4420"/>
        <w:tab w:val="left" w:pos="7180"/>
      </w:tabs>
      <w:rPr>
        <w:b/>
        <w:sz w:val="40"/>
        <w:lang w:val="es-MX"/>
      </w:rPr>
    </w:pPr>
    <w:r>
      <w:rPr>
        <w:b/>
        <w:sz w:val="40"/>
        <w:lang w:val="es-MX"/>
      </w:rPr>
      <w:tab/>
    </w:r>
    <w:r w:rsidR="00357CB6" w:rsidRPr="00C12902">
      <w:rPr>
        <w:noProof/>
        <w:lang w:eastAsia="es-CO"/>
      </w:rPr>
      <w:drawing>
        <wp:inline distT="0" distB="0" distL="0" distR="0" wp14:anchorId="0F7FC3CB" wp14:editId="33870A74">
          <wp:extent cx="1657350" cy="619125"/>
          <wp:effectExtent l="0" t="0" r="0" b="9525"/>
          <wp:docPr id="3" name="Imagen 3" descr="http://www.cno.org.co/sites/all/themes/cno/images/logo-cno-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no.org.co/sites/all/themes/cno/images/logo-cno-pa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19125"/>
                  </a:xfrm>
                  <a:prstGeom prst="rect">
                    <a:avLst/>
                  </a:prstGeom>
                  <a:noFill/>
                  <a:ln>
                    <a:noFill/>
                  </a:ln>
                </pic:spPr>
              </pic:pic>
            </a:graphicData>
          </a:graphic>
        </wp:inline>
      </w:drawing>
    </w:r>
  </w:p>
  <w:p w14:paraId="3277E248" w14:textId="77777777" w:rsidR="00135EB1" w:rsidRPr="00B23F7B" w:rsidRDefault="00E43C02" w:rsidP="00B23F7B">
    <w:pPr>
      <w:pStyle w:val="Encabezado"/>
      <w:tabs>
        <w:tab w:val="clear" w:pos="4252"/>
        <w:tab w:val="clear" w:pos="8504"/>
        <w:tab w:val="center" w:pos="4419"/>
      </w:tabs>
      <w:rPr>
        <w:b/>
        <w:sz w:val="40"/>
        <w:lang w:val="es-MX"/>
      </w:rPr>
    </w:pPr>
    <w:r>
      <w:rPr>
        <w:b/>
        <w:noProof/>
        <w:sz w:val="40"/>
        <w:lang w:eastAsia="es-CO"/>
      </w:rPr>
      <mc:AlternateContent>
        <mc:Choice Requires="wps">
          <w:drawing>
            <wp:anchor distT="4294967295" distB="4294967295" distL="114300" distR="114300" simplePos="0" relativeHeight="251657216" behindDoc="0" locked="0" layoutInCell="0" allowOverlap="1" wp14:anchorId="5EA8D776" wp14:editId="0E5EA31C">
              <wp:simplePos x="0" y="0"/>
              <wp:positionH relativeFrom="column">
                <wp:posOffset>17145</wp:posOffset>
              </wp:positionH>
              <wp:positionV relativeFrom="paragraph">
                <wp:posOffset>245744</wp:posOffset>
              </wp:positionV>
              <wp:extent cx="5394960" cy="0"/>
              <wp:effectExtent l="0" t="0" r="15240" b="2540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94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20500147" id="Line 1" o:spid="_x0000_s1026" style="position:absolute;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9.35pt" to="426.1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" o:allowincell="f"/>
          </w:pict>
        </mc:Fallback>
      </mc:AlternateContent>
    </w:r>
    <w:r w:rsidR="00135EB1">
      <w:rPr>
        <w:b/>
        <w:sz w:val="40"/>
        <w:lang w:val="es-MX"/>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B29E6"/>
    <w:multiLevelType w:val="multilevel"/>
    <w:tmpl w:val="D69A7BAE"/>
    <w:lvl w:ilvl="0">
      <w:start w:val="1"/>
      <w:numFmt w:val="decimal"/>
      <w:pStyle w:val="Nivel1"/>
      <w:lvlText w:val="%1."/>
      <w:lvlJc w:val="left"/>
      <w:pPr>
        <w:tabs>
          <w:tab w:val="num" w:pos="360"/>
        </w:tabs>
        <w:ind w:left="0" w:firstLine="0"/>
      </w:pPr>
    </w:lvl>
    <w:lvl w:ilvl="1">
      <w:start w:val="1"/>
      <w:numFmt w:val="decimal"/>
      <w:pStyle w:val="Nivel2"/>
      <w:lvlText w:val="%1.%2"/>
      <w:lvlJc w:val="left"/>
      <w:pPr>
        <w:tabs>
          <w:tab w:val="num" w:pos="720"/>
        </w:tabs>
        <w:ind w:left="0" w:firstLine="0"/>
      </w:pPr>
    </w:lvl>
    <w:lvl w:ilvl="2">
      <w:start w:val="1"/>
      <w:numFmt w:val="decimal"/>
      <w:pStyle w:val="Nivel3"/>
      <w:lvlText w:val="%1.%2.%3"/>
      <w:lvlJc w:val="left"/>
      <w:pPr>
        <w:tabs>
          <w:tab w:val="num" w:pos="720"/>
        </w:tabs>
        <w:ind w:left="0" w:firstLine="0"/>
      </w:pPr>
    </w:lvl>
    <w:lvl w:ilvl="3">
      <w:start w:val="1"/>
      <w:numFmt w:val="lowerLetter"/>
      <w:pStyle w:val="Nivel4"/>
      <w:lvlText w:val="%4."/>
      <w:lvlJc w:val="left"/>
      <w:pPr>
        <w:tabs>
          <w:tab w:val="num" w:pos="360"/>
        </w:tabs>
        <w:ind w:left="0" w:firstLine="0"/>
      </w:pPr>
    </w:lvl>
    <w:lvl w:ilvl="4">
      <w:start w:val="1"/>
      <w:numFmt w:val="bullet"/>
      <w:pStyle w:val="Nivel5"/>
      <w:lvlText w:val=""/>
      <w:lvlJc w:val="left"/>
      <w:pPr>
        <w:tabs>
          <w:tab w:val="num" w:pos="360"/>
        </w:tabs>
        <w:ind w:left="0" w:firstLine="0"/>
      </w:pPr>
      <w:rPr>
        <w:rFonts w:ascii="Symbol" w:hAnsi="Symbol" w:hint="default"/>
      </w:rPr>
    </w:lvl>
    <w:lvl w:ilvl="5">
      <w:start w:val="1"/>
      <w:numFmt w:val="none"/>
      <w:lvlText w:val="%1.%2.%3.%4.%5.%6"/>
      <w:lvlJc w:val="left"/>
      <w:pPr>
        <w:tabs>
          <w:tab w:val="num" w:pos="1440"/>
        </w:tabs>
        <w:ind w:left="0" w:firstLine="0"/>
      </w:pPr>
    </w:lvl>
    <w:lvl w:ilvl="6">
      <w:start w:val="1"/>
      <w:numFmt w:val="none"/>
      <w:lvlText w:val="%1.%2.%3.%4.%5.%6.%7"/>
      <w:lvlJc w:val="left"/>
      <w:pPr>
        <w:tabs>
          <w:tab w:val="num" w:pos="1440"/>
        </w:tabs>
        <w:ind w:left="1296" w:hanging="1296"/>
      </w:pPr>
    </w:lvl>
    <w:lvl w:ilvl="7">
      <w:start w:val="1"/>
      <w:numFmt w:val="none"/>
      <w:lvlText w:val="%1.%2.%3.%4.%5.%6.%7.%8"/>
      <w:lvlJc w:val="left"/>
      <w:pPr>
        <w:tabs>
          <w:tab w:val="num" w:pos="1800"/>
        </w:tabs>
        <w:ind w:left="1440" w:hanging="1440"/>
      </w:pPr>
    </w:lvl>
    <w:lvl w:ilvl="8">
      <w:start w:val="1"/>
      <w:numFmt w:val="none"/>
      <w:lvlText w:val="%1.%2.%3.%4.%5.%6.%7.%8.%9"/>
      <w:lvlJc w:val="left"/>
      <w:pPr>
        <w:tabs>
          <w:tab w:val="num" w:pos="1800"/>
        </w:tabs>
        <w:ind w:left="1584" w:hanging="1584"/>
      </w:pPr>
    </w:lvl>
  </w:abstractNum>
  <w:abstractNum w:abstractNumId="1" w15:restartNumberingAfterBreak="0">
    <w:nsid w:val="1EED1010"/>
    <w:multiLevelType w:val="hybridMultilevel"/>
    <w:tmpl w:val="124C6F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0116962"/>
    <w:multiLevelType w:val="hybridMultilevel"/>
    <w:tmpl w:val="BAD285FE"/>
    <w:lvl w:ilvl="0" w:tplc="2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20923186"/>
    <w:multiLevelType w:val="hybridMultilevel"/>
    <w:tmpl w:val="5CA82CBA"/>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 w15:restartNumberingAfterBreak="0">
    <w:nsid w:val="23007B35"/>
    <w:multiLevelType w:val="hybridMultilevel"/>
    <w:tmpl w:val="10E8F044"/>
    <w:lvl w:ilvl="0" w:tplc="E3109E4A">
      <w:numFmt w:val="bullet"/>
      <w:lvlText w:val="-"/>
      <w:lvlJc w:val="left"/>
      <w:pPr>
        <w:ind w:left="1080" w:hanging="360"/>
      </w:pPr>
      <w:rPr>
        <w:rFonts w:ascii="Verdana" w:eastAsia="Times New Roman" w:hAnsi="Verdana" w:cs="PTSans-Regular"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2A4558E8"/>
    <w:multiLevelType w:val="hybridMultilevel"/>
    <w:tmpl w:val="0D60733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ACF70D0"/>
    <w:multiLevelType w:val="hybridMultilevel"/>
    <w:tmpl w:val="63728A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26A1A49"/>
    <w:multiLevelType w:val="hybridMultilevel"/>
    <w:tmpl w:val="22625CFC"/>
    <w:lvl w:ilvl="0" w:tplc="240A000F">
      <w:start w:val="1"/>
      <w:numFmt w:val="decimal"/>
      <w:lvlText w:val="%1."/>
      <w:lvlJc w:val="left"/>
      <w:pPr>
        <w:ind w:left="1068" w:hanging="360"/>
      </w:pPr>
      <w:rPr>
        <w:rFont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8" w15:restartNumberingAfterBreak="0">
    <w:nsid w:val="4B4E244C"/>
    <w:multiLevelType w:val="hybridMultilevel"/>
    <w:tmpl w:val="E42889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D05044E"/>
    <w:multiLevelType w:val="hybridMultilevel"/>
    <w:tmpl w:val="A0F4339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9"/>
  </w:num>
  <w:num w:numId="3">
    <w:abstractNumId w:val="5"/>
  </w:num>
  <w:num w:numId="4">
    <w:abstractNumId w:val="3"/>
  </w:num>
  <w:num w:numId="5">
    <w:abstractNumId w:val="8"/>
  </w:num>
  <w:num w:numId="6">
    <w:abstractNumId w:val="7"/>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182"/>
    <w:rsid w:val="000002D0"/>
    <w:rsid w:val="00000368"/>
    <w:rsid w:val="00001A42"/>
    <w:rsid w:val="00002A5C"/>
    <w:rsid w:val="00002B31"/>
    <w:rsid w:val="00002C24"/>
    <w:rsid w:val="00002F11"/>
    <w:rsid w:val="00003AB9"/>
    <w:rsid w:val="00003F51"/>
    <w:rsid w:val="0000414B"/>
    <w:rsid w:val="000050B5"/>
    <w:rsid w:val="000055F4"/>
    <w:rsid w:val="00006D2A"/>
    <w:rsid w:val="00010529"/>
    <w:rsid w:val="000141A1"/>
    <w:rsid w:val="000146AB"/>
    <w:rsid w:val="000147DB"/>
    <w:rsid w:val="00016FAF"/>
    <w:rsid w:val="00020C38"/>
    <w:rsid w:val="000216A8"/>
    <w:rsid w:val="00022916"/>
    <w:rsid w:val="000232B4"/>
    <w:rsid w:val="00023ABF"/>
    <w:rsid w:val="00023E84"/>
    <w:rsid w:val="00024F3A"/>
    <w:rsid w:val="000258B7"/>
    <w:rsid w:val="00025E4E"/>
    <w:rsid w:val="00030B8F"/>
    <w:rsid w:val="00030C8C"/>
    <w:rsid w:val="00031648"/>
    <w:rsid w:val="00031F84"/>
    <w:rsid w:val="00035AC3"/>
    <w:rsid w:val="00035D46"/>
    <w:rsid w:val="0004173B"/>
    <w:rsid w:val="000430A7"/>
    <w:rsid w:val="00043249"/>
    <w:rsid w:val="000472EC"/>
    <w:rsid w:val="0004751B"/>
    <w:rsid w:val="00047F90"/>
    <w:rsid w:val="000500A3"/>
    <w:rsid w:val="0005188C"/>
    <w:rsid w:val="00051EFF"/>
    <w:rsid w:val="0005455C"/>
    <w:rsid w:val="000556BD"/>
    <w:rsid w:val="00055B14"/>
    <w:rsid w:val="00056218"/>
    <w:rsid w:val="00057A83"/>
    <w:rsid w:val="00057E7C"/>
    <w:rsid w:val="00057F27"/>
    <w:rsid w:val="00060E4B"/>
    <w:rsid w:val="00062609"/>
    <w:rsid w:val="00063CFB"/>
    <w:rsid w:val="00064156"/>
    <w:rsid w:val="0006427E"/>
    <w:rsid w:val="00064DE6"/>
    <w:rsid w:val="00065E25"/>
    <w:rsid w:val="00066876"/>
    <w:rsid w:val="00067654"/>
    <w:rsid w:val="000678B5"/>
    <w:rsid w:val="00067C42"/>
    <w:rsid w:val="00072D74"/>
    <w:rsid w:val="00073CD2"/>
    <w:rsid w:val="00074D7A"/>
    <w:rsid w:val="00077E1C"/>
    <w:rsid w:val="00080007"/>
    <w:rsid w:val="000805D1"/>
    <w:rsid w:val="00083AC9"/>
    <w:rsid w:val="0008441F"/>
    <w:rsid w:val="000857CE"/>
    <w:rsid w:val="00086091"/>
    <w:rsid w:val="000867D2"/>
    <w:rsid w:val="00086D5A"/>
    <w:rsid w:val="00090DBF"/>
    <w:rsid w:val="00091EE8"/>
    <w:rsid w:val="00092FED"/>
    <w:rsid w:val="000958F6"/>
    <w:rsid w:val="00095BD5"/>
    <w:rsid w:val="0009624D"/>
    <w:rsid w:val="00096396"/>
    <w:rsid w:val="00097920"/>
    <w:rsid w:val="000A368B"/>
    <w:rsid w:val="000A42D0"/>
    <w:rsid w:val="000A43E5"/>
    <w:rsid w:val="000A491D"/>
    <w:rsid w:val="000A5315"/>
    <w:rsid w:val="000A570E"/>
    <w:rsid w:val="000A5E29"/>
    <w:rsid w:val="000A664F"/>
    <w:rsid w:val="000A66C1"/>
    <w:rsid w:val="000A7198"/>
    <w:rsid w:val="000A7F18"/>
    <w:rsid w:val="000B099A"/>
    <w:rsid w:val="000B67AE"/>
    <w:rsid w:val="000C1867"/>
    <w:rsid w:val="000C2B35"/>
    <w:rsid w:val="000C60BE"/>
    <w:rsid w:val="000C79E4"/>
    <w:rsid w:val="000C7DF4"/>
    <w:rsid w:val="000D04B8"/>
    <w:rsid w:val="000D285A"/>
    <w:rsid w:val="000D3ED1"/>
    <w:rsid w:val="000D5579"/>
    <w:rsid w:val="000D77C5"/>
    <w:rsid w:val="000D7C46"/>
    <w:rsid w:val="000D7D2A"/>
    <w:rsid w:val="000E0673"/>
    <w:rsid w:val="000E1DD2"/>
    <w:rsid w:val="000E3C44"/>
    <w:rsid w:val="000E4232"/>
    <w:rsid w:val="000E5D82"/>
    <w:rsid w:val="000E7261"/>
    <w:rsid w:val="000E7AAD"/>
    <w:rsid w:val="000F1DC8"/>
    <w:rsid w:val="000F2FB6"/>
    <w:rsid w:val="000F710E"/>
    <w:rsid w:val="000F73CD"/>
    <w:rsid w:val="000F7E5F"/>
    <w:rsid w:val="00100A62"/>
    <w:rsid w:val="00100AE9"/>
    <w:rsid w:val="00102353"/>
    <w:rsid w:val="001024F8"/>
    <w:rsid w:val="001047C7"/>
    <w:rsid w:val="0010567B"/>
    <w:rsid w:val="001059CF"/>
    <w:rsid w:val="00105F87"/>
    <w:rsid w:val="00107D94"/>
    <w:rsid w:val="00110A4B"/>
    <w:rsid w:val="001135ED"/>
    <w:rsid w:val="00114D0D"/>
    <w:rsid w:val="001174DE"/>
    <w:rsid w:val="001206D2"/>
    <w:rsid w:val="00120B71"/>
    <w:rsid w:val="00120C33"/>
    <w:rsid w:val="001218F4"/>
    <w:rsid w:val="00123BA7"/>
    <w:rsid w:val="00124D0B"/>
    <w:rsid w:val="001273FD"/>
    <w:rsid w:val="00130BEC"/>
    <w:rsid w:val="00131701"/>
    <w:rsid w:val="00132790"/>
    <w:rsid w:val="00132DA5"/>
    <w:rsid w:val="00133196"/>
    <w:rsid w:val="001341AC"/>
    <w:rsid w:val="00134A22"/>
    <w:rsid w:val="001356DD"/>
    <w:rsid w:val="00135EB1"/>
    <w:rsid w:val="00136511"/>
    <w:rsid w:val="0013654F"/>
    <w:rsid w:val="001374D4"/>
    <w:rsid w:val="00141A3F"/>
    <w:rsid w:val="00144785"/>
    <w:rsid w:val="00144EAF"/>
    <w:rsid w:val="00150013"/>
    <w:rsid w:val="0015033B"/>
    <w:rsid w:val="00150EC8"/>
    <w:rsid w:val="00152C78"/>
    <w:rsid w:val="0015318E"/>
    <w:rsid w:val="00154937"/>
    <w:rsid w:val="00155E45"/>
    <w:rsid w:val="00156F57"/>
    <w:rsid w:val="00156F89"/>
    <w:rsid w:val="00157319"/>
    <w:rsid w:val="001607D8"/>
    <w:rsid w:val="00163780"/>
    <w:rsid w:val="00164037"/>
    <w:rsid w:val="001642E8"/>
    <w:rsid w:val="00165D51"/>
    <w:rsid w:val="001676EE"/>
    <w:rsid w:val="00167D5A"/>
    <w:rsid w:val="00170083"/>
    <w:rsid w:val="00171F50"/>
    <w:rsid w:val="00172130"/>
    <w:rsid w:val="00173163"/>
    <w:rsid w:val="00173584"/>
    <w:rsid w:val="001756FB"/>
    <w:rsid w:val="001762EF"/>
    <w:rsid w:val="00176A52"/>
    <w:rsid w:val="00176CF9"/>
    <w:rsid w:val="00176EED"/>
    <w:rsid w:val="00182EEA"/>
    <w:rsid w:val="0018416B"/>
    <w:rsid w:val="00185148"/>
    <w:rsid w:val="001857AF"/>
    <w:rsid w:val="001862E3"/>
    <w:rsid w:val="001918E2"/>
    <w:rsid w:val="001A0338"/>
    <w:rsid w:val="001A0E60"/>
    <w:rsid w:val="001A25AB"/>
    <w:rsid w:val="001A2B49"/>
    <w:rsid w:val="001A3613"/>
    <w:rsid w:val="001A4B3B"/>
    <w:rsid w:val="001A4D15"/>
    <w:rsid w:val="001A717E"/>
    <w:rsid w:val="001B38D8"/>
    <w:rsid w:val="001C00E2"/>
    <w:rsid w:val="001C2F8F"/>
    <w:rsid w:val="001C31B7"/>
    <w:rsid w:val="001C46C2"/>
    <w:rsid w:val="001C536C"/>
    <w:rsid w:val="001C6B67"/>
    <w:rsid w:val="001C6CE2"/>
    <w:rsid w:val="001E1646"/>
    <w:rsid w:val="001E1DFE"/>
    <w:rsid w:val="001E504E"/>
    <w:rsid w:val="001F19D3"/>
    <w:rsid w:val="001F2B25"/>
    <w:rsid w:val="001F35A5"/>
    <w:rsid w:val="001F4F11"/>
    <w:rsid w:val="001F57DA"/>
    <w:rsid w:val="001F6104"/>
    <w:rsid w:val="001F6A62"/>
    <w:rsid w:val="002031E5"/>
    <w:rsid w:val="002051D0"/>
    <w:rsid w:val="00206447"/>
    <w:rsid w:val="002073DC"/>
    <w:rsid w:val="00210E22"/>
    <w:rsid w:val="002111B6"/>
    <w:rsid w:val="00211B1F"/>
    <w:rsid w:val="0021279B"/>
    <w:rsid w:val="00212844"/>
    <w:rsid w:val="0021412E"/>
    <w:rsid w:val="00214496"/>
    <w:rsid w:val="002158C1"/>
    <w:rsid w:val="00217A4A"/>
    <w:rsid w:val="00224164"/>
    <w:rsid w:val="002244CE"/>
    <w:rsid w:val="0022458E"/>
    <w:rsid w:val="00226DA5"/>
    <w:rsid w:val="00227D1D"/>
    <w:rsid w:val="002305C1"/>
    <w:rsid w:val="002310B1"/>
    <w:rsid w:val="002317CF"/>
    <w:rsid w:val="00234790"/>
    <w:rsid w:val="0023739F"/>
    <w:rsid w:val="00242232"/>
    <w:rsid w:val="00247DD1"/>
    <w:rsid w:val="00247FDF"/>
    <w:rsid w:val="00253E04"/>
    <w:rsid w:val="00255B89"/>
    <w:rsid w:val="00260319"/>
    <w:rsid w:val="002603D5"/>
    <w:rsid w:val="002628DB"/>
    <w:rsid w:val="002642C1"/>
    <w:rsid w:val="00265002"/>
    <w:rsid w:val="00266C0E"/>
    <w:rsid w:val="00270F7E"/>
    <w:rsid w:val="00270FEC"/>
    <w:rsid w:val="002764AA"/>
    <w:rsid w:val="002774A6"/>
    <w:rsid w:val="00280DCD"/>
    <w:rsid w:val="00282872"/>
    <w:rsid w:val="0028403E"/>
    <w:rsid w:val="00284FE2"/>
    <w:rsid w:val="0028655D"/>
    <w:rsid w:val="00290503"/>
    <w:rsid w:val="00290843"/>
    <w:rsid w:val="00290C6C"/>
    <w:rsid w:val="00290F9E"/>
    <w:rsid w:val="00291F19"/>
    <w:rsid w:val="002922E9"/>
    <w:rsid w:val="00294DBE"/>
    <w:rsid w:val="00295157"/>
    <w:rsid w:val="00295250"/>
    <w:rsid w:val="00295A44"/>
    <w:rsid w:val="00295A8E"/>
    <w:rsid w:val="0029666E"/>
    <w:rsid w:val="002972BF"/>
    <w:rsid w:val="00297858"/>
    <w:rsid w:val="00297DE8"/>
    <w:rsid w:val="002A076E"/>
    <w:rsid w:val="002A0AA4"/>
    <w:rsid w:val="002A1C47"/>
    <w:rsid w:val="002A216D"/>
    <w:rsid w:val="002A4E30"/>
    <w:rsid w:val="002A6213"/>
    <w:rsid w:val="002B3BDD"/>
    <w:rsid w:val="002C16EA"/>
    <w:rsid w:val="002C2A3B"/>
    <w:rsid w:val="002C36E5"/>
    <w:rsid w:val="002C497E"/>
    <w:rsid w:val="002C4D46"/>
    <w:rsid w:val="002C691A"/>
    <w:rsid w:val="002D0372"/>
    <w:rsid w:val="002D06FC"/>
    <w:rsid w:val="002D07F0"/>
    <w:rsid w:val="002D24FA"/>
    <w:rsid w:val="002D31E6"/>
    <w:rsid w:val="002D360B"/>
    <w:rsid w:val="002D5C49"/>
    <w:rsid w:val="002D5D8D"/>
    <w:rsid w:val="002D7738"/>
    <w:rsid w:val="002D7FAF"/>
    <w:rsid w:val="002E1F7F"/>
    <w:rsid w:val="002F0821"/>
    <w:rsid w:val="002F225C"/>
    <w:rsid w:val="002F28F4"/>
    <w:rsid w:val="002F3EBE"/>
    <w:rsid w:val="002F432D"/>
    <w:rsid w:val="002F455D"/>
    <w:rsid w:val="002F458B"/>
    <w:rsid w:val="002F47AB"/>
    <w:rsid w:val="002F523A"/>
    <w:rsid w:val="002F73D7"/>
    <w:rsid w:val="002F7E22"/>
    <w:rsid w:val="00300739"/>
    <w:rsid w:val="00300DCE"/>
    <w:rsid w:val="003037F8"/>
    <w:rsid w:val="0030565C"/>
    <w:rsid w:val="0030657A"/>
    <w:rsid w:val="00306819"/>
    <w:rsid w:val="0030698D"/>
    <w:rsid w:val="00310530"/>
    <w:rsid w:val="003173E1"/>
    <w:rsid w:val="00321705"/>
    <w:rsid w:val="003265EE"/>
    <w:rsid w:val="00326FA3"/>
    <w:rsid w:val="003270C2"/>
    <w:rsid w:val="003272AD"/>
    <w:rsid w:val="0033179F"/>
    <w:rsid w:val="00332C02"/>
    <w:rsid w:val="00333970"/>
    <w:rsid w:val="00334EBA"/>
    <w:rsid w:val="003359B9"/>
    <w:rsid w:val="00335DE4"/>
    <w:rsid w:val="003371B4"/>
    <w:rsid w:val="00341F32"/>
    <w:rsid w:val="0034253E"/>
    <w:rsid w:val="00342DB0"/>
    <w:rsid w:val="00344A8B"/>
    <w:rsid w:val="00346C9D"/>
    <w:rsid w:val="003479C7"/>
    <w:rsid w:val="00350A11"/>
    <w:rsid w:val="00350E0E"/>
    <w:rsid w:val="00351293"/>
    <w:rsid w:val="00351531"/>
    <w:rsid w:val="00351DAA"/>
    <w:rsid w:val="003546E9"/>
    <w:rsid w:val="003547F1"/>
    <w:rsid w:val="00354C3E"/>
    <w:rsid w:val="0035504C"/>
    <w:rsid w:val="00356369"/>
    <w:rsid w:val="003573E3"/>
    <w:rsid w:val="00357CB6"/>
    <w:rsid w:val="00360B14"/>
    <w:rsid w:val="00361EBE"/>
    <w:rsid w:val="003624CD"/>
    <w:rsid w:val="003631A7"/>
    <w:rsid w:val="003642C4"/>
    <w:rsid w:val="003645D3"/>
    <w:rsid w:val="0037288D"/>
    <w:rsid w:val="00373236"/>
    <w:rsid w:val="0038256D"/>
    <w:rsid w:val="003843AC"/>
    <w:rsid w:val="00385FA0"/>
    <w:rsid w:val="00391382"/>
    <w:rsid w:val="003915F0"/>
    <w:rsid w:val="00394096"/>
    <w:rsid w:val="0039710B"/>
    <w:rsid w:val="003972E1"/>
    <w:rsid w:val="003A0506"/>
    <w:rsid w:val="003A0F92"/>
    <w:rsid w:val="003A1499"/>
    <w:rsid w:val="003A3383"/>
    <w:rsid w:val="003A49EE"/>
    <w:rsid w:val="003A5D17"/>
    <w:rsid w:val="003B02C8"/>
    <w:rsid w:val="003B03F4"/>
    <w:rsid w:val="003B19B1"/>
    <w:rsid w:val="003B26E1"/>
    <w:rsid w:val="003B2F30"/>
    <w:rsid w:val="003B43B5"/>
    <w:rsid w:val="003B4701"/>
    <w:rsid w:val="003B5668"/>
    <w:rsid w:val="003B571C"/>
    <w:rsid w:val="003B5E47"/>
    <w:rsid w:val="003C1465"/>
    <w:rsid w:val="003C1A92"/>
    <w:rsid w:val="003C3496"/>
    <w:rsid w:val="003C3846"/>
    <w:rsid w:val="003C507C"/>
    <w:rsid w:val="003C7712"/>
    <w:rsid w:val="003D0AF1"/>
    <w:rsid w:val="003D1980"/>
    <w:rsid w:val="003D5281"/>
    <w:rsid w:val="003D56D0"/>
    <w:rsid w:val="003D5855"/>
    <w:rsid w:val="003D730A"/>
    <w:rsid w:val="003E1713"/>
    <w:rsid w:val="003E2FB4"/>
    <w:rsid w:val="003E4AF1"/>
    <w:rsid w:val="003E61BF"/>
    <w:rsid w:val="003E76FC"/>
    <w:rsid w:val="003E7901"/>
    <w:rsid w:val="003F11EF"/>
    <w:rsid w:val="003F3C4D"/>
    <w:rsid w:val="003F44D7"/>
    <w:rsid w:val="003F665B"/>
    <w:rsid w:val="003F7378"/>
    <w:rsid w:val="00400174"/>
    <w:rsid w:val="00401628"/>
    <w:rsid w:val="00402A3C"/>
    <w:rsid w:val="004030F7"/>
    <w:rsid w:val="004043DB"/>
    <w:rsid w:val="004061B6"/>
    <w:rsid w:val="00406322"/>
    <w:rsid w:val="00407090"/>
    <w:rsid w:val="004073E7"/>
    <w:rsid w:val="00410287"/>
    <w:rsid w:val="00412741"/>
    <w:rsid w:val="00415757"/>
    <w:rsid w:val="00416DD2"/>
    <w:rsid w:val="00420001"/>
    <w:rsid w:val="00423704"/>
    <w:rsid w:val="0042373E"/>
    <w:rsid w:val="00423789"/>
    <w:rsid w:val="0042421F"/>
    <w:rsid w:val="00427666"/>
    <w:rsid w:val="00430D1B"/>
    <w:rsid w:val="00431736"/>
    <w:rsid w:val="004348E7"/>
    <w:rsid w:val="00434994"/>
    <w:rsid w:val="0043792A"/>
    <w:rsid w:val="004417C3"/>
    <w:rsid w:val="004423DA"/>
    <w:rsid w:val="00443B7D"/>
    <w:rsid w:val="00444CFE"/>
    <w:rsid w:val="00444E4E"/>
    <w:rsid w:val="004454E2"/>
    <w:rsid w:val="004462B1"/>
    <w:rsid w:val="004513AF"/>
    <w:rsid w:val="004528C2"/>
    <w:rsid w:val="0045315F"/>
    <w:rsid w:val="00453D54"/>
    <w:rsid w:val="0045507C"/>
    <w:rsid w:val="00460610"/>
    <w:rsid w:val="00460EB6"/>
    <w:rsid w:val="0046116D"/>
    <w:rsid w:val="0046209F"/>
    <w:rsid w:val="004735A0"/>
    <w:rsid w:val="004745D1"/>
    <w:rsid w:val="0047689E"/>
    <w:rsid w:val="00480817"/>
    <w:rsid w:val="0048104A"/>
    <w:rsid w:val="00481189"/>
    <w:rsid w:val="0048334E"/>
    <w:rsid w:val="00483DBB"/>
    <w:rsid w:val="0049262E"/>
    <w:rsid w:val="00493238"/>
    <w:rsid w:val="004967B6"/>
    <w:rsid w:val="004A1DD3"/>
    <w:rsid w:val="004A2125"/>
    <w:rsid w:val="004A25AD"/>
    <w:rsid w:val="004A487E"/>
    <w:rsid w:val="004A5461"/>
    <w:rsid w:val="004A651A"/>
    <w:rsid w:val="004A67F9"/>
    <w:rsid w:val="004B0A1A"/>
    <w:rsid w:val="004B0DEB"/>
    <w:rsid w:val="004B0F03"/>
    <w:rsid w:val="004B31BC"/>
    <w:rsid w:val="004B5A64"/>
    <w:rsid w:val="004B66AC"/>
    <w:rsid w:val="004B72E6"/>
    <w:rsid w:val="004C0348"/>
    <w:rsid w:val="004C11C2"/>
    <w:rsid w:val="004C3530"/>
    <w:rsid w:val="004C35ED"/>
    <w:rsid w:val="004C3F1D"/>
    <w:rsid w:val="004C63DA"/>
    <w:rsid w:val="004C6824"/>
    <w:rsid w:val="004D19EF"/>
    <w:rsid w:val="004D37E5"/>
    <w:rsid w:val="004D5770"/>
    <w:rsid w:val="004D5DCA"/>
    <w:rsid w:val="004D7259"/>
    <w:rsid w:val="004D7883"/>
    <w:rsid w:val="004E05BE"/>
    <w:rsid w:val="004E0C74"/>
    <w:rsid w:val="004E2C10"/>
    <w:rsid w:val="004E33EB"/>
    <w:rsid w:val="004E592A"/>
    <w:rsid w:val="004E6CD0"/>
    <w:rsid w:val="004E7B1D"/>
    <w:rsid w:val="004F0377"/>
    <w:rsid w:val="004F1080"/>
    <w:rsid w:val="004F35FB"/>
    <w:rsid w:val="004F3D39"/>
    <w:rsid w:val="004F3EA9"/>
    <w:rsid w:val="004F42F9"/>
    <w:rsid w:val="004F59F0"/>
    <w:rsid w:val="00502069"/>
    <w:rsid w:val="00502183"/>
    <w:rsid w:val="005031A2"/>
    <w:rsid w:val="005033B0"/>
    <w:rsid w:val="00505977"/>
    <w:rsid w:val="00506349"/>
    <w:rsid w:val="005068DB"/>
    <w:rsid w:val="005073F2"/>
    <w:rsid w:val="005105E1"/>
    <w:rsid w:val="005108DC"/>
    <w:rsid w:val="00512B88"/>
    <w:rsid w:val="00513DC4"/>
    <w:rsid w:val="00516C44"/>
    <w:rsid w:val="005177D6"/>
    <w:rsid w:val="005229BB"/>
    <w:rsid w:val="00523F57"/>
    <w:rsid w:val="005264A8"/>
    <w:rsid w:val="00526CE8"/>
    <w:rsid w:val="00530DFE"/>
    <w:rsid w:val="00531076"/>
    <w:rsid w:val="00533874"/>
    <w:rsid w:val="00534C0E"/>
    <w:rsid w:val="00534CBB"/>
    <w:rsid w:val="005359E9"/>
    <w:rsid w:val="00540DE7"/>
    <w:rsid w:val="00543E7B"/>
    <w:rsid w:val="00546B6B"/>
    <w:rsid w:val="00547FBE"/>
    <w:rsid w:val="005533EB"/>
    <w:rsid w:val="00553EF4"/>
    <w:rsid w:val="005540CB"/>
    <w:rsid w:val="00554E55"/>
    <w:rsid w:val="005559E6"/>
    <w:rsid w:val="0055660B"/>
    <w:rsid w:val="005607BD"/>
    <w:rsid w:val="00564850"/>
    <w:rsid w:val="00565FED"/>
    <w:rsid w:val="00566275"/>
    <w:rsid w:val="00566423"/>
    <w:rsid w:val="005669F3"/>
    <w:rsid w:val="00570088"/>
    <w:rsid w:val="00572889"/>
    <w:rsid w:val="0057296E"/>
    <w:rsid w:val="00574C80"/>
    <w:rsid w:val="005754F7"/>
    <w:rsid w:val="00575E00"/>
    <w:rsid w:val="005814B0"/>
    <w:rsid w:val="0058216E"/>
    <w:rsid w:val="00584B7B"/>
    <w:rsid w:val="00587502"/>
    <w:rsid w:val="00590660"/>
    <w:rsid w:val="00592E0E"/>
    <w:rsid w:val="00593E05"/>
    <w:rsid w:val="0059594F"/>
    <w:rsid w:val="00595C95"/>
    <w:rsid w:val="005A03BF"/>
    <w:rsid w:val="005A1ECB"/>
    <w:rsid w:val="005A1FCD"/>
    <w:rsid w:val="005A2CCA"/>
    <w:rsid w:val="005A36E3"/>
    <w:rsid w:val="005A4AAB"/>
    <w:rsid w:val="005A4F95"/>
    <w:rsid w:val="005A58F1"/>
    <w:rsid w:val="005A5D7E"/>
    <w:rsid w:val="005A770B"/>
    <w:rsid w:val="005A78A0"/>
    <w:rsid w:val="005B040D"/>
    <w:rsid w:val="005B1394"/>
    <w:rsid w:val="005B1875"/>
    <w:rsid w:val="005B1CA7"/>
    <w:rsid w:val="005B244F"/>
    <w:rsid w:val="005B2C3E"/>
    <w:rsid w:val="005B2CA4"/>
    <w:rsid w:val="005B2D2A"/>
    <w:rsid w:val="005B32B3"/>
    <w:rsid w:val="005B36CD"/>
    <w:rsid w:val="005B4517"/>
    <w:rsid w:val="005B6FD9"/>
    <w:rsid w:val="005C084B"/>
    <w:rsid w:val="005C3D27"/>
    <w:rsid w:val="005C3D81"/>
    <w:rsid w:val="005C567B"/>
    <w:rsid w:val="005C5745"/>
    <w:rsid w:val="005C5F75"/>
    <w:rsid w:val="005C6EC3"/>
    <w:rsid w:val="005D0B04"/>
    <w:rsid w:val="005D239B"/>
    <w:rsid w:val="005D37DE"/>
    <w:rsid w:val="005D3D2A"/>
    <w:rsid w:val="005D4FF6"/>
    <w:rsid w:val="005D6350"/>
    <w:rsid w:val="005D7719"/>
    <w:rsid w:val="005E35C4"/>
    <w:rsid w:val="005E3730"/>
    <w:rsid w:val="005E3EFA"/>
    <w:rsid w:val="005E3F5A"/>
    <w:rsid w:val="005E467B"/>
    <w:rsid w:val="005E486A"/>
    <w:rsid w:val="005E4E85"/>
    <w:rsid w:val="005E6B70"/>
    <w:rsid w:val="005F1266"/>
    <w:rsid w:val="005F15AC"/>
    <w:rsid w:val="00601475"/>
    <w:rsid w:val="006017A2"/>
    <w:rsid w:val="0060215A"/>
    <w:rsid w:val="0060486E"/>
    <w:rsid w:val="00604CB0"/>
    <w:rsid w:val="00605967"/>
    <w:rsid w:val="00607A15"/>
    <w:rsid w:val="0061155F"/>
    <w:rsid w:val="00611DFD"/>
    <w:rsid w:val="00617DE1"/>
    <w:rsid w:val="00620B00"/>
    <w:rsid w:val="00620B91"/>
    <w:rsid w:val="00621D43"/>
    <w:rsid w:val="006234D2"/>
    <w:rsid w:val="0062464F"/>
    <w:rsid w:val="006249B7"/>
    <w:rsid w:val="0062549C"/>
    <w:rsid w:val="006302BB"/>
    <w:rsid w:val="00630FCE"/>
    <w:rsid w:val="00631B29"/>
    <w:rsid w:val="00635487"/>
    <w:rsid w:val="0064021C"/>
    <w:rsid w:val="006406E3"/>
    <w:rsid w:val="0064336F"/>
    <w:rsid w:val="006435F7"/>
    <w:rsid w:val="00644B59"/>
    <w:rsid w:val="00647CCF"/>
    <w:rsid w:val="00650542"/>
    <w:rsid w:val="0065054A"/>
    <w:rsid w:val="00653037"/>
    <w:rsid w:val="00654B84"/>
    <w:rsid w:val="00654D06"/>
    <w:rsid w:val="0066018F"/>
    <w:rsid w:val="00662AB8"/>
    <w:rsid w:val="006634A1"/>
    <w:rsid w:val="006644CD"/>
    <w:rsid w:val="00666F78"/>
    <w:rsid w:val="00667077"/>
    <w:rsid w:val="00667B79"/>
    <w:rsid w:val="0067162B"/>
    <w:rsid w:val="00676E7B"/>
    <w:rsid w:val="00676EDB"/>
    <w:rsid w:val="00682848"/>
    <w:rsid w:val="00683F64"/>
    <w:rsid w:val="0068405D"/>
    <w:rsid w:val="00684186"/>
    <w:rsid w:val="0068517D"/>
    <w:rsid w:val="00690445"/>
    <w:rsid w:val="00691788"/>
    <w:rsid w:val="00692D1E"/>
    <w:rsid w:val="006931E8"/>
    <w:rsid w:val="0069354E"/>
    <w:rsid w:val="00693B9B"/>
    <w:rsid w:val="00696F2C"/>
    <w:rsid w:val="006A0556"/>
    <w:rsid w:val="006A0B04"/>
    <w:rsid w:val="006A108D"/>
    <w:rsid w:val="006A2256"/>
    <w:rsid w:val="006A2D11"/>
    <w:rsid w:val="006A31F4"/>
    <w:rsid w:val="006A67F3"/>
    <w:rsid w:val="006A69E9"/>
    <w:rsid w:val="006A6BF2"/>
    <w:rsid w:val="006B1E9E"/>
    <w:rsid w:val="006B42B5"/>
    <w:rsid w:val="006B5280"/>
    <w:rsid w:val="006B5653"/>
    <w:rsid w:val="006B5DDA"/>
    <w:rsid w:val="006B78DB"/>
    <w:rsid w:val="006B7DCA"/>
    <w:rsid w:val="006C2487"/>
    <w:rsid w:val="006C38AA"/>
    <w:rsid w:val="006C3979"/>
    <w:rsid w:val="006C443E"/>
    <w:rsid w:val="006C4BFE"/>
    <w:rsid w:val="006C7400"/>
    <w:rsid w:val="006C79A8"/>
    <w:rsid w:val="006D0C5E"/>
    <w:rsid w:val="006D15F9"/>
    <w:rsid w:val="006D2240"/>
    <w:rsid w:val="006D55C2"/>
    <w:rsid w:val="006D5EF7"/>
    <w:rsid w:val="006D5F5B"/>
    <w:rsid w:val="006D6C1E"/>
    <w:rsid w:val="006D70D7"/>
    <w:rsid w:val="006E1709"/>
    <w:rsid w:val="006E2FE7"/>
    <w:rsid w:val="006E6742"/>
    <w:rsid w:val="006F0AEA"/>
    <w:rsid w:val="006F1534"/>
    <w:rsid w:val="006F2A11"/>
    <w:rsid w:val="006F4EA9"/>
    <w:rsid w:val="006F698A"/>
    <w:rsid w:val="00701557"/>
    <w:rsid w:val="00701D89"/>
    <w:rsid w:val="007049AC"/>
    <w:rsid w:val="00705DE6"/>
    <w:rsid w:val="00713A21"/>
    <w:rsid w:val="0071589A"/>
    <w:rsid w:val="0071636D"/>
    <w:rsid w:val="0071651D"/>
    <w:rsid w:val="00721F1C"/>
    <w:rsid w:val="0072207F"/>
    <w:rsid w:val="007220A3"/>
    <w:rsid w:val="00723309"/>
    <w:rsid w:val="00725C5C"/>
    <w:rsid w:val="00726817"/>
    <w:rsid w:val="0072703E"/>
    <w:rsid w:val="007304F0"/>
    <w:rsid w:val="00730694"/>
    <w:rsid w:val="00730D3A"/>
    <w:rsid w:val="007316B2"/>
    <w:rsid w:val="007331C5"/>
    <w:rsid w:val="007354F8"/>
    <w:rsid w:val="00741259"/>
    <w:rsid w:val="00744A4E"/>
    <w:rsid w:val="00745031"/>
    <w:rsid w:val="007450DE"/>
    <w:rsid w:val="00745D68"/>
    <w:rsid w:val="00746CAE"/>
    <w:rsid w:val="00746F8D"/>
    <w:rsid w:val="00747762"/>
    <w:rsid w:val="007530CF"/>
    <w:rsid w:val="007534B1"/>
    <w:rsid w:val="00753968"/>
    <w:rsid w:val="007565F2"/>
    <w:rsid w:val="007631A9"/>
    <w:rsid w:val="00766B6B"/>
    <w:rsid w:val="00767E15"/>
    <w:rsid w:val="007759C5"/>
    <w:rsid w:val="007803D0"/>
    <w:rsid w:val="007807AA"/>
    <w:rsid w:val="007809C4"/>
    <w:rsid w:val="00784BB8"/>
    <w:rsid w:val="00784BD5"/>
    <w:rsid w:val="00784CE5"/>
    <w:rsid w:val="00784D9D"/>
    <w:rsid w:val="00785C17"/>
    <w:rsid w:val="00787221"/>
    <w:rsid w:val="00787EFE"/>
    <w:rsid w:val="0079412E"/>
    <w:rsid w:val="0079461A"/>
    <w:rsid w:val="007958E6"/>
    <w:rsid w:val="00797A2A"/>
    <w:rsid w:val="007A2F90"/>
    <w:rsid w:val="007A3316"/>
    <w:rsid w:val="007A3DFF"/>
    <w:rsid w:val="007A527E"/>
    <w:rsid w:val="007B000C"/>
    <w:rsid w:val="007B1846"/>
    <w:rsid w:val="007B2786"/>
    <w:rsid w:val="007B362B"/>
    <w:rsid w:val="007B4463"/>
    <w:rsid w:val="007B4B61"/>
    <w:rsid w:val="007B5258"/>
    <w:rsid w:val="007B7DD4"/>
    <w:rsid w:val="007C0C2D"/>
    <w:rsid w:val="007C1F6A"/>
    <w:rsid w:val="007C3405"/>
    <w:rsid w:val="007C52D7"/>
    <w:rsid w:val="007D41AC"/>
    <w:rsid w:val="007D4EEF"/>
    <w:rsid w:val="007E0AD9"/>
    <w:rsid w:val="007E4AE0"/>
    <w:rsid w:val="007F2303"/>
    <w:rsid w:val="007F2666"/>
    <w:rsid w:val="007F26CC"/>
    <w:rsid w:val="007F2AFC"/>
    <w:rsid w:val="007F54B5"/>
    <w:rsid w:val="007F5EE4"/>
    <w:rsid w:val="007F72B2"/>
    <w:rsid w:val="00801983"/>
    <w:rsid w:val="00802352"/>
    <w:rsid w:val="00804E70"/>
    <w:rsid w:val="00805173"/>
    <w:rsid w:val="008051A8"/>
    <w:rsid w:val="00806FB4"/>
    <w:rsid w:val="00812360"/>
    <w:rsid w:val="0081423B"/>
    <w:rsid w:val="00814E14"/>
    <w:rsid w:val="008161D2"/>
    <w:rsid w:val="00821FD2"/>
    <w:rsid w:val="00822985"/>
    <w:rsid w:val="008232E3"/>
    <w:rsid w:val="00823D2F"/>
    <w:rsid w:val="00825AD5"/>
    <w:rsid w:val="008262AE"/>
    <w:rsid w:val="0082634B"/>
    <w:rsid w:val="008269FE"/>
    <w:rsid w:val="00826F8D"/>
    <w:rsid w:val="00827E97"/>
    <w:rsid w:val="00830896"/>
    <w:rsid w:val="00835E8C"/>
    <w:rsid w:val="00836004"/>
    <w:rsid w:val="008366A1"/>
    <w:rsid w:val="00841A6C"/>
    <w:rsid w:val="008436AE"/>
    <w:rsid w:val="00843E1A"/>
    <w:rsid w:val="0084443C"/>
    <w:rsid w:val="00845803"/>
    <w:rsid w:val="008502B7"/>
    <w:rsid w:val="0085382C"/>
    <w:rsid w:val="00856567"/>
    <w:rsid w:val="008572AB"/>
    <w:rsid w:val="0085756E"/>
    <w:rsid w:val="008604A8"/>
    <w:rsid w:val="008616C9"/>
    <w:rsid w:val="0086536E"/>
    <w:rsid w:val="00866C2B"/>
    <w:rsid w:val="00867E41"/>
    <w:rsid w:val="00870A3A"/>
    <w:rsid w:val="00872258"/>
    <w:rsid w:val="00875313"/>
    <w:rsid w:val="008756D6"/>
    <w:rsid w:val="00877D26"/>
    <w:rsid w:val="00880211"/>
    <w:rsid w:val="008809A3"/>
    <w:rsid w:val="00882BA5"/>
    <w:rsid w:val="00883F18"/>
    <w:rsid w:val="008857DD"/>
    <w:rsid w:val="00885A22"/>
    <w:rsid w:val="00886B23"/>
    <w:rsid w:val="00886B87"/>
    <w:rsid w:val="00891967"/>
    <w:rsid w:val="00891AA2"/>
    <w:rsid w:val="00891FA2"/>
    <w:rsid w:val="00892612"/>
    <w:rsid w:val="00892734"/>
    <w:rsid w:val="0089316F"/>
    <w:rsid w:val="008931B0"/>
    <w:rsid w:val="00894C99"/>
    <w:rsid w:val="00894D7D"/>
    <w:rsid w:val="00896FAC"/>
    <w:rsid w:val="00897D35"/>
    <w:rsid w:val="008A1D10"/>
    <w:rsid w:val="008A2464"/>
    <w:rsid w:val="008A361B"/>
    <w:rsid w:val="008A553C"/>
    <w:rsid w:val="008A5DFA"/>
    <w:rsid w:val="008A6DCB"/>
    <w:rsid w:val="008A7DAF"/>
    <w:rsid w:val="008B114D"/>
    <w:rsid w:val="008B4224"/>
    <w:rsid w:val="008B4806"/>
    <w:rsid w:val="008B631E"/>
    <w:rsid w:val="008B6F28"/>
    <w:rsid w:val="008C097D"/>
    <w:rsid w:val="008C1367"/>
    <w:rsid w:val="008C303F"/>
    <w:rsid w:val="008C50F0"/>
    <w:rsid w:val="008C6701"/>
    <w:rsid w:val="008C6E4E"/>
    <w:rsid w:val="008D0755"/>
    <w:rsid w:val="008D0B58"/>
    <w:rsid w:val="008D3ABC"/>
    <w:rsid w:val="008D4240"/>
    <w:rsid w:val="008D4CE2"/>
    <w:rsid w:val="008D5A46"/>
    <w:rsid w:val="008E04E1"/>
    <w:rsid w:val="008E1786"/>
    <w:rsid w:val="008E1B90"/>
    <w:rsid w:val="008E2A9B"/>
    <w:rsid w:val="008E32E9"/>
    <w:rsid w:val="008E3A01"/>
    <w:rsid w:val="008E4834"/>
    <w:rsid w:val="008E49E7"/>
    <w:rsid w:val="008E4E7E"/>
    <w:rsid w:val="008E5D31"/>
    <w:rsid w:val="008F1C43"/>
    <w:rsid w:val="008F2964"/>
    <w:rsid w:val="008F2FAB"/>
    <w:rsid w:val="008F7EFB"/>
    <w:rsid w:val="00901B52"/>
    <w:rsid w:val="009027BE"/>
    <w:rsid w:val="0090538F"/>
    <w:rsid w:val="009057FF"/>
    <w:rsid w:val="00905F39"/>
    <w:rsid w:val="00906CB9"/>
    <w:rsid w:val="00911DBF"/>
    <w:rsid w:val="009122AE"/>
    <w:rsid w:val="0091398E"/>
    <w:rsid w:val="00915F0E"/>
    <w:rsid w:val="00916941"/>
    <w:rsid w:val="009206E6"/>
    <w:rsid w:val="00921407"/>
    <w:rsid w:val="009230F0"/>
    <w:rsid w:val="00926034"/>
    <w:rsid w:val="0093417E"/>
    <w:rsid w:val="00937910"/>
    <w:rsid w:val="00940497"/>
    <w:rsid w:val="009404B9"/>
    <w:rsid w:val="00945C7E"/>
    <w:rsid w:val="00946987"/>
    <w:rsid w:val="0095242C"/>
    <w:rsid w:val="0095477A"/>
    <w:rsid w:val="00954E85"/>
    <w:rsid w:val="00956816"/>
    <w:rsid w:val="0096053F"/>
    <w:rsid w:val="00961748"/>
    <w:rsid w:val="009620E7"/>
    <w:rsid w:val="00963BEF"/>
    <w:rsid w:val="00964258"/>
    <w:rsid w:val="00970D21"/>
    <w:rsid w:val="00971B2C"/>
    <w:rsid w:val="00974723"/>
    <w:rsid w:val="0097613D"/>
    <w:rsid w:val="009761E3"/>
    <w:rsid w:val="00976258"/>
    <w:rsid w:val="0097631C"/>
    <w:rsid w:val="0097678E"/>
    <w:rsid w:val="009776F0"/>
    <w:rsid w:val="00977A58"/>
    <w:rsid w:val="009804D7"/>
    <w:rsid w:val="00980D9E"/>
    <w:rsid w:val="00983166"/>
    <w:rsid w:val="00984352"/>
    <w:rsid w:val="00985345"/>
    <w:rsid w:val="00987043"/>
    <w:rsid w:val="00993107"/>
    <w:rsid w:val="0099501E"/>
    <w:rsid w:val="009962CA"/>
    <w:rsid w:val="00996524"/>
    <w:rsid w:val="009A15B5"/>
    <w:rsid w:val="009A2539"/>
    <w:rsid w:val="009A384A"/>
    <w:rsid w:val="009A39E4"/>
    <w:rsid w:val="009A511D"/>
    <w:rsid w:val="009A5296"/>
    <w:rsid w:val="009A5B05"/>
    <w:rsid w:val="009A60B9"/>
    <w:rsid w:val="009A74A9"/>
    <w:rsid w:val="009A7821"/>
    <w:rsid w:val="009B122A"/>
    <w:rsid w:val="009B13DC"/>
    <w:rsid w:val="009B176B"/>
    <w:rsid w:val="009B3515"/>
    <w:rsid w:val="009B6895"/>
    <w:rsid w:val="009B76B1"/>
    <w:rsid w:val="009B7C97"/>
    <w:rsid w:val="009C048D"/>
    <w:rsid w:val="009C1E8C"/>
    <w:rsid w:val="009C208E"/>
    <w:rsid w:val="009C2856"/>
    <w:rsid w:val="009C340D"/>
    <w:rsid w:val="009C68DC"/>
    <w:rsid w:val="009C710C"/>
    <w:rsid w:val="009C771D"/>
    <w:rsid w:val="009C7BF8"/>
    <w:rsid w:val="009D02D9"/>
    <w:rsid w:val="009D1BD1"/>
    <w:rsid w:val="009D475F"/>
    <w:rsid w:val="009D75FD"/>
    <w:rsid w:val="009E2182"/>
    <w:rsid w:val="009E2943"/>
    <w:rsid w:val="009E3CB7"/>
    <w:rsid w:val="009E6F86"/>
    <w:rsid w:val="009E79FF"/>
    <w:rsid w:val="009F2F7F"/>
    <w:rsid w:val="009F5C94"/>
    <w:rsid w:val="009F68E2"/>
    <w:rsid w:val="009F753F"/>
    <w:rsid w:val="009F7B71"/>
    <w:rsid w:val="00A01C9B"/>
    <w:rsid w:val="00A045EE"/>
    <w:rsid w:val="00A053DC"/>
    <w:rsid w:val="00A0639C"/>
    <w:rsid w:val="00A068F0"/>
    <w:rsid w:val="00A072A9"/>
    <w:rsid w:val="00A0741E"/>
    <w:rsid w:val="00A115F6"/>
    <w:rsid w:val="00A12244"/>
    <w:rsid w:val="00A1256B"/>
    <w:rsid w:val="00A15334"/>
    <w:rsid w:val="00A17BE8"/>
    <w:rsid w:val="00A202C1"/>
    <w:rsid w:val="00A20815"/>
    <w:rsid w:val="00A22DAF"/>
    <w:rsid w:val="00A23DB6"/>
    <w:rsid w:val="00A3261D"/>
    <w:rsid w:val="00A32D30"/>
    <w:rsid w:val="00A34075"/>
    <w:rsid w:val="00A3535D"/>
    <w:rsid w:val="00A35D3B"/>
    <w:rsid w:val="00A35FAC"/>
    <w:rsid w:val="00A36CAD"/>
    <w:rsid w:val="00A36D37"/>
    <w:rsid w:val="00A36F3B"/>
    <w:rsid w:val="00A411A2"/>
    <w:rsid w:val="00A43A73"/>
    <w:rsid w:val="00A476B0"/>
    <w:rsid w:val="00A504FD"/>
    <w:rsid w:val="00A50649"/>
    <w:rsid w:val="00A52815"/>
    <w:rsid w:val="00A538CB"/>
    <w:rsid w:val="00A54490"/>
    <w:rsid w:val="00A606E0"/>
    <w:rsid w:val="00A61189"/>
    <w:rsid w:val="00A62661"/>
    <w:rsid w:val="00A672E3"/>
    <w:rsid w:val="00A67E40"/>
    <w:rsid w:val="00A712E1"/>
    <w:rsid w:val="00A72C32"/>
    <w:rsid w:val="00A72C4D"/>
    <w:rsid w:val="00A73588"/>
    <w:rsid w:val="00A74A6B"/>
    <w:rsid w:val="00A7553E"/>
    <w:rsid w:val="00A76FF3"/>
    <w:rsid w:val="00A83B83"/>
    <w:rsid w:val="00A84C19"/>
    <w:rsid w:val="00A9019C"/>
    <w:rsid w:val="00A92C76"/>
    <w:rsid w:val="00A931CC"/>
    <w:rsid w:val="00A960BE"/>
    <w:rsid w:val="00A96AF4"/>
    <w:rsid w:val="00AA23AF"/>
    <w:rsid w:val="00AA2C37"/>
    <w:rsid w:val="00AA322C"/>
    <w:rsid w:val="00AA5BF4"/>
    <w:rsid w:val="00AA654B"/>
    <w:rsid w:val="00AB0AE3"/>
    <w:rsid w:val="00AB1FAB"/>
    <w:rsid w:val="00AB3189"/>
    <w:rsid w:val="00AB37F8"/>
    <w:rsid w:val="00AB3F3D"/>
    <w:rsid w:val="00AB4EB8"/>
    <w:rsid w:val="00AB57CD"/>
    <w:rsid w:val="00AB5CFF"/>
    <w:rsid w:val="00AB6086"/>
    <w:rsid w:val="00AC1E2B"/>
    <w:rsid w:val="00AC2DC4"/>
    <w:rsid w:val="00AC4561"/>
    <w:rsid w:val="00AC486F"/>
    <w:rsid w:val="00AC5462"/>
    <w:rsid w:val="00AD1E2A"/>
    <w:rsid w:val="00AD1F60"/>
    <w:rsid w:val="00AD2BB9"/>
    <w:rsid w:val="00AD4323"/>
    <w:rsid w:val="00AD435B"/>
    <w:rsid w:val="00AD4E55"/>
    <w:rsid w:val="00AD5AD1"/>
    <w:rsid w:val="00AE020F"/>
    <w:rsid w:val="00AE1A77"/>
    <w:rsid w:val="00AE208C"/>
    <w:rsid w:val="00AE2976"/>
    <w:rsid w:val="00AE40B1"/>
    <w:rsid w:val="00AE6771"/>
    <w:rsid w:val="00AE679E"/>
    <w:rsid w:val="00AE7BE4"/>
    <w:rsid w:val="00AF1848"/>
    <w:rsid w:val="00AF3F0B"/>
    <w:rsid w:val="00AF424A"/>
    <w:rsid w:val="00AF452E"/>
    <w:rsid w:val="00AF4738"/>
    <w:rsid w:val="00AF79DD"/>
    <w:rsid w:val="00B00117"/>
    <w:rsid w:val="00B00716"/>
    <w:rsid w:val="00B0459E"/>
    <w:rsid w:val="00B04F88"/>
    <w:rsid w:val="00B05A42"/>
    <w:rsid w:val="00B07AFC"/>
    <w:rsid w:val="00B106FA"/>
    <w:rsid w:val="00B11CFA"/>
    <w:rsid w:val="00B14470"/>
    <w:rsid w:val="00B15A73"/>
    <w:rsid w:val="00B16503"/>
    <w:rsid w:val="00B17E15"/>
    <w:rsid w:val="00B20977"/>
    <w:rsid w:val="00B21067"/>
    <w:rsid w:val="00B2174E"/>
    <w:rsid w:val="00B23224"/>
    <w:rsid w:val="00B23F7B"/>
    <w:rsid w:val="00B2523C"/>
    <w:rsid w:val="00B27CBF"/>
    <w:rsid w:val="00B30BF8"/>
    <w:rsid w:val="00B31076"/>
    <w:rsid w:val="00B3501C"/>
    <w:rsid w:val="00B36134"/>
    <w:rsid w:val="00B36629"/>
    <w:rsid w:val="00B3786F"/>
    <w:rsid w:val="00B41128"/>
    <w:rsid w:val="00B4166B"/>
    <w:rsid w:val="00B42247"/>
    <w:rsid w:val="00B42996"/>
    <w:rsid w:val="00B44DCA"/>
    <w:rsid w:val="00B4628D"/>
    <w:rsid w:val="00B50307"/>
    <w:rsid w:val="00B50533"/>
    <w:rsid w:val="00B5548E"/>
    <w:rsid w:val="00B6132A"/>
    <w:rsid w:val="00B61E43"/>
    <w:rsid w:val="00B62016"/>
    <w:rsid w:val="00B620C7"/>
    <w:rsid w:val="00B6229E"/>
    <w:rsid w:val="00B62737"/>
    <w:rsid w:val="00B6363F"/>
    <w:rsid w:val="00B6377C"/>
    <w:rsid w:val="00B63E09"/>
    <w:rsid w:val="00B652A9"/>
    <w:rsid w:val="00B665F9"/>
    <w:rsid w:val="00B6724F"/>
    <w:rsid w:val="00B67753"/>
    <w:rsid w:val="00B7073B"/>
    <w:rsid w:val="00B74804"/>
    <w:rsid w:val="00B75DD6"/>
    <w:rsid w:val="00B75F3B"/>
    <w:rsid w:val="00B76951"/>
    <w:rsid w:val="00B8014B"/>
    <w:rsid w:val="00B82AE6"/>
    <w:rsid w:val="00B82C20"/>
    <w:rsid w:val="00B83858"/>
    <w:rsid w:val="00B84BEE"/>
    <w:rsid w:val="00B84ECC"/>
    <w:rsid w:val="00B85759"/>
    <w:rsid w:val="00B869DD"/>
    <w:rsid w:val="00B87302"/>
    <w:rsid w:val="00B87E39"/>
    <w:rsid w:val="00B91292"/>
    <w:rsid w:val="00B94BE2"/>
    <w:rsid w:val="00B96FF3"/>
    <w:rsid w:val="00B9738D"/>
    <w:rsid w:val="00BA185E"/>
    <w:rsid w:val="00BA2182"/>
    <w:rsid w:val="00BA31E6"/>
    <w:rsid w:val="00BB3966"/>
    <w:rsid w:val="00BB41DD"/>
    <w:rsid w:val="00BB4513"/>
    <w:rsid w:val="00BB455C"/>
    <w:rsid w:val="00BB4C30"/>
    <w:rsid w:val="00BB74B0"/>
    <w:rsid w:val="00BB7BFC"/>
    <w:rsid w:val="00BB7DEA"/>
    <w:rsid w:val="00BC2150"/>
    <w:rsid w:val="00BC7960"/>
    <w:rsid w:val="00BD083E"/>
    <w:rsid w:val="00BD1236"/>
    <w:rsid w:val="00BD170B"/>
    <w:rsid w:val="00BD3C1C"/>
    <w:rsid w:val="00BD532E"/>
    <w:rsid w:val="00BD66E3"/>
    <w:rsid w:val="00BD6C2E"/>
    <w:rsid w:val="00BE0A90"/>
    <w:rsid w:val="00BE226F"/>
    <w:rsid w:val="00BE2CD3"/>
    <w:rsid w:val="00BE3231"/>
    <w:rsid w:val="00BE4248"/>
    <w:rsid w:val="00BE47C0"/>
    <w:rsid w:val="00BE6341"/>
    <w:rsid w:val="00BE6C30"/>
    <w:rsid w:val="00BF0008"/>
    <w:rsid w:val="00BF08A3"/>
    <w:rsid w:val="00BF1DAF"/>
    <w:rsid w:val="00BF211E"/>
    <w:rsid w:val="00BF23EF"/>
    <w:rsid w:val="00BF58BD"/>
    <w:rsid w:val="00C010EB"/>
    <w:rsid w:val="00C05E82"/>
    <w:rsid w:val="00C0670A"/>
    <w:rsid w:val="00C07A4F"/>
    <w:rsid w:val="00C10F15"/>
    <w:rsid w:val="00C11D8D"/>
    <w:rsid w:val="00C1310D"/>
    <w:rsid w:val="00C13CA1"/>
    <w:rsid w:val="00C143D9"/>
    <w:rsid w:val="00C14F9A"/>
    <w:rsid w:val="00C15B01"/>
    <w:rsid w:val="00C15FCD"/>
    <w:rsid w:val="00C16E3C"/>
    <w:rsid w:val="00C179DD"/>
    <w:rsid w:val="00C17AA0"/>
    <w:rsid w:val="00C203AB"/>
    <w:rsid w:val="00C20BAB"/>
    <w:rsid w:val="00C22CC1"/>
    <w:rsid w:val="00C248EF"/>
    <w:rsid w:val="00C25187"/>
    <w:rsid w:val="00C26051"/>
    <w:rsid w:val="00C2646D"/>
    <w:rsid w:val="00C27E8E"/>
    <w:rsid w:val="00C321E1"/>
    <w:rsid w:val="00C36D7B"/>
    <w:rsid w:val="00C37F38"/>
    <w:rsid w:val="00C41412"/>
    <w:rsid w:val="00C4498E"/>
    <w:rsid w:val="00C4569E"/>
    <w:rsid w:val="00C46D55"/>
    <w:rsid w:val="00C4739C"/>
    <w:rsid w:val="00C52AF9"/>
    <w:rsid w:val="00C52C82"/>
    <w:rsid w:val="00C52CE4"/>
    <w:rsid w:val="00C54181"/>
    <w:rsid w:val="00C54422"/>
    <w:rsid w:val="00C57995"/>
    <w:rsid w:val="00C602AE"/>
    <w:rsid w:val="00C62EF9"/>
    <w:rsid w:val="00C63E82"/>
    <w:rsid w:val="00C65BAF"/>
    <w:rsid w:val="00C66C5B"/>
    <w:rsid w:val="00C70076"/>
    <w:rsid w:val="00C703BF"/>
    <w:rsid w:val="00C70F37"/>
    <w:rsid w:val="00C71A05"/>
    <w:rsid w:val="00C756B7"/>
    <w:rsid w:val="00C75FB4"/>
    <w:rsid w:val="00C76B82"/>
    <w:rsid w:val="00C77550"/>
    <w:rsid w:val="00C804AE"/>
    <w:rsid w:val="00C80BC1"/>
    <w:rsid w:val="00C823A7"/>
    <w:rsid w:val="00C834BE"/>
    <w:rsid w:val="00C839C8"/>
    <w:rsid w:val="00C8506E"/>
    <w:rsid w:val="00C8550F"/>
    <w:rsid w:val="00C8561F"/>
    <w:rsid w:val="00C85A53"/>
    <w:rsid w:val="00C908A8"/>
    <w:rsid w:val="00C9169B"/>
    <w:rsid w:val="00C9169E"/>
    <w:rsid w:val="00C91F41"/>
    <w:rsid w:val="00C94904"/>
    <w:rsid w:val="00C96C65"/>
    <w:rsid w:val="00C97A11"/>
    <w:rsid w:val="00CA09C3"/>
    <w:rsid w:val="00CA13DA"/>
    <w:rsid w:val="00CA1551"/>
    <w:rsid w:val="00CA15A1"/>
    <w:rsid w:val="00CA182D"/>
    <w:rsid w:val="00CA18A3"/>
    <w:rsid w:val="00CA275A"/>
    <w:rsid w:val="00CA4154"/>
    <w:rsid w:val="00CA5FC7"/>
    <w:rsid w:val="00CA74BD"/>
    <w:rsid w:val="00CB2F96"/>
    <w:rsid w:val="00CB30C3"/>
    <w:rsid w:val="00CB3C10"/>
    <w:rsid w:val="00CB6F8F"/>
    <w:rsid w:val="00CB725D"/>
    <w:rsid w:val="00CB797E"/>
    <w:rsid w:val="00CC28E6"/>
    <w:rsid w:val="00CC3DDC"/>
    <w:rsid w:val="00CC3F08"/>
    <w:rsid w:val="00CC478E"/>
    <w:rsid w:val="00CC7B42"/>
    <w:rsid w:val="00CD2124"/>
    <w:rsid w:val="00CD2888"/>
    <w:rsid w:val="00CD2F06"/>
    <w:rsid w:val="00CE187D"/>
    <w:rsid w:val="00CE22D8"/>
    <w:rsid w:val="00CE3272"/>
    <w:rsid w:val="00CE48A0"/>
    <w:rsid w:val="00CE6166"/>
    <w:rsid w:val="00CE65DB"/>
    <w:rsid w:val="00CE6634"/>
    <w:rsid w:val="00CF0B30"/>
    <w:rsid w:val="00CF1854"/>
    <w:rsid w:val="00CF3CD5"/>
    <w:rsid w:val="00CF4108"/>
    <w:rsid w:val="00D00FEB"/>
    <w:rsid w:val="00D02BE2"/>
    <w:rsid w:val="00D056DD"/>
    <w:rsid w:val="00D059A6"/>
    <w:rsid w:val="00D06850"/>
    <w:rsid w:val="00D06F98"/>
    <w:rsid w:val="00D06FAF"/>
    <w:rsid w:val="00D07130"/>
    <w:rsid w:val="00D07182"/>
    <w:rsid w:val="00D07D65"/>
    <w:rsid w:val="00D11B4E"/>
    <w:rsid w:val="00D13802"/>
    <w:rsid w:val="00D227A5"/>
    <w:rsid w:val="00D23B81"/>
    <w:rsid w:val="00D24B79"/>
    <w:rsid w:val="00D2546F"/>
    <w:rsid w:val="00D277CB"/>
    <w:rsid w:val="00D30F9A"/>
    <w:rsid w:val="00D32326"/>
    <w:rsid w:val="00D341E9"/>
    <w:rsid w:val="00D35EC9"/>
    <w:rsid w:val="00D439C6"/>
    <w:rsid w:val="00D45ACE"/>
    <w:rsid w:val="00D46891"/>
    <w:rsid w:val="00D47258"/>
    <w:rsid w:val="00D479E6"/>
    <w:rsid w:val="00D505A5"/>
    <w:rsid w:val="00D60502"/>
    <w:rsid w:val="00D61BEF"/>
    <w:rsid w:val="00D62631"/>
    <w:rsid w:val="00D63031"/>
    <w:rsid w:val="00D65448"/>
    <w:rsid w:val="00D666DA"/>
    <w:rsid w:val="00D6684D"/>
    <w:rsid w:val="00D66FF0"/>
    <w:rsid w:val="00D70382"/>
    <w:rsid w:val="00D7509B"/>
    <w:rsid w:val="00D75A20"/>
    <w:rsid w:val="00D76E03"/>
    <w:rsid w:val="00D76F2D"/>
    <w:rsid w:val="00D779E9"/>
    <w:rsid w:val="00D81D74"/>
    <w:rsid w:val="00D82602"/>
    <w:rsid w:val="00D9045F"/>
    <w:rsid w:val="00D91562"/>
    <w:rsid w:val="00D92B3F"/>
    <w:rsid w:val="00D9501A"/>
    <w:rsid w:val="00D951E8"/>
    <w:rsid w:val="00D95A3B"/>
    <w:rsid w:val="00DA0F2B"/>
    <w:rsid w:val="00DA3F61"/>
    <w:rsid w:val="00DA5357"/>
    <w:rsid w:val="00DA5762"/>
    <w:rsid w:val="00DB0DA2"/>
    <w:rsid w:val="00DB1242"/>
    <w:rsid w:val="00DB20B0"/>
    <w:rsid w:val="00DB3E61"/>
    <w:rsid w:val="00DB4123"/>
    <w:rsid w:val="00DB6292"/>
    <w:rsid w:val="00DB7C4F"/>
    <w:rsid w:val="00DB7DA7"/>
    <w:rsid w:val="00DC0B31"/>
    <w:rsid w:val="00DC0E2D"/>
    <w:rsid w:val="00DC1292"/>
    <w:rsid w:val="00DC2741"/>
    <w:rsid w:val="00DC5512"/>
    <w:rsid w:val="00DC5623"/>
    <w:rsid w:val="00DC7973"/>
    <w:rsid w:val="00DD1AEA"/>
    <w:rsid w:val="00DD2446"/>
    <w:rsid w:val="00DD26C8"/>
    <w:rsid w:val="00DD3929"/>
    <w:rsid w:val="00DD3BFB"/>
    <w:rsid w:val="00DD4A4E"/>
    <w:rsid w:val="00DD5F69"/>
    <w:rsid w:val="00DD7081"/>
    <w:rsid w:val="00DD7795"/>
    <w:rsid w:val="00DE043B"/>
    <w:rsid w:val="00DE1827"/>
    <w:rsid w:val="00DE39DA"/>
    <w:rsid w:val="00DE6437"/>
    <w:rsid w:val="00DE6CC1"/>
    <w:rsid w:val="00DE6DF9"/>
    <w:rsid w:val="00DE71DC"/>
    <w:rsid w:val="00DE76B7"/>
    <w:rsid w:val="00DE7F66"/>
    <w:rsid w:val="00DF1504"/>
    <w:rsid w:val="00DF4072"/>
    <w:rsid w:val="00DF4379"/>
    <w:rsid w:val="00DF65B9"/>
    <w:rsid w:val="00DF6E87"/>
    <w:rsid w:val="00E000DB"/>
    <w:rsid w:val="00E0023A"/>
    <w:rsid w:val="00E0023E"/>
    <w:rsid w:val="00E00BA0"/>
    <w:rsid w:val="00E0186F"/>
    <w:rsid w:val="00E03859"/>
    <w:rsid w:val="00E03EA3"/>
    <w:rsid w:val="00E04D16"/>
    <w:rsid w:val="00E10719"/>
    <w:rsid w:val="00E127A3"/>
    <w:rsid w:val="00E2424D"/>
    <w:rsid w:val="00E24DDA"/>
    <w:rsid w:val="00E253AD"/>
    <w:rsid w:val="00E26812"/>
    <w:rsid w:val="00E2726C"/>
    <w:rsid w:val="00E305E7"/>
    <w:rsid w:val="00E306C7"/>
    <w:rsid w:val="00E30BDE"/>
    <w:rsid w:val="00E31D4D"/>
    <w:rsid w:val="00E322D0"/>
    <w:rsid w:val="00E34CEF"/>
    <w:rsid w:val="00E3550A"/>
    <w:rsid w:val="00E36E8F"/>
    <w:rsid w:val="00E417F8"/>
    <w:rsid w:val="00E42DEF"/>
    <w:rsid w:val="00E4353B"/>
    <w:rsid w:val="00E436F3"/>
    <w:rsid w:val="00E43C02"/>
    <w:rsid w:val="00E4668E"/>
    <w:rsid w:val="00E50A13"/>
    <w:rsid w:val="00E5320E"/>
    <w:rsid w:val="00E53B1C"/>
    <w:rsid w:val="00E56B65"/>
    <w:rsid w:val="00E5765F"/>
    <w:rsid w:val="00E57C41"/>
    <w:rsid w:val="00E60EC4"/>
    <w:rsid w:val="00E611B8"/>
    <w:rsid w:val="00E61861"/>
    <w:rsid w:val="00E65520"/>
    <w:rsid w:val="00E6566D"/>
    <w:rsid w:val="00E65BE5"/>
    <w:rsid w:val="00E66853"/>
    <w:rsid w:val="00E67900"/>
    <w:rsid w:val="00E70E3F"/>
    <w:rsid w:val="00E70FCE"/>
    <w:rsid w:val="00E738F1"/>
    <w:rsid w:val="00E74956"/>
    <w:rsid w:val="00E74F76"/>
    <w:rsid w:val="00E75631"/>
    <w:rsid w:val="00E7703D"/>
    <w:rsid w:val="00E808ED"/>
    <w:rsid w:val="00E815E4"/>
    <w:rsid w:val="00E8238F"/>
    <w:rsid w:val="00E842C7"/>
    <w:rsid w:val="00E84D8E"/>
    <w:rsid w:val="00E8529A"/>
    <w:rsid w:val="00E85BFD"/>
    <w:rsid w:val="00E87C5B"/>
    <w:rsid w:val="00E906C9"/>
    <w:rsid w:val="00E93DBD"/>
    <w:rsid w:val="00E94FF9"/>
    <w:rsid w:val="00E954E8"/>
    <w:rsid w:val="00E96D2B"/>
    <w:rsid w:val="00EA05CC"/>
    <w:rsid w:val="00EA0660"/>
    <w:rsid w:val="00EA09A7"/>
    <w:rsid w:val="00EA11F9"/>
    <w:rsid w:val="00EA1C05"/>
    <w:rsid w:val="00EA1D85"/>
    <w:rsid w:val="00EA21D6"/>
    <w:rsid w:val="00EA2A24"/>
    <w:rsid w:val="00EA2F7C"/>
    <w:rsid w:val="00EA35FD"/>
    <w:rsid w:val="00EA5B24"/>
    <w:rsid w:val="00EA6F02"/>
    <w:rsid w:val="00EB1504"/>
    <w:rsid w:val="00EB2A87"/>
    <w:rsid w:val="00EB4348"/>
    <w:rsid w:val="00EB519B"/>
    <w:rsid w:val="00EC01BE"/>
    <w:rsid w:val="00EC0EC9"/>
    <w:rsid w:val="00EC11D4"/>
    <w:rsid w:val="00EC1561"/>
    <w:rsid w:val="00EC6BE2"/>
    <w:rsid w:val="00ED03ED"/>
    <w:rsid w:val="00ED04F1"/>
    <w:rsid w:val="00ED1D67"/>
    <w:rsid w:val="00ED21A1"/>
    <w:rsid w:val="00ED2403"/>
    <w:rsid w:val="00ED3439"/>
    <w:rsid w:val="00ED533A"/>
    <w:rsid w:val="00ED63C5"/>
    <w:rsid w:val="00ED670B"/>
    <w:rsid w:val="00ED7445"/>
    <w:rsid w:val="00EE0E0A"/>
    <w:rsid w:val="00EE17D3"/>
    <w:rsid w:val="00EE1803"/>
    <w:rsid w:val="00EE2307"/>
    <w:rsid w:val="00EE2324"/>
    <w:rsid w:val="00EE27B6"/>
    <w:rsid w:val="00EE41A3"/>
    <w:rsid w:val="00EE55B0"/>
    <w:rsid w:val="00EE5633"/>
    <w:rsid w:val="00EE6D56"/>
    <w:rsid w:val="00EF2A46"/>
    <w:rsid w:val="00EF35FA"/>
    <w:rsid w:val="00EF3E14"/>
    <w:rsid w:val="00EF53FC"/>
    <w:rsid w:val="00EF7E18"/>
    <w:rsid w:val="00F0071F"/>
    <w:rsid w:val="00F01D7F"/>
    <w:rsid w:val="00F020A2"/>
    <w:rsid w:val="00F028FF"/>
    <w:rsid w:val="00F02B41"/>
    <w:rsid w:val="00F06C00"/>
    <w:rsid w:val="00F06F45"/>
    <w:rsid w:val="00F071CC"/>
    <w:rsid w:val="00F116DF"/>
    <w:rsid w:val="00F12BFC"/>
    <w:rsid w:val="00F133C4"/>
    <w:rsid w:val="00F13C53"/>
    <w:rsid w:val="00F14E9A"/>
    <w:rsid w:val="00F14F60"/>
    <w:rsid w:val="00F15BB4"/>
    <w:rsid w:val="00F15C11"/>
    <w:rsid w:val="00F16A1E"/>
    <w:rsid w:val="00F226A5"/>
    <w:rsid w:val="00F241E9"/>
    <w:rsid w:val="00F24DCE"/>
    <w:rsid w:val="00F2520C"/>
    <w:rsid w:val="00F253D8"/>
    <w:rsid w:val="00F274B0"/>
    <w:rsid w:val="00F27709"/>
    <w:rsid w:val="00F32345"/>
    <w:rsid w:val="00F32948"/>
    <w:rsid w:val="00F33439"/>
    <w:rsid w:val="00F36C86"/>
    <w:rsid w:val="00F417FE"/>
    <w:rsid w:val="00F42AC5"/>
    <w:rsid w:val="00F43068"/>
    <w:rsid w:val="00F43461"/>
    <w:rsid w:val="00F443EE"/>
    <w:rsid w:val="00F447B7"/>
    <w:rsid w:val="00F46C28"/>
    <w:rsid w:val="00F51E02"/>
    <w:rsid w:val="00F53462"/>
    <w:rsid w:val="00F535DD"/>
    <w:rsid w:val="00F53751"/>
    <w:rsid w:val="00F53D61"/>
    <w:rsid w:val="00F55004"/>
    <w:rsid w:val="00F559A5"/>
    <w:rsid w:val="00F56345"/>
    <w:rsid w:val="00F60BAD"/>
    <w:rsid w:val="00F67031"/>
    <w:rsid w:val="00F71A95"/>
    <w:rsid w:val="00F7343F"/>
    <w:rsid w:val="00F745BF"/>
    <w:rsid w:val="00F75FAF"/>
    <w:rsid w:val="00F812D6"/>
    <w:rsid w:val="00F820AD"/>
    <w:rsid w:val="00F822DF"/>
    <w:rsid w:val="00F82FC0"/>
    <w:rsid w:val="00F92299"/>
    <w:rsid w:val="00F92C14"/>
    <w:rsid w:val="00F93D50"/>
    <w:rsid w:val="00F95EDF"/>
    <w:rsid w:val="00F97152"/>
    <w:rsid w:val="00FA24D6"/>
    <w:rsid w:val="00FA3320"/>
    <w:rsid w:val="00FA3A2B"/>
    <w:rsid w:val="00FA4C42"/>
    <w:rsid w:val="00FA5949"/>
    <w:rsid w:val="00FA65A5"/>
    <w:rsid w:val="00FB02C6"/>
    <w:rsid w:val="00FB19E0"/>
    <w:rsid w:val="00FB3B11"/>
    <w:rsid w:val="00FB46F1"/>
    <w:rsid w:val="00FB46FA"/>
    <w:rsid w:val="00FB4AA8"/>
    <w:rsid w:val="00FB4B46"/>
    <w:rsid w:val="00FB4B98"/>
    <w:rsid w:val="00FB4F7F"/>
    <w:rsid w:val="00FB5B4D"/>
    <w:rsid w:val="00FB7AEC"/>
    <w:rsid w:val="00FB7F80"/>
    <w:rsid w:val="00FC09C2"/>
    <w:rsid w:val="00FC28DD"/>
    <w:rsid w:val="00FC609C"/>
    <w:rsid w:val="00FC7285"/>
    <w:rsid w:val="00FC7361"/>
    <w:rsid w:val="00FD11A0"/>
    <w:rsid w:val="00FD183C"/>
    <w:rsid w:val="00FD1966"/>
    <w:rsid w:val="00FD1B85"/>
    <w:rsid w:val="00FD5450"/>
    <w:rsid w:val="00FD6221"/>
    <w:rsid w:val="00FD72D9"/>
    <w:rsid w:val="00FD7829"/>
    <w:rsid w:val="00FE0977"/>
    <w:rsid w:val="00FE1E2E"/>
    <w:rsid w:val="00FE20C7"/>
    <w:rsid w:val="00FF00AE"/>
    <w:rsid w:val="00FF0FC7"/>
    <w:rsid w:val="00FF1229"/>
    <w:rsid w:val="00FF24B3"/>
    <w:rsid w:val="00FF6322"/>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8F0D8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28DB"/>
    <w:rPr>
      <w:sz w:val="24"/>
      <w:szCs w:val="24"/>
      <w:lang w:val="es-CO" w:eastAsia="es-ES"/>
    </w:rPr>
  </w:style>
  <w:style w:type="paragraph" w:styleId="Ttulo1">
    <w:name w:val="heading 1"/>
    <w:aliases w:val="ARTICULO 1º,Negrita"/>
    <w:basedOn w:val="Normal"/>
    <w:next w:val="Normal"/>
    <w:qFormat/>
    <w:rsid w:val="002628DB"/>
    <w:pPr>
      <w:keepNext/>
      <w:jc w:val="both"/>
      <w:outlineLvl w:val="0"/>
    </w:pPr>
    <w:rPr>
      <w:szCs w:val="20"/>
      <w:lang w:val="es-MX"/>
    </w:rPr>
  </w:style>
  <w:style w:type="paragraph" w:styleId="Ttulo2">
    <w:name w:val="heading 2"/>
    <w:basedOn w:val="Normal"/>
    <w:next w:val="Normal"/>
    <w:link w:val="Ttulo2Car"/>
    <w:uiPriority w:val="9"/>
    <w:semiHidden/>
    <w:unhideWhenUsed/>
    <w:qFormat/>
    <w:rsid w:val="001F57D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1F57DA"/>
    <w:pPr>
      <w:keepNext/>
      <w:keepLines/>
      <w:spacing w:before="40"/>
      <w:outlineLvl w:val="2"/>
    </w:pPr>
    <w:rPr>
      <w:rFonts w:asciiTheme="majorHAnsi" w:eastAsiaTheme="majorEastAsia" w:hAnsiTheme="majorHAnsi" w:cstheme="majorBidi"/>
      <w:color w:val="243F60" w:themeColor="accent1" w:themeShade="7F"/>
    </w:rPr>
  </w:style>
  <w:style w:type="paragraph" w:styleId="Ttulo5">
    <w:name w:val="heading 5"/>
    <w:basedOn w:val="Normal"/>
    <w:next w:val="Normal"/>
    <w:qFormat/>
    <w:rsid w:val="00F15C11"/>
    <w:pPr>
      <w:spacing w:before="240" w:after="60"/>
      <w:outlineLvl w:val="4"/>
    </w:pPr>
    <w:rPr>
      <w:b/>
      <w:bCs/>
      <w:i/>
      <w:i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ivel1">
    <w:name w:val="Nivel1"/>
    <w:basedOn w:val="Normal"/>
    <w:next w:val="Normal"/>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rsid w:val="002628DB"/>
    <w:pPr>
      <w:numPr>
        <w:ilvl w:val="2"/>
        <w:numId w:val="1"/>
      </w:numPr>
      <w:spacing w:before="240" w:after="120"/>
      <w:jc w:val="both"/>
    </w:pPr>
    <w:rPr>
      <w:rFonts w:ascii="Arial" w:hAnsi="Arial"/>
      <w:szCs w:val="20"/>
    </w:rPr>
  </w:style>
  <w:style w:type="paragraph" w:customStyle="1" w:styleId="Nivel4">
    <w:name w:val="Nivel4"/>
    <w:basedOn w:val="Normal"/>
    <w:rsid w:val="002628DB"/>
    <w:pPr>
      <w:numPr>
        <w:ilvl w:val="3"/>
        <w:numId w:val="1"/>
      </w:numPr>
      <w:spacing w:before="120" w:after="120"/>
      <w:jc w:val="both"/>
    </w:pPr>
    <w:rPr>
      <w:rFonts w:ascii="Arial" w:hAnsi="Arial"/>
      <w:szCs w:val="20"/>
    </w:rPr>
  </w:style>
  <w:style w:type="paragraph" w:customStyle="1" w:styleId="Nivel5">
    <w:name w:val="Nivel5"/>
    <w:basedOn w:val="Normal"/>
    <w:rsid w:val="002628DB"/>
    <w:pPr>
      <w:numPr>
        <w:ilvl w:val="4"/>
        <w:numId w:val="1"/>
      </w:numPr>
      <w:spacing w:before="120" w:after="120"/>
      <w:jc w:val="both"/>
    </w:pPr>
    <w:rPr>
      <w:rFonts w:ascii="Arial" w:hAnsi="Arial"/>
      <w:szCs w:val="20"/>
    </w:rPr>
  </w:style>
  <w:style w:type="paragraph" w:styleId="Encabezado">
    <w:name w:val="header"/>
    <w:basedOn w:val="Normal"/>
    <w:link w:val="EncabezadoCar"/>
    <w:uiPriority w:val="99"/>
    <w:rsid w:val="002628DB"/>
    <w:pPr>
      <w:tabs>
        <w:tab w:val="center" w:pos="4252"/>
        <w:tab w:val="right" w:pos="8504"/>
      </w:tabs>
    </w:pPr>
  </w:style>
  <w:style w:type="paragraph" w:styleId="Piedepgina">
    <w:name w:val="footer"/>
    <w:basedOn w:val="Normal"/>
    <w:link w:val="PiedepginaCar"/>
    <w:uiPriority w:val="99"/>
    <w:rsid w:val="002628DB"/>
    <w:pPr>
      <w:tabs>
        <w:tab w:val="center" w:pos="4252"/>
        <w:tab w:val="right" w:pos="8504"/>
      </w:tabs>
    </w:pPr>
  </w:style>
  <w:style w:type="character" w:styleId="Hipervnculo">
    <w:name w:val="Hyperlink"/>
    <w:basedOn w:val="Fuentedeprrafopredeter"/>
    <w:rsid w:val="002628DB"/>
    <w:rPr>
      <w:color w:val="0000FF"/>
      <w:u w:val="single"/>
    </w:rPr>
  </w:style>
  <w:style w:type="character" w:styleId="Nmerodepgina">
    <w:name w:val="page number"/>
    <w:basedOn w:val="Fuentedeprrafopredeter"/>
    <w:rsid w:val="002628DB"/>
  </w:style>
  <w:style w:type="paragraph" w:styleId="Mapadeldocumento">
    <w:name w:val="Document Map"/>
    <w:basedOn w:val="Normal"/>
    <w:semiHidden/>
    <w:rsid w:val="002628DB"/>
    <w:pPr>
      <w:shd w:val="clear" w:color="auto" w:fill="000080"/>
    </w:pPr>
    <w:rPr>
      <w:rFonts w:ascii="Tahoma" w:hAnsi="Tahoma" w:cs="Tahoma"/>
      <w:sz w:val="20"/>
      <w:szCs w:val="20"/>
    </w:rPr>
  </w:style>
  <w:style w:type="paragraph" w:styleId="Textodeglobo">
    <w:name w:val="Balloon Text"/>
    <w:basedOn w:val="Normal"/>
    <w:link w:val="TextodegloboCar"/>
    <w:semiHidden/>
    <w:rsid w:val="002628DB"/>
    <w:rPr>
      <w:rFonts w:ascii="Tahoma" w:hAnsi="Tahoma" w:cs="Tahoma"/>
      <w:sz w:val="16"/>
      <w:szCs w:val="16"/>
    </w:rPr>
  </w:style>
  <w:style w:type="character" w:customStyle="1" w:styleId="TextodegloboCar">
    <w:name w:val="Texto de globo Car"/>
    <w:basedOn w:val="Fuentedeprrafopredeter"/>
    <w:link w:val="Textodeglobo"/>
    <w:rsid w:val="00F15C11"/>
    <w:rPr>
      <w:rFonts w:ascii="Tahoma" w:hAnsi="Tahoma" w:cs="Tahoma"/>
      <w:sz w:val="16"/>
      <w:szCs w:val="16"/>
      <w:lang w:val="es-CO" w:eastAsia="es-ES" w:bidi="ar-SA"/>
    </w:rPr>
  </w:style>
  <w:style w:type="table" w:styleId="Tablaconcuadrcula">
    <w:name w:val="Table Grid"/>
    <w:basedOn w:val="Tablanormal"/>
    <w:uiPriority w:val="59"/>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F15C11"/>
    <w:pPr>
      <w:spacing w:after="120"/>
    </w:pPr>
    <w:rPr>
      <w:lang w:val="es-ES"/>
    </w:rPr>
  </w:style>
  <w:style w:type="character" w:styleId="Refdecomentario">
    <w:name w:val="annotation reference"/>
    <w:basedOn w:val="Fuentedeprrafopredeter"/>
    <w:uiPriority w:val="99"/>
    <w:semiHidden/>
    <w:rsid w:val="00F15C11"/>
    <w:rPr>
      <w:sz w:val="16"/>
      <w:szCs w:val="16"/>
    </w:rPr>
  </w:style>
  <w:style w:type="paragraph" w:styleId="Textocomentario">
    <w:name w:val="annotation text"/>
    <w:basedOn w:val="Normal"/>
    <w:link w:val="TextocomentarioCar"/>
    <w:uiPriority w:val="99"/>
    <w:semiHidden/>
    <w:rsid w:val="00F15C11"/>
    <w:rPr>
      <w:sz w:val="20"/>
      <w:szCs w:val="20"/>
      <w:lang w:val="es-ES"/>
    </w:rPr>
  </w:style>
  <w:style w:type="paragraph" w:customStyle="1" w:styleId="Prrafodelista1">
    <w:name w:val="Párrafo de lista1"/>
    <w:basedOn w:val="Normal"/>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character" w:styleId="Refdenotaalpie">
    <w:name w:val="footnote reference"/>
    <w:basedOn w:val="Fuentedeprrafopredeter"/>
    <w:semiHidden/>
    <w:rsid w:val="00C17AA0"/>
    <w:rPr>
      <w:vertAlign w:val="superscript"/>
    </w:rPr>
  </w:style>
  <w:style w:type="paragraph" w:styleId="Asuntodelcomentario">
    <w:name w:val="annotation subject"/>
    <w:basedOn w:val="Textocomentario"/>
    <w:next w:val="Textocomentario"/>
    <w:semiHidden/>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rsid w:val="00BB455C"/>
    <w:pPr>
      <w:spacing w:line="360" w:lineRule="auto"/>
      <w:jc w:val="both"/>
    </w:pPr>
    <w:rPr>
      <w:rFonts w:ascii="Arial" w:hAnsi="Arial"/>
      <w:szCs w:val="20"/>
    </w:rPr>
  </w:style>
  <w:style w:type="paragraph" w:styleId="NormalWeb">
    <w:name w:val="Normal (Web)"/>
    <w:basedOn w:val="Normal"/>
    <w:uiPriority w:val="99"/>
    <w:rsid w:val="00E65BE5"/>
    <w:pPr>
      <w:spacing w:before="100" w:beforeAutospacing="1" w:after="100" w:afterAutospacing="1"/>
    </w:pPr>
    <w:rPr>
      <w:lang w:val="es-ES"/>
    </w:rPr>
  </w:style>
  <w:style w:type="character" w:customStyle="1" w:styleId="PrrafodelistaCar">
    <w:name w:val="Párrafo de lista Car"/>
    <w:link w:val="Prrafodelista"/>
    <w:uiPriority w:val="34"/>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rsid w:val="00566423"/>
    <w:rPr>
      <w:lang w:val="es-ES" w:eastAsia="es-ES"/>
    </w:rPr>
  </w:style>
  <w:style w:type="paragraph" w:customStyle="1" w:styleId="Textocomentario1">
    <w:name w:val="Texto comentario1"/>
    <w:basedOn w:val="Normal"/>
    <w:rsid w:val="00AB3F3D"/>
    <w:pPr>
      <w:suppressAutoHyphens/>
      <w:jc w:val="both"/>
    </w:pPr>
    <w:rPr>
      <w:rFonts w:ascii="Verdana" w:hAnsi="Verdana" w:cs="Tahoma"/>
      <w:lang w:val="es-ES" w:eastAsia="zh-CN"/>
    </w:rPr>
  </w:style>
  <w:style w:type="paragraph" w:styleId="Descripcin">
    <w:name w:val="caption"/>
    <w:basedOn w:val="Normal"/>
    <w:next w:val="Normal"/>
    <w:link w:val="DescripcinCar"/>
    <w:uiPriority w:val="35"/>
    <w:unhideWhenUsed/>
    <w:qFormat/>
    <w:rsid w:val="00DF4072"/>
    <w:pPr>
      <w:spacing w:after="240"/>
      <w:jc w:val="both"/>
    </w:pPr>
    <w:rPr>
      <w:rFonts w:asciiTheme="minorHAnsi" w:eastAsiaTheme="minorHAnsi" w:hAnsiTheme="minorHAnsi" w:cstheme="minorBidi"/>
      <w:b/>
      <w:bCs/>
      <w:sz w:val="18"/>
      <w:szCs w:val="18"/>
      <w:lang w:val="es-ES" w:eastAsia="en-US"/>
    </w:rPr>
  </w:style>
  <w:style w:type="character" w:customStyle="1" w:styleId="DescripcinCar">
    <w:name w:val="Descripción Car"/>
    <w:basedOn w:val="Fuentedeprrafopredeter"/>
    <w:link w:val="Descripcin"/>
    <w:uiPriority w:val="35"/>
    <w:rsid w:val="00DF4072"/>
    <w:rPr>
      <w:rFonts w:asciiTheme="minorHAnsi" w:eastAsiaTheme="minorHAnsi" w:hAnsiTheme="minorHAnsi" w:cstheme="minorBidi"/>
      <w:b/>
      <w:bCs/>
      <w:sz w:val="18"/>
      <w:szCs w:val="18"/>
      <w:lang w:val="es-ES" w:eastAsia="en-US"/>
    </w:rPr>
  </w:style>
  <w:style w:type="paragraph" w:customStyle="1" w:styleId="Default">
    <w:name w:val="Default"/>
    <w:rsid w:val="00212844"/>
    <w:pPr>
      <w:autoSpaceDE w:val="0"/>
      <w:autoSpaceDN w:val="0"/>
      <w:adjustRightInd w:val="0"/>
    </w:pPr>
    <w:rPr>
      <w:rFonts w:ascii="Calibri" w:eastAsiaTheme="minorHAnsi" w:hAnsi="Calibri" w:cs="Calibri"/>
      <w:color w:val="000000"/>
      <w:sz w:val="24"/>
      <w:szCs w:val="24"/>
      <w:lang w:val="es-CO" w:eastAsia="en-US"/>
    </w:rPr>
  </w:style>
  <w:style w:type="character" w:customStyle="1" w:styleId="EncabezadoCar">
    <w:name w:val="Encabezado Car"/>
    <w:basedOn w:val="Fuentedeprrafopredeter"/>
    <w:link w:val="Encabezado"/>
    <w:uiPriority w:val="99"/>
    <w:rsid w:val="00212844"/>
    <w:rPr>
      <w:sz w:val="24"/>
      <w:szCs w:val="24"/>
      <w:lang w:val="es-CO" w:eastAsia="es-ES"/>
    </w:rPr>
  </w:style>
  <w:style w:type="character" w:customStyle="1" w:styleId="PiedepginaCar">
    <w:name w:val="Pie de página Car"/>
    <w:basedOn w:val="Fuentedeprrafopredeter"/>
    <w:link w:val="Piedepgina"/>
    <w:uiPriority w:val="99"/>
    <w:rsid w:val="00212844"/>
    <w:rPr>
      <w:sz w:val="24"/>
      <w:szCs w:val="24"/>
      <w:lang w:val="es-CO" w:eastAsia="es-ES"/>
    </w:rPr>
  </w:style>
  <w:style w:type="paragraph" w:customStyle="1" w:styleId="Textodenotaalfinal">
    <w:name w:val="Texto de nota al final"/>
    <w:basedOn w:val="Normal"/>
    <w:rsid w:val="00212844"/>
    <w:pPr>
      <w:widowControl w:val="0"/>
      <w:spacing w:before="120" w:after="60"/>
      <w:jc w:val="both"/>
    </w:pPr>
    <w:rPr>
      <w:rFonts w:ascii="Arial" w:hAnsi="Arial"/>
      <w:i/>
      <w:szCs w:val="20"/>
      <w:lang w:val="es-ES_tradnl"/>
    </w:rPr>
  </w:style>
  <w:style w:type="paragraph" w:styleId="Sinespaciado">
    <w:name w:val="No Spacing"/>
    <w:uiPriority w:val="1"/>
    <w:qFormat/>
    <w:rsid w:val="00C9169E"/>
    <w:rPr>
      <w:rFonts w:asciiTheme="minorHAnsi" w:eastAsiaTheme="minorHAnsi" w:hAnsiTheme="minorHAnsi" w:cstheme="minorBidi"/>
      <w:sz w:val="24"/>
      <w:szCs w:val="22"/>
      <w:lang w:val="en-US" w:eastAsia="en-US"/>
    </w:rPr>
  </w:style>
  <w:style w:type="character" w:customStyle="1" w:styleId="Ttulo2Car">
    <w:name w:val="Título 2 Car"/>
    <w:basedOn w:val="Fuentedeprrafopredeter"/>
    <w:link w:val="Ttulo2"/>
    <w:uiPriority w:val="9"/>
    <w:semiHidden/>
    <w:rsid w:val="001F57DA"/>
    <w:rPr>
      <w:rFonts w:asciiTheme="majorHAnsi" w:eastAsiaTheme="majorEastAsia" w:hAnsiTheme="majorHAnsi" w:cstheme="majorBidi"/>
      <w:color w:val="365F91" w:themeColor="accent1" w:themeShade="BF"/>
      <w:sz w:val="26"/>
      <w:szCs w:val="26"/>
      <w:lang w:val="es-CO" w:eastAsia="es-ES"/>
    </w:rPr>
  </w:style>
  <w:style w:type="character" w:customStyle="1" w:styleId="Ttulo3Car">
    <w:name w:val="Título 3 Car"/>
    <w:basedOn w:val="Fuentedeprrafopredeter"/>
    <w:link w:val="Ttulo3"/>
    <w:uiPriority w:val="9"/>
    <w:semiHidden/>
    <w:rsid w:val="001F57DA"/>
    <w:rPr>
      <w:rFonts w:asciiTheme="majorHAnsi" w:eastAsiaTheme="majorEastAsia" w:hAnsiTheme="majorHAnsi" w:cstheme="majorBidi"/>
      <w:color w:val="243F60" w:themeColor="accent1" w:themeShade="7F"/>
      <w:sz w:val="24"/>
      <w:szCs w:val="24"/>
      <w:lang w:val="es-CO" w:eastAsia="es-ES"/>
    </w:rPr>
  </w:style>
  <w:style w:type="table" w:customStyle="1" w:styleId="Tablanormal21">
    <w:name w:val="Tabla normal 21"/>
    <w:basedOn w:val="Tablanormal"/>
    <w:uiPriority w:val="42"/>
    <w:rsid w:val="001F57DA"/>
    <w:rPr>
      <w:rFonts w:asciiTheme="minorHAnsi" w:eastAsiaTheme="minorHAnsi" w:hAnsiTheme="minorHAnsi" w:cstheme="minorBidi"/>
      <w:sz w:val="22"/>
      <w:szCs w:val="22"/>
      <w:lang w:val="es-E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anormal31">
    <w:name w:val="Tabla normal 31"/>
    <w:basedOn w:val="Normal"/>
    <w:uiPriority w:val="34"/>
    <w:qFormat/>
    <w:rsid w:val="00CF0B30"/>
    <w:pPr>
      <w:suppressAutoHyphens/>
      <w:ind w:left="708"/>
    </w:pPr>
    <w:rPr>
      <w:lang w:eastAsia="zh-CN"/>
    </w:rPr>
  </w:style>
  <w:style w:type="paragraph" w:customStyle="1" w:styleId="Listamulticolor-nfasis11">
    <w:name w:val="Lista multicolor - Énfasis 11"/>
    <w:basedOn w:val="Normal"/>
    <w:uiPriority w:val="34"/>
    <w:qFormat/>
    <w:rsid w:val="009761E3"/>
    <w:pPr>
      <w:spacing w:after="200" w:line="276" w:lineRule="auto"/>
      <w:ind w:left="720"/>
      <w:contextualSpacing/>
    </w:pPr>
    <w:rPr>
      <w:rFonts w:ascii="Calibri" w:eastAsia="Calibri" w:hAnsi="Calibri"/>
      <w:sz w:val="22"/>
      <w:szCs w:val="22"/>
      <w:lang w:eastAsia="en-US"/>
    </w:rPr>
  </w:style>
  <w:style w:type="paragraph" w:styleId="Sangra2detindependiente">
    <w:name w:val="Body Text Indent 2"/>
    <w:basedOn w:val="Normal"/>
    <w:link w:val="Sangra2detindependienteCar"/>
    <w:uiPriority w:val="99"/>
    <w:unhideWhenUsed/>
    <w:rsid w:val="001A717E"/>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1A717E"/>
    <w:rPr>
      <w:sz w:val="24"/>
      <w:szCs w:val="24"/>
      <w:lang w:val="es-ES" w:eastAsia="es-ES"/>
    </w:rPr>
  </w:style>
  <w:style w:type="paragraph" w:styleId="Ttulo">
    <w:name w:val="Title"/>
    <w:basedOn w:val="Normal"/>
    <w:next w:val="Normal"/>
    <w:link w:val="TtuloCar"/>
    <w:uiPriority w:val="10"/>
    <w:qFormat/>
    <w:rsid w:val="005A58F1"/>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A58F1"/>
    <w:rPr>
      <w:rFonts w:asciiTheme="majorHAnsi" w:eastAsiaTheme="majorEastAsia" w:hAnsiTheme="majorHAnsi" w:cstheme="majorBidi"/>
      <w:spacing w:val="-10"/>
      <w:kern w:val="28"/>
      <w:sz w:val="56"/>
      <w:szCs w:val="56"/>
      <w:lang w:val="es-CO" w:eastAsia="es-ES"/>
    </w:rPr>
  </w:style>
  <w:style w:type="character" w:styleId="Mencinsinresolver">
    <w:name w:val="Unresolved Mention"/>
    <w:basedOn w:val="Fuentedeprrafopredeter"/>
    <w:uiPriority w:val="99"/>
    <w:semiHidden/>
    <w:unhideWhenUsed/>
    <w:rsid w:val="007C0C2D"/>
    <w:rPr>
      <w:color w:val="808080"/>
      <w:shd w:val="clear" w:color="auto" w:fill="E6E6E6"/>
    </w:rPr>
  </w:style>
  <w:style w:type="paragraph" w:styleId="Revisin">
    <w:name w:val="Revision"/>
    <w:hidden/>
    <w:uiPriority w:val="99"/>
    <w:semiHidden/>
    <w:rsid w:val="00351531"/>
    <w:rPr>
      <w:sz w:val="24"/>
      <w:szCs w:val="24"/>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91033">
      <w:bodyDiv w:val="1"/>
      <w:marLeft w:val="0"/>
      <w:marRight w:val="0"/>
      <w:marTop w:val="0"/>
      <w:marBottom w:val="0"/>
      <w:divBdr>
        <w:top w:val="none" w:sz="0" w:space="0" w:color="auto"/>
        <w:left w:val="none" w:sz="0" w:space="0" w:color="auto"/>
        <w:bottom w:val="none" w:sz="0" w:space="0" w:color="auto"/>
        <w:right w:val="none" w:sz="0" w:space="0" w:color="auto"/>
      </w:divBdr>
      <w:divsChild>
        <w:div w:id="219562155">
          <w:marLeft w:val="0"/>
          <w:marRight w:val="0"/>
          <w:marTop w:val="0"/>
          <w:marBottom w:val="0"/>
          <w:divBdr>
            <w:top w:val="none" w:sz="0" w:space="0" w:color="auto"/>
            <w:left w:val="none" w:sz="0" w:space="0" w:color="auto"/>
            <w:bottom w:val="none" w:sz="0" w:space="0" w:color="auto"/>
            <w:right w:val="none" w:sz="0" w:space="0" w:color="auto"/>
          </w:divBdr>
          <w:divsChild>
            <w:div w:id="81090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4508">
      <w:bodyDiv w:val="1"/>
      <w:marLeft w:val="0"/>
      <w:marRight w:val="0"/>
      <w:marTop w:val="0"/>
      <w:marBottom w:val="0"/>
      <w:divBdr>
        <w:top w:val="none" w:sz="0" w:space="0" w:color="auto"/>
        <w:left w:val="none" w:sz="0" w:space="0" w:color="auto"/>
        <w:bottom w:val="none" w:sz="0" w:space="0" w:color="auto"/>
        <w:right w:val="none" w:sz="0" w:space="0" w:color="auto"/>
      </w:divBdr>
    </w:div>
    <w:div w:id="186452663">
      <w:bodyDiv w:val="1"/>
      <w:marLeft w:val="0"/>
      <w:marRight w:val="0"/>
      <w:marTop w:val="0"/>
      <w:marBottom w:val="0"/>
      <w:divBdr>
        <w:top w:val="none" w:sz="0" w:space="0" w:color="auto"/>
        <w:left w:val="none" w:sz="0" w:space="0" w:color="auto"/>
        <w:bottom w:val="none" w:sz="0" w:space="0" w:color="auto"/>
        <w:right w:val="none" w:sz="0" w:space="0" w:color="auto"/>
      </w:divBdr>
    </w:div>
    <w:div w:id="234559171">
      <w:bodyDiv w:val="1"/>
      <w:marLeft w:val="0"/>
      <w:marRight w:val="0"/>
      <w:marTop w:val="0"/>
      <w:marBottom w:val="0"/>
      <w:divBdr>
        <w:top w:val="none" w:sz="0" w:space="0" w:color="auto"/>
        <w:left w:val="none" w:sz="0" w:space="0" w:color="auto"/>
        <w:bottom w:val="none" w:sz="0" w:space="0" w:color="auto"/>
        <w:right w:val="none" w:sz="0" w:space="0" w:color="auto"/>
      </w:divBdr>
    </w:div>
    <w:div w:id="261230391">
      <w:bodyDiv w:val="1"/>
      <w:marLeft w:val="0"/>
      <w:marRight w:val="0"/>
      <w:marTop w:val="0"/>
      <w:marBottom w:val="0"/>
      <w:divBdr>
        <w:top w:val="none" w:sz="0" w:space="0" w:color="auto"/>
        <w:left w:val="none" w:sz="0" w:space="0" w:color="auto"/>
        <w:bottom w:val="none" w:sz="0" w:space="0" w:color="auto"/>
        <w:right w:val="none" w:sz="0" w:space="0" w:color="auto"/>
      </w:divBdr>
    </w:div>
    <w:div w:id="368342417">
      <w:bodyDiv w:val="1"/>
      <w:marLeft w:val="0"/>
      <w:marRight w:val="0"/>
      <w:marTop w:val="0"/>
      <w:marBottom w:val="0"/>
      <w:divBdr>
        <w:top w:val="none" w:sz="0" w:space="0" w:color="auto"/>
        <w:left w:val="none" w:sz="0" w:space="0" w:color="auto"/>
        <w:bottom w:val="none" w:sz="0" w:space="0" w:color="auto"/>
        <w:right w:val="none" w:sz="0" w:space="0" w:color="auto"/>
      </w:divBdr>
    </w:div>
    <w:div w:id="389350256">
      <w:bodyDiv w:val="1"/>
      <w:marLeft w:val="0"/>
      <w:marRight w:val="0"/>
      <w:marTop w:val="0"/>
      <w:marBottom w:val="0"/>
      <w:divBdr>
        <w:top w:val="none" w:sz="0" w:space="0" w:color="auto"/>
        <w:left w:val="none" w:sz="0" w:space="0" w:color="auto"/>
        <w:bottom w:val="none" w:sz="0" w:space="0" w:color="auto"/>
        <w:right w:val="none" w:sz="0" w:space="0" w:color="auto"/>
      </w:divBdr>
    </w:div>
    <w:div w:id="484854534">
      <w:bodyDiv w:val="1"/>
      <w:marLeft w:val="0"/>
      <w:marRight w:val="0"/>
      <w:marTop w:val="0"/>
      <w:marBottom w:val="0"/>
      <w:divBdr>
        <w:top w:val="none" w:sz="0" w:space="0" w:color="auto"/>
        <w:left w:val="none" w:sz="0" w:space="0" w:color="auto"/>
        <w:bottom w:val="none" w:sz="0" w:space="0" w:color="auto"/>
        <w:right w:val="none" w:sz="0" w:space="0" w:color="auto"/>
      </w:divBdr>
      <w:divsChild>
        <w:div w:id="749160384">
          <w:marLeft w:val="0"/>
          <w:marRight w:val="0"/>
          <w:marTop w:val="0"/>
          <w:marBottom w:val="0"/>
          <w:divBdr>
            <w:top w:val="none" w:sz="0" w:space="0" w:color="auto"/>
            <w:left w:val="none" w:sz="0" w:space="0" w:color="auto"/>
            <w:bottom w:val="none" w:sz="0" w:space="0" w:color="auto"/>
            <w:right w:val="none" w:sz="0" w:space="0" w:color="auto"/>
          </w:divBdr>
          <w:divsChild>
            <w:div w:id="124978849">
              <w:marLeft w:val="0"/>
              <w:marRight w:val="0"/>
              <w:marTop w:val="0"/>
              <w:marBottom w:val="0"/>
              <w:divBdr>
                <w:top w:val="none" w:sz="0" w:space="0" w:color="auto"/>
                <w:left w:val="none" w:sz="0" w:space="0" w:color="auto"/>
                <w:bottom w:val="none" w:sz="0" w:space="0" w:color="auto"/>
                <w:right w:val="none" w:sz="0" w:space="0" w:color="auto"/>
              </w:divBdr>
            </w:div>
            <w:div w:id="179972654">
              <w:marLeft w:val="0"/>
              <w:marRight w:val="0"/>
              <w:marTop w:val="0"/>
              <w:marBottom w:val="0"/>
              <w:divBdr>
                <w:top w:val="none" w:sz="0" w:space="0" w:color="auto"/>
                <w:left w:val="none" w:sz="0" w:space="0" w:color="auto"/>
                <w:bottom w:val="none" w:sz="0" w:space="0" w:color="auto"/>
                <w:right w:val="none" w:sz="0" w:space="0" w:color="auto"/>
              </w:divBdr>
            </w:div>
            <w:div w:id="709306063">
              <w:marLeft w:val="0"/>
              <w:marRight w:val="0"/>
              <w:marTop w:val="0"/>
              <w:marBottom w:val="0"/>
              <w:divBdr>
                <w:top w:val="none" w:sz="0" w:space="0" w:color="auto"/>
                <w:left w:val="none" w:sz="0" w:space="0" w:color="auto"/>
                <w:bottom w:val="none" w:sz="0" w:space="0" w:color="auto"/>
                <w:right w:val="none" w:sz="0" w:space="0" w:color="auto"/>
              </w:divBdr>
            </w:div>
            <w:div w:id="1013722492">
              <w:marLeft w:val="0"/>
              <w:marRight w:val="0"/>
              <w:marTop w:val="0"/>
              <w:marBottom w:val="0"/>
              <w:divBdr>
                <w:top w:val="none" w:sz="0" w:space="0" w:color="auto"/>
                <w:left w:val="none" w:sz="0" w:space="0" w:color="auto"/>
                <w:bottom w:val="none" w:sz="0" w:space="0" w:color="auto"/>
                <w:right w:val="none" w:sz="0" w:space="0" w:color="auto"/>
              </w:divBdr>
            </w:div>
            <w:div w:id="1155488744">
              <w:marLeft w:val="0"/>
              <w:marRight w:val="0"/>
              <w:marTop w:val="0"/>
              <w:marBottom w:val="0"/>
              <w:divBdr>
                <w:top w:val="none" w:sz="0" w:space="0" w:color="auto"/>
                <w:left w:val="none" w:sz="0" w:space="0" w:color="auto"/>
                <w:bottom w:val="none" w:sz="0" w:space="0" w:color="auto"/>
                <w:right w:val="none" w:sz="0" w:space="0" w:color="auto"/>
              </w:divBdr>
            </w:div>
            <w:div w:id="1504473992">
              <w:marLeft w:val="0"/>
              <w:marRight w:val="0"/>
              <w:marTop w:val="0"/>
              <w:marBottom w:val="0"/>
              <w:divBdr>
                <w:top w:val="none" w:sz="0" w:space="0" w:color="auto"/>
                <w:left w:val="none" w:sz="0" w:space="0" w:color="auto"/>
                <w:bottom w:val="none" w:sz="0" w:space="0" w:color="auto"/>
                <w:right w:val="none" w:sz="0" w:space="0" w:color="auto"/>
              </w:divBdr>
            </w:div>
            <w:div w:id="172702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83533">
      <w:bodyDiv w:val="1"/>
      <w:marLeft w:val="0"/>
      <w:marRight w:val="0"/>
      <w:marTop w:val="0"/>
      <w:marBottom w:val="0"/>
      <w:divBdr>
        <w:top w:val="none" w:sz="0" w:space="0" w:color="auto"/>
        <w:left w:val="none" w:sz="0" w:space="0" w:color="auto"/>
        <w:bottom w:val="none" w:sz="0" w:space="0" w:color="auto"/>
        <w:right w:val="none" w:sz="0" w:space="0" w:color="auto"/>
      </w:divBdr>
      <w:divsChild>
        <w:div w:id="1243832404">
          <w:marLeft w:val="0"/>
          <w:marRight w:val="0"/>
          <w:marTop w:val="0"/>
          <w:marBottom w:val="0"/>
          <w:divBdr>
            <w:top w:val="none" w:sz="0" w:space="0" w:color="auto"/>
            <w:left w:val="none" w:sz="0" w:space="0" w:color="auto"/>
            <w:bottom w:val="none" w:sz="0" w:space="0" w:color="auto"/>
            <w:right w:val="none" w:sz="0" w:space="0" w:color="auto"/>
          </w:divBdr>
          <w:divsChild>
            <w:div w:id="606471196">
              <w:marLeft w:val="0"/>
              <w:marRight w:val="0"/>
              <w:marTop w:val="0"/>
              <w:marBottom w:val="0"/>
              <w:divBdr>
                <w:top w:val="none" w:sz="0" w:space="0" w:color="auto"/>
                <w:left w:val="none" w:sz="0" w:space="0" w:color="auto"/>
                <w:bottom w:val="none" w:sz="0" w:space="0" w:color="auto"/>
                <w:right w:val="none" w:sz="0" w:space="0" w:color="auto"/>
              </w:divBdr>
            </w:div>
            <w:div w:id="750590005">
              <w:marLeft w:val="0"/>
              <w:marRight w:val="0"/>
              <w:marTop w:val="0"/>
              <w:marBottom w:val="0"/>
              <w:divBdr>
                <w:top w:val="none" w:sz="0" w:space="0" w:color="auto"/>
                <w:left w:val="none" w:sz="0" w:space="0" w:color="auto"/>
                <w:bottom w:val="none" w:sz="0" w:space="0" w:color="auto"/>
                <w:right w:val="none" w:sz="0" w:space="0" w:color="auto"/>
              </w:divBdr>
            </w:div>
            <w:div w:id="779758353">
              <w:marLeft w:val="0"/>
              <w:marRight w:val="0"/>
              <w:marTop w:val="0"/>
              <w:marBottom w:val="0"/>
              <w:divBdr>
                <w:top w:val="none" w:sz="0" w:space="0" w:color="auto"/>
                <w:left w:val="none" w:sz="0" w:space="0" w:color="auto"/>
                <w:bottom w:val="none" w:sz="0" w:space="0" w:color="auto"/>
                <w:right w:val="none" w:sz="0" w:space="0" w:color="auto"/>
              </w:divBdr>
            </w:div>
            <w:div w:id="812135542">
              <w:marLeft w:val="0"/>
              <w:marRight w:val="0"/>
              <w:marTop w:val="0"/>
              <w:marBottom w:val="0"/>
              <w:divBdr>
                <w:top w:val="none" w:sz="0" w:space="0" w:color="auto"/>
                <w:left w:val="none" w:sz="0" w:space="0" w:color="auto"/>
                <w:bottom w:val="none" w:sz="0" w:space="0" w:color="auto"/>
                <w:right w:val="none" w:sz="0" w:space="0" w:color="auto"/>
              </w:divBdr>
            </w:div>
            <w:div w:id="93645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42940">
      <w:bodyDiv w:val="1"/>
      <w:marLeft w:val="0"/>
      <w:marRight w:val="0"/>
      <w:marTop w:val="0"/>
      <w:marBottom w:val="0"/>
      <w:divBdr>
        <w:top w:val="none" w:sz="0" w:space="0" w:color="auto"/>
        <w:left w:val="none" w:sz="0" w:space="0" w:color="auto"/>
        <w:bottom w:val="none" w:sz="0" w:space="0" w:color="auto"/>
        <w:right w:val="none" w:sz="0" w:space="0" w:color="auto"/>
      </w:divBdr>
    </w:div>
    <w:div w:id="714082592">
      <w:bodyDiv w:val="1"/>
      <w:marLeft w:val="0"/>
      <w:marRight w:val="0"/>
      <w:marTop w:val="0"/>
      <w:marBottom w:val="0"/>
      <w:divBdr>
        <w:top w:val="none" w:sz="0" w:space="0" w:color="auto"/>
        <w:left w:val="none" w:sz="0" w:space="0" w:color="auto"/>
        <w:bottom w:val="none" w:sz="0" w:space="0" w:color="auto"/>
        <w:right w:val="none" w:sz="0" w:space="0" w:color="auto"/>
      </w:divBdr>
      <w:divsChild>
        <w:div w:id="1125125856">
          <w:marLeft w:val="0"/>
          <w:marRight w:val="0"/>
          <w:marTop w:val="0"/>
          <w:marBottom w:val="0"/>
          <w:divBdr>
            <w:top w:val="none" w:sz="0" w:space="0" w:color="auto"/>
            <w:left w:val="none" w:sz="0" w:space="0" w:color="auto"/>
            <w:bottom w:val="none" w:sz="0" w:space="0" w:color="auto"/>
            <w:right w:val="none" w:sz="0" w:space="0" w:color="auto"/>
          </w:divBdr>
        </w:div>
      </w:divsChild>
    </w:div>
    <w:div w:id="958141278">
      <w:bodyDiv w:val="1"/>
      <w:marLeft w:val="0"/>
      <w:marRight w:val="0"/>
      <w:marTop w:val="0"/>
      <w:marBottom w:val="0"/>
      <w:divBdr>
        <w:top w:val="none" w:sz="0" w:space="0" w:color="auto"/>
        <w:left w:val="none" w:sz="0" w:space="0" w:color="auto"/>
        <w:bottom w:val="none" w:sz="0" w:space="0" w:color="auto"/>
        <w:right w:val="none" w:sz="0" w:space="0" w:color="auto"/>
      </w:divBdr>
    </w:div>
    <w:div w:id="959142183">
      <w:bodyDiv w:val="1"/>
      <w:marLeft w:val="0"/>
      <w:marRight w:val="0"/>
      <w:marTop w:val="0"/>
      <w:marBottom w:val="0"/>
      <w:divBdr>
        <w:top w:val="none" w:sz="0" w:space="0" w:color="auto"/>
        <w:left w:val="none" w:sz="0" w:space="0" w:color="auto"/>
        <w:bottom w:val="none" w:sz="0" w:space="0" w:color="auto"/>
        <w:right w:val="none" w:sz="0" w:space="0" w:color="auto"/>
      </w:divBdr>
      <w:divsChild>
        <w:div w:id="1329013794">
          <w:marLeft w:val="0"/>
          <w:marRight w:val="0"/>
          <w:marTop w:val="0"/>
          <w:marBottom w:val="0"/>
          <w:divBdr>
            <w:top w:val="none" w:sz="0" w:space="0" w:color="auto"/>
            <w:left w:val="none" w:sz="0" w:space="0" w:color="auto"/>
            <w:bottom w:val="none" w:sz="0" w:space="0" w:color="auto"/>
            <w:right w:val="none" w:sz="0" w:space="0" w:color="auto"/>
          </w:divBdr>
        </w:div>
      </w:divsChild>
    </w:div>
    <w:div w:id="986982444">
      <w:bodyDiv w:val="1"/>
      <w:marLeft w:val="0"/>
      <w:marRight w:val="0"/>
      <w:marTop w:val="0"/>
      <w:marBottom w:val="0"/>
      <w:divBdr>
        <w:top w:val="none" w:sz="0" w:space="0" w:color="auto"/>
        <w:left w:val="none" w:sz="0" w:space="0" w:color="auto"/>
        <w:bottom w:val="none" w:sz="0" w:space="0" w:color="auto"/>
        <w:right w:val="none" w:sz="0" w:space="0" w:color="auto"/>
      </w:divBdr>
      <w:divsChild>
        <w:div w:id="727806165">
          <w:marLeft w:val="0"/>
          <w:marRight w:val="0"/>
          <w:marTop w:val="0"/>
          <w:marBottom w:val="0"/>
          <w:divBdr>
            <w:top w:val="none" w:sz="0" w:space="0" w:color="auto"/>
            <w:left w:val="none" w:sz="0" w:space="0" w:color="auto"/>
            <w:bottom w:val="none" w:sz="0" w:space="0" w:color="auto"/>
            <w:right w:val="none" w:sz="0" w:space="0" w:color="auto"/>
          </w:divBdr>
        </w:div>
      </w:divsChild>
    </w:div>
    <w:div w:id="1078794162">
      <w:bodyDiv w:val="1"/>
      <w:marLeft w:val="0"/>
      <w:marRight w:val="0"/>
      <w:marTop w:val="0"/>
      <w:marBottom w:val="0"/>
      <w:divBdr>
        <w:top w:val="none" w:sz="0" w:space="0" w:color="auto"/>
        <w:left w:val="none" w:sz="0" w:space="0" w:color="auto"/>
        <w:bottom w:val="none" w:sz="0" w:space="0" w:color="auto"/>
        <w:right w:val="none" w:sz="0" w:space="0" w:color="auto"/>
      </w:divBdr>
      <w:divsChild>
        <w:div w:id="1599290307">
          <w:marLeft w:val="0"/>
          <w:marRight w:val="0"/>
          <w:marTop w:val="0"/>
          <w:marBottom w:val="0"/>
          <w:divBdr>
            <w:top w:val="none" w:sz="0" w:space="0" w:color="auto"/>
            <w:left w:val="none" w:sz="0" w:space="0" w:color="auto"/>
            <w:bottom w:val="none" w:sz="0" w:space="0" w:color="auto"/>
            <w:right w:val="none" w:sz="0" w:space="0" w:color="auto"/>
          </w:divBdr>
          <w:divsChild>
            <w:div w:id="220675876">
              <w:marLeft w:val="0"/>
              <w:marRight w:val="0"/>
              <w:marTop w:val="0"/>
              <w:marBottom w:val="0"/>
              <w:divBdr>
                <w:top w:val="none" w:sz="0" w:space="0" w:color="auto"/>
                <w:left w:val="none" w:sz="0" w:space="0" w:color="auto"/>
                <w:bottom w:val="none" w:sz="0" w:space="0" w:color="auto"/>
                <w:right w:val="none" w:sz="0" w:space="0" w:color="auto"/>
              </w:divBdr>
            </w:div>
            <w:div w:id="304743101">
              <w:marLeft w:val="0"/>
              <w:marRight w:val="0"/>
              <w:marTop w:val="0"/>
              <w:marBottom w:val="0"/>
              <w:divBdr>
                <w:top w:val="none" w:sz="0" w:space="0" w:color="auto"/>
                <w:left w:val="none" w:sz="0" w:space="0" w:color="auto"/>
                <w:bottom w:val="none" w:sz="0" w:space="0" w:color="auto"/>
                <w:right w:val="none" w:sz="0" w:space="0" w:color="auto"/>
              </w:divBdr>
            </w:div>
            <w:div w:id="868567812">
              <w:marLeft w:val="0"/>
              <w:marRight w:val="0"/>
              <w:marTop w:val="0"/>
              <w:marBottom w:val="0"/>
              <w:divBdr>
                <w:top w:val="none" w:sz="0" w:space="0" w:color="auto"/>
                <w:left w:val="none" w:sz="0" w:space="0" w:color="auto"/>
                <w:bottom w:val="none" w:sz="0" w:space="0" w:color="auto"/>
                <w:right w:val="none" w:sz="0" w:space="0" w:color="auto"/>
              </w:divBdr>
            </w:div>
            <w:div w:id="1307126191">
              <w:marLeft w:val="0"/>
              <w:marRight w:val="0"/>
              <w:marTop w:val="0"/>
              <w:marBottom w:val="0"/>
              <w:divBdr>
                <w:top w:val="none" w:sz="0" w:space="0" w:color="auto"/>
                <w:left w:val="none" w:sz="0" w:space="0" w:color="auto"/>
                <w:bottom w:val="none" w:sz="0" w:space="0" w:color="auto"/>
                <w:right w:val="none" w:sz="0" w:space="0" w:color="auto"/>
              </w:divBdr>
            </w:div>
            <w:div w:id="1722899836">
              <w:marLeft w:val="0"/>
              <w:marRight w:val="0"/>
              <w:marTop w:val="0"/>
              <w:marBottom w:val="0"/>
              <w:divBdr>
                <w:top w:val="none" w:sz="0" w:space="0" w:color="auto"/>
                <w:left w:val="none" w:sz="0" w:space="0" w:color="auto"/>
                <w:bottom w:val="none" w:sz="0" w:space="0" w:color="auto"/>
                <w:right w:val="none" w:sz="0" w:space="0" w:color="auto"/>
              </w:divBdr>
            </w:div>
            <w:div w:id="1961758237">
              <w:marLeft w:val="0"/>
              <w:marRight w:val="0"/>
              <w:marTop w:val="0"/>
              <w:marBottom w:val="0"/>
              <w:divBdr>
                <w:top w:val="none" w:sz="0" w:space="0" w:color="auto"/>
                <w:left w:val="none" w:sz="0" w:space="0" w:color="auto"/>
                <w:bottom w:val="none" w:sz="0" w:space="0" w:color="auto"/>
                <w:right w:val="none" w:sz="0" w:space="0" w:color="auto"/>
              </w:divBdr>
            </w:div>
            <w:div w:id="19722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1991">
      <w:bodyDiv w:val="1"/>
      <w:marLeft w:val="0"/>
      <w:marRight w:val="0"/>
      <w:marTop w:val="0"/>
      <w:marBottom w:val="0"/>
      <w:divBdr>
        <w:top w:val="none" w:sz="0" w:space="0" w:color="auto"/>
        <w:left w:val="none" w:sz="0" w:space="0" w:color="auto"/>
        <w:bottom w:val="none" w:sz="0" w:space="0" w:color="auto"/>
        <w:right w:val="none" w:sz="0" w:space="0" w:color="auto"/>
      </w:divBdr>
    </w:div>
    <w:div w:id="1183206899">
      <w:bodyDiv w:val="1"/>
      <w:marLeft w:val="0"/>
      <w:marRight w:val="0"/>
      <w:marTop w:val="0"/>
      <w:marBottom w:val="0"/>
      <w:divBdr>
        <w:top w:val="none" w:sz="0" w:space="0" w:color="auto"/>
        <w:left w:val="none" w:sz="0" w:space="0" w:color="auto"/>
        <w:bottom w:val="none" w:sz="0" w:space="0" w:color="auto"/>
        <w:right w:val="none" w:sz="0" w:space="0" w:color="auto"/>
      </w:divBdr>
    </w:div>
    <w:div w:id="1231237234">
      <w:bodyDiv w:val="1"/>
      <w:marLeft w:val="0"/>
      <w:marRight w:val="0"/>
      <w:marTop w:val="0"/>
      <w:marBottom w:val="0"/>
      <w:divBdr>
        <w:top w:val="none" w:sz="0" w:space="0" w:color="auto"/>
        <w:left w:val="none" w:sz="0" w:space="0" w:color="auto"/>
        <w:bottom w:val="none" w:sz="0" w:space="0" w:color="auto"/>
        <w:right w:val="none" w:sz="0" w:space="0" w:color="auto"/>
      </w:divBdr>
    </w:div>
    <w:div w:id="1232082642">
      <w:bodyDiv w:val="1"/>
      <w:marLeft w:val="0"/>
      <w:marRight w:val="0"/>
      <w:marTop w:val="0"/>
      <w:marBottom w:val="0"/>
      <w:divBdr>
        <w:top w:val="none" w:sz="0" w:space="0" w:color="auto"/>
        <w:left w:val="none" w:sz="0" w:space="0" w:color="auto"/>
        <w:bottom w:val="none" w:sz="0" w:space="0" w:color="auto"/>
        <w:right w:val="none" w:sz="0" w:space="0" w:color="auto"/>
      </w:divBdr>
      <w:divsChild>
        <w:div w:id="526413073">
          <w:marLeft w:val="0"/>
          <w:marRight w:val="0"/>
          <w:marTop w:val="0"/>
          <w:marBottom w:val="0"/>
          <w:divBdr>
            <w:top w:val="none" w:sz="0" w:space="0" w:color="auto"/>
            <w:left w:val="none" w:sz="0" w:space="0" w:color="auto"/>
            <w:bottom w:val="none" w:sz="0" w:space="0" w:color="auto"/>
            <w:right w:val="none" w:sz="0" w:space="0" w:color="auto"/>
          </w:divBdr>
        </w:div>
      </w:divsChild>
    </w:div>
    <w:div w:id="1240290322">
      <w:bodyDiv w:val="1"/>
      <w:marLeft w:val="0"/>
      <w:marRight w:val="0"/>
      <w:marTop w:val="0"/>
      <w:marBottom w:val="0"/>
      <w:divBdr>
        <w:top w:val="none" w:sz="0" w:space="0" w:color="auto"/>
        <w:left w:val="none" w:sz="0" w:space="0" w:color="auto"/>
        <w:bottom w:val="none" w:sz="0" w:space="0" w:color="auto"/>
        <w:right w:val="none" w:sz="0" w:space="0" w:color="auto"/>
      </w:divBdr>
    </w:div>
    <w:div w:id="1249190729">
      <w:bodyDiv w:val="1"/>
      <w:marLeft w:val="0"/>
      <w:marRight w:val="0"/>
      <w:marTop w:val="0"/>
      <w:marBottom w:val="0"/>
      <w:divBdr>
        <w:top w:val="none" w:sz="0" w:space="0" w:color="auto"/>
        <w:left w:val="none" w:sz="0" w:space="0" w:color="auto"/>
        <w:bottom w:val="none" w:sz="0" w:space="0" w:color="auto"/>
        <w:right w:val="none" w:sz="0" w:space="0" w:color="auto"/>
      </w:divBdr>
      <w:divsChild>
        <w:div w:id="413474940">
          <w:marLeft w:val="0"/>
          <w:marRight w:val="0"/>
          <w:marTop w:val="0"/>
          <w:marBottom w:val="0"/>
          <w:divBdr>
            <w:top w:val="none" w:sz="0" w:space="0" w:color="auto"/>
            <w:left w:val="none" w:sz="0" w:space="0" w:color="auto"/>
            <w:bottom w:val="none" w:sz="0" w:space="0" w:color="auto"/>
            <w:right w:val="none" w:sz="0" w:space="0" w:color="auto"/>
          </w:divBdr>
          <w:divsChild>
            <w:div w:id="483083238">
              <w:marLeft w:val="0"/>
              <w:marRight w:val="0"/>
              <w:marTop w:val="0"/>
              <w:marBottom w:val="0"/>
              <w:divBdr>
                <w:top w:val="none" w:sz="0" w:space="0" w:color="auto"/>
                <w:left w:val="none" w:sz="0" w:space="0" w:color="auto"/>
                <w:bottom w:val="none" w:sz="0" w:space="0" w:color="auto"/>
                <w:right w:val="none" w:sz="0" w:space="0" w:color="auto"/>
              </w:divBdr>
            </w:div>
            <w:div w:id="703486484">
              <w:marLeft w:val="0"/>
              <w:marRight w:val="0"/>
              <w:marTop w:val="0"/>
              <w:marBottom w:val="0"/>
              <w:divBdr>
                <w:top w:val="none" w:sz="0" w:space="0" w:color="auto"/>
                <w:left w:val="none" w:sz="0" w:space="0" w:color="auto"/>
                <w:bottom w:val="none" w:sz="0" w:space="0" w:color="auto"/>
                <w:right w:val="none" w:sz="0" w:space="0" w:color="auto"/>
              </w:divBdr>
            </w:div>
            <w:div w:id="805052105">
              <w:marLeft w:val="0"/>
              <w:marRight w:val="0"/>
              <w:marTop w:val="0"/>
              <w:marBottom w:val="0"/>
              <w:divBdr>
                <w:top w:val="none" w:sz="0" w:space="0" w:color="auto"/>
                <w:left w:val="none" w:sz="0" w:space="0" w:color="auto"/>
                <w:bottom w:val="none" w:sz="0" w:space="0" w:color="auto"/>
                <w:right w:val="none" w:sz="0" w:space="0" w:color="auto"/>
              </w:divBdr>
            </w:div>
            <w:div w:id="1474329947">
              <w:marLeft w:val="0"/>
              <w:marRight w:val="0"/>
              <w:marTop w:val="0"/>
              <w:marBottom w:val="0"/>
              <w:divBdr>
                <w:top w:val="none" w:sz="0" w:space="0" w:color="auto"/>
                <w:left w:val="none" w:sz="0" w:space="0" w:color="auto"/>
                <w:bottom w:val="none" w:sz="0" w:space="0" w:color="auto"/>
                <w:right w:val="none" w:sz="0" w:space="0" w:color="auto"/>
              </w:divBdr>
            </w:div>
            <w:div w:id="1661076987">
              <w:marLeft w:val="0"/>
              <w:marRight w:val="0"/>
              <w:marTop w:val="0"/>
              <w:marBottom w:val="0"/>
              <w:divBdr>
                <w:top w:val="none" w:sz="0" w:space="0" w:color="auto"/>
                <w:left w:val="none" w:sz="0" w:space="0" w:color="auto"/>
                <w:bottom w:val="none" w:sz="0" w:space="0" w:color="auto"/>
                <w:right w:val="none" w:sz="0" w:space="0" w:color="auto"/>
              </w:divBdr>
            </w:div>
            <w:div w:id="1777212668">
              <w:marLeft w:val="0"/>
              <w:marRight w:val="0"/>
              <w:marTop w:val="0"/>
              <w:marBottom w:val="0"/>
              <w:divBdr>
                <w:top w:val="none" w:sz="0" w:space="0" w:color="auto"/>
                <w:left w:val="none" w:sz="0" w:space="0" w:color="auto"/>
                <w:bottom w:val="none" w:sz="0" w:space="0" w:color="auto"/>
                <w:right w:val="none" w:sz="0" w:space="0" w:color="auto"/>
              </w:divBdr>
            </w:div>
            <w:div w:id="189696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61074">
      <w:bodyDiv w:val="1"/>
      <w:marLeft w:val="0"/>
      <w:marRight w:val="0"/>
      <w:marTop w:val="0"/>
      <w:marBottom w:val="0"/>
      <w:divBdr>
        <w:top w:val="none" w:sz="0" w:space="0" w:color="auto"/>
        <w:left w:val="none" w:sz="0" w:space="0" w:color="auto"/>
        <w:bottom w:val="none" w:sz="0" w:space="0" w:color="auto"/>
        <w:right w:val="none" w:sz="0" w:space="0" w:color="auto"/>
      </w:divBdr>
    </w:div>
    <w:div w:id="1346323596">
      <w:bodyDiv w:val="1"/>
      <w:marLeft w:val="0"/>
      <w:marRight w:val="0"/>
      <w:marTop w:val="0"/>
      <w:marBottom w:val="0"/>
      <w:divBdr>
        <w:top w:val="none" w:sz="0" w:space="0" w:color="auto"/>
        <w:left w:val="none" w:sz="0" w:space="0" w:color="auto"/>
        <w:bottom w:val="none" w:sz="0" w:space="0" w:color="auto"/>
        <w:right w:val="none" w:sz="0" w:space="0" w:color="auto"/>
      </w:divBdr>
      <w:divsChild>
        <w:div w:id="1565484571">
          <w:marLeft w:val="0"/>
          <w:marRight w:val="0"/>
          <w:marTop w:val="0"/>
          <w:marBottom w:val="0"/>
          <w:divBdr>
            <w:top w:val="none" w:sz="0" w:space="0" w:color="auto"/>
            <w:left w:val="none" w:sz="0" w:space="0" w:color="auto"/>
            <w:bottom w:val="none" w:sz="0" w:space="0" w:color="auto"/>
            <w:right w:val="none" w:sz="0" w:space="0" w:color="auto"/>
          </w:divBdr>
          <w:divsChild>
            <w:div w:id="285546282">
              <w:marLeft w:val="0"/>
              <w:marRight w:val="0"/>
              <w:marTop w:val="0"/>
              <w:marBottom w:val="0"/>
              <w:divBdr>
                <w:top w:val="none" w:sz="0" w:space="0" w:color="auto"/>
                <w:left w:val="none" w:sz="0" w:space="0" w:color="auto"/>
                <w:bottom w:val="none" w:sz="0" w:space="0" w:color="auto"/>
                <w:right w:val="none" w:sz="0" w:space="0" w:color="auto"/>
              </w:divBdr>
            </w:div>
            <w:div w:id="747069303">
              <w:marLeft w:val="0"/>
              <w:marRight w:val="0"/>
              <w:marTop w:val="0"/>
              <w:marBottom w:val="0"/>
              <w:divBdr>
                <w:top w:val="none" w:sz="0" w:space="0" w:color="auto"/>
                <w:left w:val="none" w:sz="0" w:space="0" w:color="auto"/>
                <w:bottom w:val="none" w:sz="0" w:space="0" w:color="auto"/>
                <w:right w:val="none" w:sz="0" w:space="0" w:color="auto"/>
              </w:divBdr>
            </w:div>
            <w:div w:id="931670405">
              <w:marLeft w:val="0"/>
              <w:marRight w:val="0"/>
              <w:marTop w:val="0"/>
              <w:marBottom w:val="0"/>
              <w:divBdr>
                <w:top w:val="none" w:sz="0" w:space="0" w:color="auto"/>
                <w:left w:val="none" w:sz="0" w:space="0" w:color="auto"/>
                <w:bottom w:val="none" w:sz="0" w:space="0" w:color="auto"/>
                <w:right w:val="none" w:sz="0" w:space="0" w:color="auto"/>
              </w:divBdr>
            </w:div>
            <w:div w:id="1466658913">
              <w:marLeft w:val="0"/>
              <w:marRight w:val="0"/>
              <w:marTop w:val="0"/>
              <w:marBottom w:val="0"/>
              <w:divBdr>
                <w:top w:val="none" w:sz="0" w:space="0" w:color="auto"/>
                <w:left w:val="none" w:sz="0" w:space="0" w:color="auto"/>
                <w:bottom w:val="none" w:sz="0" w:space="0" w:color="auto"/>
                <w:right w:val="none" w:sz="0" w:space="0" w:color="auto"/>
              </w:divBdr>
            </w:div>
            <w:div w:id="1749381145">
              <w:marLeft w:val="0"/>
              <w:marRight w:val="0"/>
              <w:marTop w:val="0"/>
              <w:marBottom w:val="0"/>
              <w:divBdr>
                <w:top w:val="none" w:sz="0" w:space="0" w:color="auto"/>
                <w:left w:val="none" w:sz="0" w:space="0" w:color="auto"/>
                <w:bottom w:val="none" w:sz="0" w:space="0" w:color="auto"/>
                <w:right w:val="none" w:sz="0" w:space="0" w:color="auto"/>
              </w:divBdr>
            </w:div>
            <w:div w:id="19025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53937">
      <w:bodyDiv w:val="1"/>
      <w:marLeft w:val="0"/>
      <w:marRight w:val="0"/>
      <w:marTop w:val="0"/>
      <w:marBottom w:val="0"/>
      <w:divBdr>
        <w:top w:val="none" w:sz="0" w:space="0" w:color="auto"/>
        <w:left w:val="none" w:sz="0" w:space="0" w:color="auto"/>
        <w:bottom w:val="none" w:sz="0" w:space="0" w:color="auto"/>
        <w:right w:val="none" w:sz="0" w:space="0" w:color="auto"/>
      </w:divBdr>
      <w:divsChild>
        <w:div w:id="1358434524">
          <w:marLeft w:val="0"/>
          <w:marRight w:val="0"/>
          <w:marTop w:val="0"/>
          <w:marBottom w:val="0"/>
          <w:divBdr>
            <w:top w:val="none" w:sz="0" w:space="0" w:color="auto"/>
            <w:left w:val="none" w:sz="0" w:space="0" w:color="auto"/>
            <w:bottom w:val="none" w:sz="0" w:space="0" w:color="auto"/>
            <w:right w:val="none" w:sz="0" w:space="0" w:color="auto"/>
          </w:divBdr>
          <w:divsChild>
            <w:div w:id="128015754">
              <w:marLeft w:val="0"/>
              <w:marRight w:val="0"/>
              <w:marTop w:val="0"/>
              <w:marBottom w:val="0"/>
              <w:divBdr>
                <w:top w:val="none" w:sz="0" w:space="0" w:color="auto"/>
                <w:left w:val="none" w:sz="0" w:space="0" w:color="auto"/>
                <w:bottom w:val="none" w:sz="0" w:space="0" w:color="auto"/>
                <w:right w:val="none" w:sz="0" w:space="0" w:color="auto"/>
              </w:divBdr>
            </w:div>
            <w:div w:id="201020235">
              <w:marLeft w:val="0"/>
              <w:marRight w:val="0"/>
              <w:marTop w:val="0"/>
              <w:marBottom w:val="0"/>
              <w:divBdr>
                <w:top w:val="none" w:sz="0" w:space="0" w:color="auto"/>
                <w:left w:val="none" w:sz="0" w:space="0" w:color="auto"/>
                <w:bottom w:val="none" w:sz="0" w:space="0" w:color="auto"/>
                <w:right w:val="none" w:sz="0" w:space="0" w:color="auto"/>
              </w:divBdr>
            </w:div>
            <w:div w:id="217323510">
              <w:marLeft w:val="0"/>
              <w:marRight w:val="0"/>
              <w:marTop w:val="0"/>
              <w:marBottom w:val="0"/>
              <w:divBdr>
                <w:top w:val="none" w:sz="0" w:space="0" w:color="auto"/>
                <w:left w:val="none" w:sz="0" w:space="0" w:color="auto"/>
                <w:bottom w:val="none" w:sz="0" w:space="0" w:color="auto"/>
                <w:right w:val="none" w:sz="0" w:space="0" w:color="auto"/>
              </w:divBdr>
            </w:div>
            <w:div w:id="1191146863">
              <w:marLeft w:val="0"/>
              <w:marRight w:val="0"/>
              <w:marTop w:val="0"/>
              <w:marBottom w:val="0"/>
              <w:divBdr>
                <w:top w:val="none" w:sz="0" w:space="0" w:color="auto"/>
                <w:left w:val="none" w:sz="0" w:space="0" w:color="auto"/>
                <w:bottom w:val="none" w:sz="0" w:space="0" w:color="auto"/>
                <w:right w:val="none" w:sz="0" w:space="0" w:color="auto"/>
              </w:divBdr>
            </w:div>
            <w:div w:id="14558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900504">
      <w:bodyDiv w:val="1"/>
      <w:marLeft w:val="0"/>
      <w:marRight w:val="0"/>
      <w:marTop w:val="0"/>
      <w:marBottom w:val="0"/>
      <w:divBdr>
        <w:top w:val="none" w:sz="0" w:space="0" w:color="auto"/>
        <w:left w:val="none" w:sz="0" w:space="0" w:color="auto"/>
        <w:bottom w:val="none" w:sz="0" w:space="0" w:color="auto"/>
        <w:right w:val="none" w:sz="0" w:space="0" w:color="auto"/>
      </w:divBdr>
    </w:div>
    <w:div w:id="1445808071">
      <w:bodyDiv w:val="1"/>
      <w:marLeft w:val="0"/>
      <w:marRight w:val="0"/>
      <w:marTop w:val="0"/>
      <w:marBottom w:val="0"/>
      <w:divBdr>
        <w:top w:val="none" w:sz="0" w:space="0" w:color="auto"/>
        <w:left w:val="none" w:sz="0" w:space="0" w:color="auto"/>
        <w:bottom w:val="none" w:sz="0" w:space="0" w:color="auto"/>
        <w:right w:val="none" w:sz="0" w:space="0" w:color="auto"/>
      </w:divBdr>
    </w:div>
    <w:div w:id="1488782151">
      <w:bodyDiv w:val="1"/>
      <w:marLeft w:val="0"/>
      <w:marRight w:val="0"/>
      <w:marTop w:val="0"/>
      <w:marBottom w:val="0"/>
      <w:divBdr>
        <w:top w:val="none" w:sz="0" w:space="0" w:color="auto"/>
        <w:left w:val="none" w:sz="0" w:space="0" w:color="auto"/>
        <w:bottom w:val="none" w:sz="0" w:space="0" w:color="auto"/>
        <w:right w:val="none" w:sz="0" w:space="0" w:color="auto"/>
      </w:divBdr>
      <w:divsChild>
        <w:div w:id="1093160010">
          <w:marLeft w:val="0"/>
          <w:marRight w:val="0"/>
          <w:marTop w:val="0"/>
          <w:marBottom w:val="0"/>
          <w:divBdr>
            <w:top w:val="none" w:sz="0" w:space="0" w:color="auto"/>
            <w:left w:val="none" w:sz="0" w:space="0" w:color="auto"/>
            <w:bottom w:val="none" w:sz="0" w:space="0" w:color="auto"/>
            <w:right w:val="none" w:sz="0" w:space="0" w:color="auto"/>
          </w:divBdr>
          <w:divsChild>
            <w:div w:id="4287993">
              <w:marLeft w:val="0"/>
              <w:marRight w:val="0"/>
              <w:marTop w:val="0"/>
              <w:marBottom w:val="0"/>
              <w:divBdr>
                <w:top w:val="none" w:sz="0" w:space="0" w:color="auto"/>
                <w:left w:val="none" w:sz="0" w:space="0" w:color="auto"/>
                <w:bottom w:val="none" w:sz="0" w:space="0" w:color="auto"/>
                <w:right w:val="none" w:sz="0" w:space="0" w:color="auto"/>
              </w:divBdr>
            </w:div>
            <w:div w:id="89861288">
              <w:marLeft w:val="0"/>
              <w:marRight w:val="0"/>
              <w:marTop w:val="0"/>
              <w:marBottom w:val="0"/>
              <w:divBdr>
                <w:top w:val="none" w:sz="0" w:space="0" w:color="auto"/>
                <w:left w:val="none" w:sz="0" w:space="0" w:color="auto"/>
                <w:bottom w:val="none" w:sz="0" w:space="0" w:color="auto"/>
                <w:right w:val="none" w:sz="0" w:space="0" w:color="auto"/>
              </w:divBdr>
            </w:div>
            <w:div w:id="146480899">
              <w:marLeft w:val="0"/>
              <w:marRight w:val="0"/>
              <w:marTop w:val="0"/>
              <w:marBottom w:val="0"/>
              <w:divBdr>
                <w:top w:val="none" w:sz="0" w:space="0" w:color="auto"/>
                <w:left w:val="none" w:sz="0" w:space="0" w:color="auto"/>
                <w:bottom w:val="none" w:sz="0" w:space="0" w:color="auto"/>
                <w:right w:val="none" w:sz="0" w:space="0" w:color="auto"/>
              </w:divBdr>
            </w:div>
            <w:div w:id="920649829">
              <w:marLeft w:val="0"/>
              <w:marRight w:val="0"/>
              <w:marTop w:val="0"/>
              <w:marBottom w:val="0"/>
              <w:divBdr>
                <w:top w:val="none" w:sz="0" w:space="0" w:color="auto"/>
                <w:left w:val="none" w:sz="0" w:space="0" w:color="auto"/>
                <w:bottom w:val="none" w:sz="0" w:space="0" w:color="auto"/>
                <w:right w:val="none" w:sz="0" w:space="0" w:color="auto"/>
              </w:divBdr>
            </w:div>
            <w:div w:id="972978795">
              <w:marLeft w:val="0"/>
              <w:marRight w:val="0"/>
              <w:marTop w:val="0"/>
              <w:marBottom w:val="0"/>
              <w:divBdr>
                <w:top w:val="none" w:sz="0" w:space="0" w:color="auto"/>
                <w:left w:val="none" w:sz="0" w:space="0" w:color="auto"/>
                <w:bottom w:val="none" w:sz="0" w:space="0" w:color="auto"/>
                <w:right w:val="none" w:sz="0" w:space="0" w:color="auto"/>
              </w:divBdr>
            </w:div>
            <w:div w:id="157072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53509">
      <w:bodyDiv w:val="1"/>
      <w:marLeft w:val="0"/>
      <w:marRight w:val="0"/>
      <w:marTop w:val="0"/>
      <w:marBottom w:val="0"/>
      <w:divBdr>
        <w:top w:val="none" w:sz="0" w:space="0" w:color="auto"/>
        <w:left w:val="none" w:sz="0" w:space="0" w:color="auto"/>
        <w:bottom w:val="none" w:sz="0" w:space="0" w:color="auto"/>
        <w:right w:val="none" w:sz="0" w:space="0" w:color="auto"/>
      </w:divBdr>
    </w:div>
    <w:div w:id="1627809359">
      <w:bodyDiv w:val="1"/>
      <w:marLeft w:val="0"/>
      <w:marRight w:val="0"/>
      <w:marTop w:val="0"/>
      <w:marBottom w:val="0"/>
      <w:divBdr>
        <w:top w:val="none" w:sz="0" w:space="0" w:color="auto"/>
        <w:left w:val="none" w:sz="0" w:space="0" w:color="auto"/>
        <w:bottom w:val="none" w:sz="0" w:space="0" w:color="auto"/>
        <w:right w:val="none" w:sz="0" w:space="0" w:color="auto"/>
      </w:divBdr>
    </w:div>
    <w:div w:id="1675449064">
      <w:bodyDiv w:val="1"/>
      <w:marLeft w:val="0"/>
      <w:marRight w:val="0"/>
      <w:marTop w:val="0"/>
      <w:marBottom w:val="0"/>
      <w:divBdr>
        <w:top w:val="none" w:sz="0" w:space="0" w:color="auto"/>
        <w:left w:val="none" w:sz="0" w:space="0" w:color="auto"/>
        <w:bottom w:val="none" w:sz="0" w:space="0" w:color="auto"/>
        <w:right w:val="none" w:sz="0" w:space="0" w:color="auto"/>
      </w:divBdr>
      <w:divsChild>
        <w:div w:id="143547247">
          <w:marLeft w:val="0"/>
          <w:marRight w:val="0"/>
          <w:marTop w:val="0"/>
          <w:marBottom w:val="0"/>
          <w:divBdr>
            <w:top w:val="none" w:sz="0" w:space="0" w:color="auto"/>
            <w:left w:val="none" w:sz="0" w:space="0" w:color="auto"/>
            <w:bottom w:val="none" w:sz="0" w:space="0" w:color="auto"/>
            <w:right w:val="none" w:sz="0" w:space="0" w:color="auto"/>
          </w:divBdr>
          <w:divsChild>
            <w:div w:id="428625645">
              <w:marLeft w:val="0"/>
              <w:marRight w:val="0"/>
              <w:marTop w:val="0"/>
              <w:marBottom w:val="0"/>
              <w:divBdr>
                <w:top w:val="none" w:sz="0" w:space="0" w:color="auto"/>
                <w:left w:val="none" w:sz="0" w:space="0" w:color="auto"/>
                <w:bottom w:val="none" w:sz="0" w:space="0" w:color="auto"/>
                <w:right w:val="none" w:sz="0" w:space="0" w:color="auto"/>
              </w:divBdr>
            </w:div>
            <w:div w:id="774710357">
              <w:marLeft w:val="0"/>
              <w:marRight w:val="0"/>
              <w:marTop w:val="0"/>
              <w:marBottom w:val="0"/>
              <w:divBdr>
                <w:top w:val="none" w:sz="0" w:space="0" w:color="auto"/>
                <w:left w:val="none" w:sz="0" w:space="0" w:color="auto"/>
                <w:bottom w:val="none" w:sz="0" w:space="0" w:color="auto"/>
                <w:right w:val="none" w:sz="0" w:space="0" w:color="auto"/>
              </w:divBdr>
            </w:div>
            <w:div w:id="889147769">
              <w:marLeft w:val="0"/>
              <w:marRight w:val="0"/>
              <w:marTop w:val="0"/>
              <w:marBottom w:val="0"/>
              <w:divBdr>
                <w:top w:val="none" w:sz="0" w:space="0" w:color="auto"/>
                <w:left w:val="none" w:sz="0" w:space="0" w:color="auto"/>
                <w:bottom w:val="none" w:sz="0" w:space="0" w:color="auto"/>
                <w:right w:val="none" w:sz="0" w:space="0" w:color="auto"/>
              </w:divBdr>
            </w:div>
            <w:div w:id="1349987081">
              <w:marLeft w:val="0"/>
              <w:marRight w:val="0"/>
              <w:marTop w:val="0"/>
              <w:marBottom w:val="0"/>
              <w:divBdr>
                <w:top w:val="none" w:sz="0" w:space="0" w:color="auto"/>
                <w:left w:val="none" w:sz="0" w:space="0" w:color="auto"/>
                <w:bottom w:val="none" w:sz="0" w:space="0" w:color="auto"/>
                <w:right w:val="none" w:sz="0" w:space="0" w:color="auto"/>
              </w:divBdr>
            </w:div>
            <w:div w:id="156441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88878">
      <w:bodyDiv w:val="1"/>
      <w:marLeft w:val="0"/>
      <w:marRight w:val="0"/>
      <w:marTop w:val="0"/>
      <w:marBottom w:val="0"/>
      <w:divBdr>
        <w:top w:val="none" w:sz="0" w:space="0" w:color="auto"/>
        <w:left w:val="none" w:sz="0" w:space="0" w:color="auto"/>
        <w:bottom w:val="none" w:sz="0" w:space="0" w:color="auto"/>
        <w:right w:val="none" w:sz="0" w:space="0" w:color="auto"/>
      </w:divBdr>
      <w:divsChild>
        <w:div w:id="413666424">
          <w:marLeft w:val="0"/>
          <w:marRight w:val="0"/>
          <w:marTop w:val="0"/>
          <w:marBottom w:val="0"/>
          <w:divBdr>
            <w:top w:val="none" w:sz="0" w:space="0" w:color="auto"/>
            <w:left w:val="none" w:sz="0" w:space="0" w:color="auto"/>
            <w:bottom w:val="none" w:sz="0" w:space="0" w:color="auto"/>
            <w:right w:val="none" w:sz="0" w:space="0" w:color="auto"/>
          </w:divBdr>
          <w:divsChild>
            <w:div w:id="312561298">
              <w:marLeft w:val="0"/>
              <w:marRight w:val="0"/>
              <w:marTop w:val="0"/>
              <w:marBottom w:val="0"/>
              <w:divBdr>
                <w:top w:val="none" w:sz="0" w:space="0" w:color="auto"/>
                <w:left w:val="none" w:sz="0" w:space="0" w:color="auto"/>
                <w:bottom w:val="none" w:sz="0" w:space="0" w:color="auto"/>
                <w:right w:val="none" w:sz="0" w:space="0" w:color="auto"/>
              </w:divBdr>
            </w:div>
            <w:div w:id="931359161">
              <w:marLeft w:val="0"/>
              <w:marRight w:val="0"/>
              <w:marTop w:val="0"/>
              <w:marBottom w:val="0"/>
              <w:divBdr>
                <w:top w:val="none" w:sz="0" w:space="0" w:color="auto"/>
                <w:left w:val="none" w:sz="0" w:space="0" w:color="auto"/>
                <w:bottom w:val="none" w:sz="0" w:space="0" w:color="auto"/>
                <w:right w:val="none" w:sz="0" w:space="0" w:color="auto"/>
              </w:divBdr>
            </w:div>
            <w:div w:id="1532915202">
              <w:marLeft w:val="0"/>
              <w:marRight w:val="0"/>
              <w:marTop w:val="0"/>
              <w:marBottom w:val="0"/>
              <w:divBdr>
                <w:top w:val="none" w:sz="0" w:space="0" w:color="auto"/>
                <w:left w:val="none" w:sz="0" w:space="0" w:color="auto"/>
                <w:bottom w:val="none" w:sz="0" w:space="0" w:color="auto"/>
                <w:right w:val="none" w:sz="0" w:space="0" w:color="auto"/>
              </w:divBdr>
            </w:div>
            <w:div w:id="1596935962">
              <w:marLeft w:val="0"/>
              <w:marRight w:val="0"/>
              <w:marTop w:val="0"/>
              <w:marBottom w:val="0"/>
              <w:divBdr>
                <w:top w:val="none" w:sz="0" w:space="0" w:color="auto"/>
                <w:left w:val="none" w:sz="0" w:space="0" w:color="auto"/>
                <w:bottom w:val="none" w:sz="0" w:space="0" w:color="auto"/>
                <w:right w:val="none" w:sz="0" w:space="0" w:color="auto"/>
              </w:divBdr>
            </w:div>
            <w:div w:id="185514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696">
      <w:bodyDiv w:val="1"/>
      <w:marLeft w:val="0"/>
      <w:marRight w:val="0"/>
      <w:marTop w:val="0"/>
      <w:marBottom w:val="0"/>
      <w:divBdr>
        <w:top w:val="none" w:sz="0" w:space="0" w:color="auto"/>
        <w:left w:val="none" w:sz="0" w:space="0" w:color="auto"/>
        <w:bottom w:val="none" w:sz="0" w:space="0" w:color="auto"/>
        <w:right w:val="none" w:sz="0" w:space="0" w:color="auto"/>
      </w:divBdr>
    </w:div>
    <w:div w:id="1752117844">
      <w:bodyDiv w:val="1"/>
      <w:marLeft w:val="0"/>
      <w:marRight w:val="0"/>
      <w:marTop w:val="0"/>
      <w:marBottom w:val="0"/>
      <w:divBdr>
        <w:top w:val="none" w:sz="0" w:space="0" w:color="auto"/>
        <w:left w:val="none" w:sz="0" w:space="0" w:color="auto"/>
        <w:bottom w:val="none" w:sz="0" w:space="0" w:color="auto"/>
        <w:right w:val="none" w:sz="0" w:space="0" w:color="auto"/>
      </w:divBdr>
      <w:divsChild>
        <w:div w:id="1769887376">
          <w:marLeft w:val="0"/>
          <w:marRight w:val="0"/>
          <w:marTop w:val="0"/>
          <w:marBottom w:val="0"/>
          <w:divBdr>
            <w:top w:val="none" w:sz="0" w:space="0" w:color="auto"/>
            <w:left w:val="none" w:sz="0" w:space="0" w:color="auto"/>
            <w:bottom w:val="none" w:sz="0" w:space="0" w:color="auto"/>
            <w:right w:val="none" w:sz="0" w:space="0" w:color="auto"/>
          </w:divBdr>
        </w:div>
      </w:divsChild>
    </w:div>
    <w:div w:id="1991933249">
      <w:bodyDiv w:val="1"/>
      <w:marLeft w:val="0"/>
      <w:marRight w:val="0"/>
      <w:marTop w:val="0"/>
      <w:marBottom w:val="0"/>
      <w:divBdr>
        <w:top w:val="none" w:sz="0" w:space="0" w:color="auto"/>
        <w:left w:val="none" w:sz="0" w:space="0" w:color="auto"/>
        <w:bottom w:val="none" w:sz="0" w:space="0" w:color="auto"/>
        <w:right w:val="none" w:sz="0" w:space="0" w:color="auto"/>
      </w:divBdr>
      <w:divsChild>
        <w:div w:id="819426752">
          <w:marLeft w:val="0"/>
          <w:marRight w:val="0"/>
          <w:marTop w:val="0"/>
          <w:marBottom w:val="0"/>
          <w:divBdr>
            <w:top w:val="none" w:sz="0" w:space="0" w:color="auto"/>
            <w:left w:val="none" w:sz="0" w:space="0" w:color="auto"/>
            <w:bottom w:val="none" w:sz="0" w:space="0" w:color="auto"/>
            <w:right w:val="none" w:sz="0" w:space="0" w:color="auto"/>
          </w:divBdr>
        </w:div>
      </w:divsChild>
    </w:div>
    <w:div w:id="2002586929">
      <w:bodyDiv w:val="1"/>
      <w:marLeft w:val="0"/>
      <w:marRight w:val="0"/>
      <w:marTop w:val="0"/>
      <w:marBottom w:val="0"/>
      <w:divBdr>
        <w:top w:val="none" w:sz="0" w:space="0" w:color="auto"/>
        <w:left w:val="none" w:sz="0" w:space="0" w:color="auto"/>
        <w:bottom w:val="none" w:sz="0" w:space="0" w:color="auto"/>
        <w:right w:val="none" w:sz="0" w:space="0" w:color="auto"/>
      </w:divBdr>
    </w:div>
    <w:div w:id="2019235778">
      <w:bodyDiv w:val="1"/>
      <w:marLeft w:val="0"/>
      <w:marRight w:val="0"/>
      <w:marTop w:val="0"/>
      <w:marBottom w:val="0"/>
      <w:divBdr>
        <w:top w:val="none" w:sz="0" w:space="0" w:color="auto"/>
        <w:left w:val="none" w:sz="0" w:space="0" w:color="auto"/>
        <w:bottom w:val="none" w:sz="0" w:space="0" w:color="auto"/>
        <w:right w:val="none" w:sz="0" w:space="0" w:color="auto"/>
      </w:divBdr>
      <w:divsChild>
        <w:div w:id="851190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E48315B-3521-4DE6-80EA-4DD433270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1218</Words>
  <Characters>6702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Carga a CREG_Consultas, Taller y Activos no operativos</vt:lpstr>
    </vt:vector>
  </TitlesOfParts>
  <Company>Consejo Nacional de Operacion CNO</Company>
  <LinksUpToDate>false</LinksUpToDate>
  <CharactersWithSpaces>7905</CharactersWithSpaces>
  <SharedDoc>false</SharedDoc>
  <HLinks>
    <vt:vector size="6" baseType="variant">
      <vt:variant>
        <vt:i4>6488099</vt:i4>
      </vt:variant>
      <vt:variant>
        <vt:i4>3</vt:i4>
      </vt:variant>
      <vt:variant>
        <vt:i4>0</vt:i4>
      </vt:variant>
      <vt:variant>
        <vt:i4>5</vt:i4>
      </vt:variant>
      <vt:variant>
        <vt:lpwstr>http://www.cno.org.co/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Carga a CREG_Consultas, Taller y Activos no operativos</dc:title>
  <dc:creator>CT CNO</dc:creator>
  <cp:lastModifiedBy>Alberto Olarte</cp:lastModifiedBy>
  <cp:revision>2</cp:revision>
  <cp:lastPrinted>2018-05-03T12:12:00Z</cp:lastPrinted>
  <dcterms:created xsi:type="dcterms:W3CDTF">2018-06-06T18:36:00Z</dcterms:created>
  <dcterms:modified xsi:type="dcterms:W3CDTF">2018-06-06T18:36:00Z</dcterms:modified>
</cp:coreProperties>
</file>