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A202C" w14:textId="5326036B" w:rsidR="00112C06" w:rsidRPr="000D0FE5" w:rsidRDefault="00112C06" w:rsidP="000D0FE5">
      <w:pPr>
        <w:pStyle w:val="Ttulo"/>
        <w:jc w:val="center"/>
        <w:rPr>
          <w:rFonts w:ascii="Verdana" w:eastAsia="Verdana" w:hAnsi="Verdana" w:cs="Verdana"/>
          <w:b/>
          <w:sz w:val="32"/>
          <w:szCs w:val="32"/>
        </w:rPr>
      </w:pPr>
      <w:r w:rsidRPr="00052450">
        <w:rPr>
          <w:rFonts w:ascii="Verdana" w:eastAsia="Verdana" w:hAnsi="Verdana" w:cs="Verdana"/>
          <w:b/>
          <w:sz w:val="32"/>
          <w:szCs w:val="32"/>
        </w:rPr>
        <w:t>INFORME CNO 5</w:t>
      </w:r>
      <w:r w:rsidR="005F56D1">
        <w:rPr>
          <w:rFonts w:ascii="Verdana" w:eastAsia="Verdana" w:hAnsi="Verdana" w:cs="Verdana"/>
          <w:b/>
          <w:sz w:val="32"/>
          <w:szCs w:val="32"/>
        </w:rPr>
        <w:t>83</w:t>
      </w:r>
    </w:p>
    <w:p w14:paraId="63311C03" w14:textId="77777777" w:rsidR="00112C06" w:rsidRPr="000D0FE5" w:rsidRDefault="00112C06" w:rsidP="000D0FE5">
      <w:pPr>
        <w:jc w:val="both"/>
        <w:rPr>
          <w:rFonts w:ascii="Verdana" w:eastAsia="Verdana" w:hAnsi="Verdana" w:cs="Verdana"/>
          <w:sz w:val="22"/>
          <w:szCs w:val="22"/>
        </w:rPr>
      </w:pPr>
    </w:p>
    <w:p w14:paraId="6E0C8BBC" w14:textId="37BEF9BD" w:rsidR="00112C06" w:rsidRPr="000D0FE5" w:rsidRDefault="00112C06" w:rsidP="000D0FE5">
      <w:pPr>
        <w:jc w:val="both"/>
        <w:rPr>
          <w:rFonts w:ascii="Verdana" w:eastAsia="Verdana" w:hAnsi="Verdana" w:cs="Verdana"/>
          <w:sz w:val="22"/>
          <w:szCs w:val="22"/>
        </w:rPr>
      </w:pPr>
      <w:r w:rsidRPr="000D0FE5">
        <w:rPr>
          <w:rFonts w:ascii="Verdana" w:eastAsia="Verdana" w:hAnsi="Verdana" w:cs="Verdana"/>
          <w:sz w:val="22"/>
          <w:szCs w:val="22"/>
        </w:rPr>
        <w:t xml:space="preserve">Fecha: </w:t>
      </w:r>
      <w:r w:rsidR="005F56D1">
        <w:rPr>
          <w:rFonts w:ascii="Verdana" w:eastAsia="Verdana" w:hAnsi="Verdana" w:cs="Verdana"/>
          <w:sz w:val="22"/>
          <w:szCs w:val="22"/>
        </w:rPr>
        <w:t>enero 16</w:t>
      </w:r>
      <w:r w:rsidR="00C5293B" w:rsidRPr="000D0FE5">
        <w:rPr>
          <w:rFonts w:ascii="Verdana" w:eastAsia="Verdana" w:hAnsi="Verdana" w:cs="Verdana"/>
          <w:sz w:val="22"/>
          <w:szCs w:val="22"/>
        </w:rPr>
        <w:t xml:space="preserve"> </w:t>
      </w:r>
      <w:r w:rsidRPr="000D0FE5">
        <w:rPr>
          <w:rFonts w:ascii="Verdana" w:eastAsia="Verdana" w:hAnsi="Verdana" w:cs="Verdana"/>
          <w:sz w:val="22"/>
          <w:szCs w:val="22"/>
        </w:rPr>
        <w:t>de 20</w:t>
      </w:r>
      <w:r w:rsidR="005F56D1">
        <w:rPr>
          <w:rFonts w:ascii="Verdana" w:eastAsia="Verdana" w:hAnsi="Verdana" w:cs="Verdana"/>
          <w:sz w:val="22"/>
          <w:szCs w:val="22"/>
        </w:rPr>
        <w:t>20</w:t>
      </w:r>
      <w:r w:rsidRPr="000D0FE5">
        <w:rPr>
          <w:rFonts w:ascii="Verdana" w:eastAsia="Verdana" w:hAnsi="Verdana" w:cs="Verdana"/>
          <w:sz w:val="22"/>
          <w:szCs w:val="22"/>
        </w:rPr>
        <w:t>.</w:t>
      </w:r>
    </w:p>
    <w:p w14:paraId="725993AB" w14:textId="77777777" w:rsidR="00112C06" w:rsidRPr="000D0FE5" w:rsidRDefault="00112C06" w:rsidP="000D0FE5">
      <w:pPr>
        <w:jc w:val="both"/>
        <w:rPr>
          <w:rFonts w:ascii="Verdana" w:hAnsi="Verdana"/>
          <w:sz w:val="22"/>
          <w:szCs w:val="22"/>
        </w:rPr>
      </w:pPr>
    </w:p>
    <w:p w14:paraId="7183085F" w14:textId="77777777" w:rsidR="00112C06" w:rsidRPr="000D0FE5" w:rsidRDefault="00112C06" w:rsidP="000D0FE5">
      <w:pPr>
        <w:jc w:val="both"/>
        <w:rPr>
          <w:rFonts w:ascii="Verdana" w:eastAsia="Verdana" w:hAnsi="Verdana" w:cs="Verdana"/>
          <w:b/>
          <w:sz w:val="22"/>
          <w:szCs w:val="22"/>
          <w:u w:val="single"/>
        </w:rPr>
      </w:pPr>
      <w:r w:rsidRPr="000D0FE5">
        <w:rPr>
          <w:rFonts w:ascii="Verdana" w:eastAsia="Verdana" w:hAnsi="Verdana" w:cs="Verdana"/>
          <w:b/>
          <w:sz w:val="22"/>
          <w:szCs w:val="22"/>
          <w:u w:val="single"/>
        </w:rPr>
        <w:t>ASPECTOS ADMINISTRATIVOS:</w:t>
      </w:r>
    </w:p>
    <w:p w14:paraId="740BC901" w14:textId="77777777" w:rsidR="00282C44" w:rsidRPr="00024171" w:rsidRDefault="00282C44" w:rsidP="00024171">
      <w:pPr>
        <w:autoSpaceDE w:val="0"/>
        <w:autoSpaceDN w:val="0"/>
        <w:adjustRightInd w:val="0"/>
        <w:jc w:val="both"/>
        <w:rPr>
          <w:rFonts w:ascii="Verdana" w:eastAsia="Verdana" w:hAnsi="Verdana" w:cs="Verdana"/>
          <w:sz w:val="22"/>
          <w:szCs w:val="22"/>
        </w:rPr>
      </w:pPr>
    </w:p>
    <w:p w14:paraId="29E52DDC" w14:textId="706B3396" w:rsidR="0060078E" w:rsidRPr="001C50E6" w:rsidRDefault="00FA3EC6" w:rsidP="001C50E6">
      <w:pPr>
        <w:pStyle w:val="Prrafodelista"/>
        <w:numPr>
          <w:ilvl w:val="0"/>
          <w:numId w:val="35"/>
        </w:numPr>
        <w:autoSpaceDE w:val="0"/>
        <w:autoSpaceDN w:val="0"/>
        <w:adjustRightInd w:val="0"/>
        <w:jc w:val="both"/>
        <w:rPr>
          <w:rFonts w:ascii="Verdana" w:eastAsia="Verdana" w:hAnsi="Verdana" w:cs="Verdana"/>
          <w:sz w:val="22"/>
          <w:szCs w:val="22"/>
        </w:rPr>
      </w:pPr>
      <w:r w:rsidRPr="001C50E6">
        <w:rPr>
          <w:rFonts w:ascii="Verdana" w:eastAsia="Verdana" w:hAnsi="Verdana" w:cs="Verdana"/>
          <w:sz w:val="22"/>
          <w:szCs w:val="22"/>
        </w:rPr>
        <w:t xml:space="preserve">Anexo a este informe encontrarán </w:t>
      </w:r>
      <w:r w:rsidR="002E67EE" w:rsidRPr="001C50E6">
        <w:rPr>
          <w:rFonts w:ascii="Verdana" w:eastAsia="Verdana" w:hAnsi="Verdana" w:cs="Verdana"/>
          <w:sz w:val="22"/>
          <w:szCs w:val="22"/>
        </w:rPr>
        <w:t xml:space="preserve">el presupuesto </w:t>
      </w:r>
      <w:r w:rsidR="003A7EEB" w:rsidRPr="001C50E6">
        <w:rPr>
          <w:rFonts w:ascii="Verdana" w:eastAsia="Verdana" w:hAnsi="Verdana" w:cs="Verdana"/>
          <w:sz w:val="22"/>
          <w:szCs w:val="22"/>
        </w:rPr>
        <w:t>de funcionamiento d</w:t>
      </w:r>
      <w:r w:rsidRPr="001C50E6">
        <w:rPr>
          <w:rFonts w:ascii="Verdana" w:eastAsia="Verdana" w:hAnsi="Verdana" w:cs="Verdana"/>
          <w:sz w:val="22"/>
          <w:szCs w:val="22"/>
        </w:rPr>
        <w:t>el Con</w:t>
      </w:r>
      <w:r w:rsidR="00AC0053" w:rsidRPr="001C50E6">
        <w:rPr>
          <w:rFonts w:ascii="Verdana" w:eastAsia="Verdana" w:hAnsi="Verdana" w:cs="Verdana"/>
          <w:sz w:val="22"/>
          <w:szCs w:val="22"/>
        </w:rPr>
        <w:t>s</w:t>
      </w:r>
      <w:r w:rsidRPr="001C50E6">
        <w:rPr>
          <w:rFonts w:ascii="Verdana" w:eastAsia="Verdana" w:hAnsi="Verdana" w:cs="Verdana"/>
          <w:sz w:val="22"/>
          <w:szCs w:val="22"/>
        </w:rPr>
        <w:t xml:space="preserve">ejo para el año </w:t>
      </w:r>
      <w:r w:rsidR="002E67EE" w:rsidRPr="001C50E6">
        <w:rPr>
          <w:rFonts w:ascii="Verdana" w:eastAsia="Verdana" w:hAnsi="Verdana" w:cs="Verdana"/>
          <w:sz w:val="22"/>
          <w:szCs w:val="22"/>
        </w:rPr>
        <w:t>2020</w:t>
      </w:r>
      <w:r w:rsidRPr="001C50E6">
        <w:rPr>
          <w:rFonts w:ascii="Verdana" w:eastAsia="Verdana" w:hAnsi="Verdana" w:cs="Verdana"/>
          <w:sz w:val="22"/>
          <w:szCs w:val="22"/>
        </w:rPr>
        <w:t>,</w:t>
      </w:r>
      <w:r w:rsidR="002E67EE" w:rsidRPr="001C50E6">
        <w:rPr>
          <w:rFonts w:ascii="Verdana" w:eastAsia="Verdana" w:hAnsi="Verdana" w:cs="Verdana"/>
          <w:sz w:val="22"/>
          <w:szCs w:val="22"/>
        </w:rPr>
        <w:t xml:space="preserve"> con </w:t>
      </w:r>
      <w:r w:rsidR="00506CC8" w:rsidRPr="001C50E6">
        <w:rPr>
          <w:rFonts w:ascii="Verdana" w:eastAsia="Verdana" w:hAnsi="Verdana" w:cs="Verdana"/>
          <w:sz w:val="22"/>
          <w:szCs w:val="22"/>
        </w:rPr>
        <w:t xml:space="preserve">el </w:t>
      </w:r>
      <w:r w:rsidR="002E67EE" w:rsidRPr="001C50E6">
        <w:rPr>
          <w:rFonts w:ascii="Verdana" w:eastAsia="Verdana" w:hAnsi="Verdana" w:cs="Verdana"/>
          <w:sz w:val="22"/>
          <w:szCs w:val="22"/>
        </w:rPr>
        <w:t xml:space="preserve">incremento del SMLM del </w:t>
      </w:r>
      <w:r w:rsidR="00506CC8" w:rsidRPr="001C50E6">
        <w:rPr>
          <w:rFonts w:ascii="Verdana" w:eastAsia="Verdana" w:hAnsi="Verdana" w:cs="Verdana"/>
          <w:sz w:val="22"/>
          <w:szCs w:val="22"/>
        </w:rPr>
        <w:t>6</w:t>
      </w:r>
      <w:r w:rsidR="002E67EE" w:rsidRPr="001C50E6">
        <w:rPr>
          <w:rFonts w:ascii="Verdana" w:eastAsia="Verdana" w:hAnsi="Verdana" w:cs="Verdana"/>
          <w:sz w:val="22"/>
          <w:szCs w:val="22"/>
        </w:rPr>
        <w:t xml:space="preserve"> %.</w:t>
      </w:r>
      <w:r w:rsidR="003A7EEB" w:rsidRPr="001C50E6">
        <w:rPr>
          <w:rFonts w:ascii="Verdana" w:eastAsia="Verdana" w:hAnsi="Verdana" w:cs="Verdana"/>
          <w:sz w:val="22"/>
          <w:szCs w:val="22"/>
        </w:rPr>
        <w:t xml:space="preserve"> El porcentaje de</w:t>
      </w:r>
      <w:r w:rsidR="00863B90" w:rsidRPr="001C50E6">
        <w:rPr>
          <w:rFonts w:ascii="Verdana" w:eastAsia="Verdana" w:hAnsi="Verdana" w:cs="Verdana"/>
          <w:sz w:val="22"/>
          <w:szCs w:val="22"/>
        </w:rPr>
        <w:t>l</w:t>
      </w:r>
      <w:r w:rsidR="003A7EEB" w:rsidRPr="001C50E6">
        <w:rPr>
          <w:rFonts w:ascii="Verdana" w:eastAsia="Verdana" w:hAnsi="Verdana" w:cs="Verdana"/>
          <w:sz w:val="22"/>
          <w:szCs w:val="22"/>
        </w:rPr>
        <w:t xml:space="preserve"> incremento </w:t>
      </w:r>
      <w:r w:rsidR="00506CC8" w:rsidRPr="001C50E6">
        <w:rPr>
          <w:rFonts w:ascii="Verdana" w:eastAsia="Verdana" w:hAnsi="Verdana" w:cs="Verdana"/>
          <w:sz w:val="22"/>
          <w:szCs w:val="22"/>
        </w:rPr>
        <w:t xml:space="preserve">de la cuota anual </w:t>
      </w:r>
      <w:r w:rsidR="003A7EEB" w:rsidRPr="001C50E6">
        <w:rPr>
          <w:rFonts w:ascii="Verdana" w:eastAsia="Verdana" w:hAnsi="Verdana" w:cs="Verdana"/>
          <w:sz w:val="22"/>
          <w:szCs w:val="22"/>
        </w:rPr>
        <w:t xml:space="preserve">es del </w:t>
      </w:r>
      <w:r w:rsidR="00EA41A5">
        <w:rPr>
          <w:rFonts w:ascii="Verdana" w:eastAsia="Verdana" w:hAnsi="Verdana" w:cs="Verdana"/>
          <w:sz w:val="22"/>
          <w:szCs w:val="22"/>
        </w:rPr>
        <w:t xml:space="preserve">3 </w:t>
      </w:r>
      <w:r w:rsidR="003A7EEB" w:rsidRPr="001C50E6">
        <w:rPr>
          <w:rFonts w:ascii="Verdana" w:eastAsia="Verdana" w:hAnsi="Verdana" w:cs="Verdana"/>
          <w:sz w:val="22"/>
          <w:szCs w:val="22"/>
        </w:rPr>
        <w:t>%</w:t>
      </w:r>
      <w:r w:rsidR="00323968" w:rsidRPr="001C50E6">
        <w:rPr>
          <w:rFonts w:ascii="Verdana" w:eastAsia="Verdana" w:hAnsi="Verdana" w:cs="Verdana"/>
          <w:sz w:val="22"/>
          <w:szCs w:val="22"/>
        </w:rPr>
        <w:t>,</w:t>
      </w:r>
      <w:r w:rsidR="003A7EEB" w:rsidRPr="001C50E6">
        <w:rPr>
          <w:rFonts w:ascii="Verdana" w:eastAsia="Verdana" w:hAnsi="Verdana" w:cs="Verdana"/>
          <w:sz w:val="22"/>
          <w:szCs w:val="22"/>
        </w:rPr>
        <w:t xml:space="preserve"> el cual se </w:t>
      </w:r>
      <w:r w:rsidR="00506CC8" w:rsidRPr="001C50E6">
        <w:rPr>
          <w:rFonts w:ascii="Verdana" w:eastAsia="Verdana" w:hAnsi="Verdana" w:cs="Verdana"/>
          <w:sz w:val="22"/>
          <w:szCs w:val="22"/>
        </w:rPr>
        <w:t xml:space="preserve">sometió a conocimiento de la comisión conformada por XM e ISAGEN. Se presenta al CNO para su ratificación. </w:t>
      </w:r>
    </w:p>
    <w:p w14:paraId="66205464" w14:textId="6CCCE8DD" w:rsidR="0060078E" w:rsidRPr="001C50E6" w:rsidRDefault="0060078E" w:rsidP="001C50E6">
      <w:pPr>
        <w:pStyle w:val="Prrafodelista"/>
        <w:numPr>
          <w:ilvl w:val="0"/>
          <w:numId w:val="35"/>
        </w:numPr>
        <w:autoSpaceDE w:val="0"/>
        <w:autoSpaceDN w:val="0"/>
        <w:adjustRightInd w:val="0"/>
        <w:jc w:val="both"/>
        <w:rPr>
          <w:rFonts w:ascii="Verdana" w:eastAsia="Verdana" w:hAnsi="Verdana" w:cs="Verdana"/>
          <w:sz w:val="22"/>
          <w:szCs w:val="22"/>
        </w:rPr>
      </w:pPr>
      <w:r w:rsidRPr="001C50E6">
        <w:rPr>
          <w:rFonts w:ascii="Verdana" w:eastAsia="Verdana" w:hAnsi="Verdana" w:cs="Verdana"/>
          <w:sz w:val="22"/>
          <w:szCs w:val="22"/>
        </w:rPr>
        <w:t>Según lo previsto en el Reglamento Interno del CNO, hasta el 31 de enero de 2020 se reciben las solicitudes de las empresas de generación, transmisión y distribución de ser invitadas a las reuniones del CNO y de los comités y subcomités del CNO.</w:t>
      </w:r>
    </w:p>
    <w:p w14:paraId="5629E132" w14:textId="3E654826" w:rsidR="0060078E" w:rsidRPr="001C50E6" w:rsidRDefault="0060078E" w:rsidP="001C50E6">
      <w:pPr>
        <w:pStyle w:val="Prrafodelista"/>
        <w:numPr>
          <w:ilvl w:val="0"/>
          <w:numId w:val="35"/>
        </w:numPr>
        <w:autoSpaceDE w:val="0"/>
        <w:autoSpaceDN w:val="0"/>
        <w:adjustRightInd w:val="0"/>
        <w:jc w:val="both"/>
        <w:rPr>
          <w:rFonts w:ascii="Verdana" w:eastAsia="Verdana" w:hAnsi="Verdana" w:cs="Verdana"/>
          <w:sz w:val="22"/>
          <w:szCs w:val="22"/>
        </w:rPr>
      </w:pPr>
      <w:r w:rsidRPr="001C50E6">
        <w:rPr>
          <w:rFonts w:ascii="Verdana" w:eastAsia="Verdana" w:hAnsi="Verdana" w:cs="Verdana"/>
          <w:sz w:val="22"/>
          <w:szCs w:val="22"/>
        </w:rPr>
        <w:t>En las reuniones de subcomités y comités del mes de enero se está haciendo la inducción, un ejercicio de autoevaluación y se está formulando el Plan Operativo del año 2020. Los resultados del ejercicio se presentarán en la reunión del Consejo del mes de febrero de 2020.</w:t>
      </w:r>
    </w:p>
    <w:p w14:paraId="25D4F12E" w14:textId="0F9807E6" w:rsidR="0060078E" w:rsidRPr="001C50E6" w:rsidRDefault="0060078E" w:rsidP="001C50E6">
      <w:pPr>
        <w:pStyle w:val="Prrafodelista"/>
        <w:numPr>
          <w:ilvl w:val="0"/>
          <w:numId w:val="35"/>
        </w:numPr>
        <w:autoSpaceDE w:val="0"/>
        <w:autoSpaceDN w:val="0"/>
        <w:adjustRightInd w:val="0"/>
        <w:jc w:val="both"/>
        <w:rPr>
          <w:rFonts w:ascii="Verdana" w:eastAsia="Verdana" w:hAnsi="Verdana" w:cs="Verdana"/>
          <w:sz w:val="22"/>
          <w:szCs w:val="22"/>
        </w:rPr>
      </w:pPr>
      <w:r w:rsidRPr="001C50E6">
        <w:rPr>
          <w:rFonts w:ascii="Verdana" w:eastAsia="Verdana" w:hAnsi="Verdana" w:cs="Verdana"/>
          <w:sz w:val="22"/>
          <w:szCs w:val="22"/>
        </w:rPr>
        <w:t xml:space="preserve">Se recomienda a las empresas integrantes del CNO evaluar su participación presencial en las reuniones </w:t>
      </w:r>
      <w:r w:rsidR="00ED124F" w:rsidRPr="001C50E6">
        <w:rPr>
          <w:rFonts w:ascii="Verdana" w:eastAsia="Verdana" w:hAnsi="Verdana" w:cs="Verdana"/>
          <w:sz w:val="22"/>
          <w:szCs w:val="22"/>
        </w:rPr>
        <w:t xml:space="preserve">ordinarias </w:t>
      </w:r>
      <w:r w:rsidRPr="001C50E6">
        <w:rPr>
          <w:rFonts w:ascii="Verdana" w:eastAsia="Verdana" w:hAnsi="Verdana" w:cs="Verdana"/>
          <w:sz w:val="22"/>
          <w:szCs w:val="22"/>
        </w:rPr>
        <w:t>de los comités y subcomités.</w:t>
      </w:r>
    </w:p>
    <w:p w14:paraId="3244BC47" w14:textId="30727138" w:rsidR="00B0226C" w:rsidRPr="001C50E6" w:rsidRDefault="00B0226C" w:rsidP="001C50E6">
      <w:pPr>
        <w:pStyle w:val="Prrafodelista"/>
        <w:numPr>
          <w:ilvl w:val="0"/>
          <w:numId w:val="35"/>
        </w:numPr>
        <w:autoSpaceDE w:val="0"/>
        <w:autoSpaceDN w:val="0"/>
        <w:adjustRightInd w:val="0"/>
        <w:jc w:val="both"/>
        <w:rPr>
          <w:rFonts w:ascii="Verdana" w:eastAsia="Verdana" w:hAnsi="Verdana" w:cs="Verdana"/>
          <w:sz w:val="22"/>
          <w:szCs w:val="22"/>
        </w:rPr>
      </w:pPr>
      <w:r w:rsidRPr="001C50E6">
        <w:rPr>
          <w:rFonts w:ascii="Verdana" w:eastAsia="Verdana" w:hAnsi="Verdana" w:cs="Verdana"/>
          <w:sz w:val="22"/>
          <w:szCs w:val="22"/>
        </w:rPr>
        <w:t>Se solicita la selección de los 3 miembros del Consejo que conformarán el Comité Asesor de Estrategia para el año 2020. En todo caso se debe garantizar que en el Comité Asesor de Estrategia estén representadas las actividades de generación, transmisión y distribución a través del Presidente y los miembros del CNO que lo conforman.</w:t>
      </w:r>
    </w:p>
    <w:p w14:paraId="48152AA9" w14:textId="77777777" w:rsidR="00FF6F84" w:rsidRPr="00052450" w:rsidRDefault="00FF6F84" w:rsidP="001C4A97">
      <w:pPr>
        <w:autoSpaceDE w:val="0"/>
        <w:autoSpaceDN w:val="0"/>
        <w:adjustRightInd w:val="0"/>
        <w:jc w:val="both"/>
        <w:rPr>
          <w:rFonts w:ascii="Verdana" w:eastAsia="Verdana" w:hAnsi="Verdana" w:cs="Verdana"/>
          <w:sz w:val="22"/>
          <w:szCs w:val="22"/>
        </w:rPr>
      </w:pPr>
    </w:p>
    <w:p w14:paraId="43EE1A47" w14:textId="308E4795" w:rsidR="00112C06" w:rsidRDefault="00112C06" w:rsidP="001C4A97">
      <w:pPr>
        <w:jc w:val="both"/>
        <w:rPr>
          <w:rFonts w:ascii="Verdana" w:eastAsia="Verdana" w:hAnsi="Verdana" w:cs="Verdana"/>
          <w:b/>
          <w:sz w:val="22"/>
          <w:szCs w:val="22"/>
          <w:u w:val="single"/>
        </w:rPr>
      </w:pPr>
      <w:r w:rsidRPr="00052450">
        <w:rPr>
          <w:rFonts w:ascii="Verdana" w:eastAsia="Verdana" w:hAnsi="Verdana" w:cs="Verdana"/>
          <w:b/>
          <w:sz w:val="22"/>
          <w:szCs w:val="22"/>
          <w:u w:val="single"/>
        </w:rPr>
        <w:t>ASPECTOS TÉCNICOS:</w:t>
      </w:r>
    </w:p>
    <w:p w14:paraId="2F81F121" w14:textId="77777777" w:rsidR="00530852" w:rsidRPr="00024171" w:rsidRDefault="00530852" w:rsidP="001C4A97">
      <w:pPr>
        <w:jc w:val="both"/>
        <w:rPr>
          <w:rFonts w:ascii="Verdana" w:hAnsi="Verdana"/>
          <w:bCs/>
          <w:sz w:val="22"/>
          <w:szCs w:val="22"/>
        </w:rPr>
      </w:pPr>
    </w:p>
    <w:p w14:paraId="52791048" w14:textId="6DC77796" w:rsidR="00275415" w:rsidRPr="001C50E6" w:rsidRDefault="00524F3C" w:rsidP="001C50E6">
      <w:pPr>
        <w:pStyle w:val="Prrafodelista"/>
        <w:numPr>
          <w:ilvl w:val="0"/>
          <w:numId w:val="35"/>
        </w:numPr>
        <w:autoSpaceDE w:val="0"/>
        <w:autoSpaceDN w:val="0"/>
        <w:adjustRightInd w:val="0"/>
        <w:jc w:val="both"/>
        <w:rPr>
          <w:rFonts w:ascii="Verdana" w:eastAsia="Verdana" w:hAnsi="Verdana" w:cs="Verdana"/>
          <w:sz w:val="22"/>
          <w:szCs w:val="22"/>
        </w:rPr>
      </w:pPr>
      <w:r w:rsidRPr="001C50E6">
        <w:rPr>
          <w:rFonts w:ascii="Verdana" w:eastAsia="Verdana" w:hAnsi="Verdana" w:cs="Verdana"/>
          <w:sz w:val="22"/>
          <w:szCs w:val="22"/>
        </w:rPr>
        <w:t>S</w:t>
      </w:r>
      <w:r w:rsidR="00282C44" w:rsidRPr="001C50E6">
        <w:rPr>
          <w:rFonts w:ascii="Verdana" w:eastAsia="Verdana" w:hAnsi="Verdana" w:cs="Verdana"/>
          <w:sz w:val="22"/>
          <w:szCs w:val="22"/>
        </w:rPr>
        <w:t xml:space="preserve">obre la Resolución CREG </w:t>
      </w:r>
      <w:r w:rsidR="00412FC8" w:rsidRPr="001C50E6">
        <w:rPr>
          <w:rFonts w:ascii="Verdana" w:eastAsia="Verdana" w:hAnsi="Verdana" w:cs="Verdana"/>
          <w:sz w:val="22"/>
          <w:szCs w:val="22"/>
        </w:rPr>
        <w:t xml:space="preserve">153 de 2019 “Por la cual se establece una excepción a los límites de variación de la tensión nominal en la operación de los Sistemas de Transmisión Regional”, se </w:t>
      </w:r>
      <w:r w:rsidR="00FF6F84" w:rsidRPr="001C50E6">
        <w:rPr>
          <w:rFonts w:ascii="Verdana" w:eastAsia="Verdana" w:hAnsi="Verdana" w:cs="Verdana"/>
          <w:sz w:val="22"/>
          <w:szCs w:val="22"/>
        </w:rPr>
        <w:t>cit</w:t>
      </w:r>
      <w:r w:rsidR="005F56D1" w:rsidRPr="001C50E6">
        <w:rPr>
          <w:rFonts w:ascii="Verdana" w:eastAsia="Verdana" w:hAnsi="Verdana" w:cs="Verdana"/>
          <w:sz w:val="22"/>
          <w:szCs w:val="22"/>
        </w:rPr>
        <w:t>ó</w:t>
      </w:r>
      <w:r w:rsidR="00FF6F84" w:rsidRPr="001C50E6">
        <w:rPr>
          <w:rFonts w:ascii="Verdana" w:eastAsia="Verdana" w:hAnsi="Verdana" w:cs="Verdana"/>
          <w:sz w:val="22"/>
          <w:szCs w:val="22"/>
        </w:rPr>
        <w:t xml:space="preserve"> al </w:t>
      </w:r>
      <w:r w:rsidR="00C040FE" w:rsidRPr="001C50E6">
        <w:rPr>
          <w:rFonts w:ascii="Verdana" w:eastAsia="Verdana" w:hAnsi="Verdana" w:cs="Verdana"/>
          <w:sz w:val="22"/>
          <w:szCs w:val="22"/>
        </w:rPr>
        <w:t>C</w:t>
      </w:r>
      <w:r w:rsidR="00FF6F84" w:rsidRPr="001C50E6">
        <w:rPr>
          <w:rFonts w:ascii="Verdana" w:eastAsia="Verdana" w:hAnsi="Verdana" w:cs="Verdana"/>
          <w:sz w:val="22"/>
          <w:szCs w:val="22"/>
        </w:rPr>
        <w:t xml:space="preserve">omité </w:t>
      </w:r>
      <w:r w:rsidR="00C040FE" w:rsidRPr="001C50E6">
        <w:rPr>
          <w:rFonts w:ascii="Verdana" w:eastAsia="Verdana" w:hAnsi="Verdana" w:cs="Verdana"/>
          <w:sz w:val="22"/>
          <w:szCs w:val="22"/>
        </w:rPr>
        <w:t>L</w:t>
      </w:r>
      <w:r w:rsidR="00FF6F84" w:rsidRPr="001C50E6">
        <w:rPr>
          <w:rFonts w:ascii="Verdana" w:eastAsia="Verdana" w:hAnsi="Verdana" w:cs="Verdana"/>
          <w:sz w:val="22"/>
          <w:szCs w:val="22"/>
        </w:rPr>
        <w:t>egal</w:t>
      </w:r>
      <w:r w:rsidR="003A7EEB" w:rsidRPr="001C50E6">
        <w:rPr>
          <w:rFonts w:ascii="Verdana" w:eastAsia="Verdana" w:hAnsi="Verdana" w:cs="Verdana"/>
          <w:sz w:val="22"/>
          <w:szCs w:val="22"/>
        </w:rPr>
        <w:t xml:space="preserve"> para analizar los riesgos del Consejo frente a un </w:t>
      </w:r>
      <w:r w:rsidR="007A78F9" w:rsidRPr="001C50E6">
        <w:rPr>
          <w:rFonts w:ascii="Verdana" w:eastAsia="Verdana" w:hAnsi="Verdana" w:cs="Verdana"/>
          <w:sz w:val="22"/>
          <w:szCs w:val="22"/>
        </w:rPr>
        <w:t>A</w:t>
      </w:r>
      <w:r w:rsidR="003A7EEB" w:rsidRPr="001C50E6">
        <w:rPr>
          <w:rFonts w:ascii="Verdana" w:eastAsia="Verdana" w:hAnsi="Verdana" w:cs="Verdana"/>
          <w:sz w:val="22"/>
          <w:szCs w:val="22"/>
        </w:rPr>
        <w:t xml:space="preserve">cuerdo </w:t>
      </w:r>
      <w:r w:rsidR="00412FC8" w:rsidRPr="001C50E6">
        <w:rPr>
          <w:rFonts w:ascii="Verdana" w:eastAsia="Verdana" w:hAnsi="Verdana" w:cs="Verdana"/>
          <w:sz w:val="22"/>
          <w:szCs w:val="22"/>
        </w:rPr>
        <w:t xml:space="preserve">que </w:t>
      </w:r>
      <w:r w:rsidR="00611156" w:rsidRPr="001C50E6">
        <w:rPr>
          <w:rFonts w:ascii="Verdana" w:eastAsia="Verdana" w:hAnsi="Verdana" w:cs="Verdana"/>
          <w:sz w:val="22"/>
          <w:szCs w:val="22"/>
        </w:rPr>
        <w:t>defin</w:t>
      </w:r>
      <w:r w:rsidR="00C040FE" w:rsidRPr="001C50E6">
        <w:rPr>
          <w:rFonts w:ascii="Verdana" w:eastAsia="Verdana" w:hAnsi="Verdana" w:cs="Verdana"/>
          <w:sz w:val="22"/>
          <w:szCs w:val="22"/>
        </w:rPr>
        <w:t>a</w:t>
      </w:r>
      <w:r w:rsidR="00611156" w:rsidRPr="001C50E6">
        <w:rPr>
          <w:rFonts w:ascii="Verdana" w:eastAsia="Verdana" w:hAnsi="Verdana" w:cs="Verdana"/>
          <w:sz w:val="22"/>
          <w:szCs w:val="22"/>
        </w:rPr>
        <w:t xml:space="preserve"> límites</w:t>
      </w:r>
      <w:r w:rsidR="003A7EEB" w:rsidRPr="001C50E6">
        <w:rPr>
          <w:rFonts w:ascii="Verdana" w:eastAsia="Verdana" w:hAnsi="Verdana" w:cs="Verdana"/>
          <w:sz w:val="22"/>
          <w:szCs w:val="22"/>
        </w:rPr>
        <w:t xml:space="preserve"> de tensión provisionales</w:t>
      </w:r>
      <w:r w:rsidR="00611156" w:rsidRPr="001C50E6">
        <w:rPr>
          <w:rFonts w:ascii="Verdana" w:eastAsia="Verdana" w:hAnsi="Verdana" w:cs="Verdana"/>
          <w:sz w:val="22"/>
          <w:szCs w:val="22"/>
        </w:rPr>
        <w:t xml:space="preserve"> para subestaciones radiales del STR. </w:t>
      </w:r>
      <w:r w:rsidR="00863B90" w:rsidRPr="001C50E6">
        <w:rPr>
          <w:rFonts w:ascii="Verdana" w:eastAsia="Verdana" w:hAnsi="Verdana" w:cs="Verdana"/>
          <w:sz w:val="22"/>
          <w:szCs w:val="22"/>
        </w:rPr>
        <w:t xml:space="preserve">Al respecto, el Comité Legal </w:t>
      </w:r>
      <w:r w:rsidR="0060078E" w:rsidRPr="001C50E6">
        <w:rPr>
          <w:rFonts w:ascii="Verdana" w:eastAsia="Verdana" w:hAnsi="Verdana" w:cs="Verdana"/>
          <w:sz w:val="22"/>
          <w:szCs w:val="22"/>
        </w:rPr>
        <w:t xml:space="preserve">analizó </w:t>
      </w:r>
      <w:r w:rsidR="008C3C1E" w:rsidRPr="001C50E6">
        <w:rPr>
          <w:rFonts w:ascii="Verdana" w:eastAsia="Verdana" w:hAnsi="Verdana" w:cs="Verdana"/>
          <w:sz w:val="22"/>
          <w:szCs w:val="22"/>
        </w:rPr>
        <w:t>los riesgos para el CNO en el procedimiento de aprobación de la excepción temporal y concluyó que dado que la resolución exige que el CNO y el CND deben verificar que con la aplicación de la excepción no se debe afectar la operación segura y confiable del SIN, y que esta circunstancia no es viable técnicamente, sería contrario a las funciones de ley del CNO expedir un acuerdo por el cual se apruebe una excepción a los límites de variación de la tensión.</w:t>
      </w:r>
      <w:r w:rsidR="00C040FE" w:rsidRPr="001C50E6">
        <w:rPr>
          <w:rFonts w:ascii="Verdana" w:eastAsia="Verdana" w:hAnsi="Verdana" w:cs="Verdana"/>
          <w:sz w:val="22"/>
          <w:szCs w:val="22"/>
        </w:rPr>
        <w:t xml:space="preserve"> </w:t>
      </w:r>
      <w:r w:rsidR="008C3C1E" w:rsidRPr="001C50E6">
        <w:rPr>
          <w:rFonts w:ascii="Verdana" w:eastAsia="Verdana" w:hAnsi="Verdana" w:cs="Verdana"/>
          <w:sz w:val="22"/>
          <w:szCs w:val="22"/>
        </w:rPr>
        <w:t>E</w:t>
      </w:r>
      <w:r w:rsidR="00C040FE" w:rsidRPr="001C50E6">
        <w:rPr>
          <w:rFonts w:ascii="Verdana" w:eastAsia="Verdana" w:hAnsi="Verdana" w:cs="Verdana"/>
          <w:sz w:val="22"/>
          <w:szCs w:val="22"/>
        </w:rPr>
        <w:t xml:space="preserve">n el Subcomité de Análisis y Planeación Eléctrica-SAPE y </w:t>
      </w:r>
      <w:r w:rsidR="008C3C1E" w:rsidRPr="001C50E6">
        <w:rPr>
          <w:rFonts w:ascii="Verdana" w:eastAsia="Verdana" w:hAnsi="Verdana" w:cs="Verdana"/>
          <w:sz w:val="22"/>
          <w:szCs w:val="22"/>
        </w:rPr>
        <w:t xml:space="preserve">en </w:t>
      </w:r>
      <w:r w:rsidR="00C040FE" w:rsidRPr="001C50E6">
        <w:rPr>
          <w:rFonts w:ascii="Verdana" w:eastAsia="Verdana" w:hAnsi="Verdana" w:cs="Verdana"/>
          <w:sz w:val="22"/>
          <w:szCs w:val="22"/>
        </w:rPr>
        <w:t xml:space="preserve">el Comité de Distribución, </w:t>
      </w:r>
      <w:r w:rsidR="008C3C1E" w:rsidRPr="001C50E6">
        <w:rPr>
          <w:rFonts w:ascii="Verdana" w:eastAsia="Verdana" w:hAnsi="Verdana" w:cs="Verdana"/>
          <w:sz w:val="22"/>
          <w:szCs w:val="22"/>
        </w:rPr>
        <w:t xml:space="preserve">el CND y </w:t>
      </w:r>
      <w:r w:rsidR="00C040FE" w:rsidRPr="001C50E6">
        <w:rPr>
          <w:rFonts w:ascii="Verdana" w:eastAsia="Verdana" w:hAnsi="Verdana" w:cs="Verdana"/>
          <w:sz w:val="22"/>
          <w:szCs w:val="22"/>
        </w:rPr>
        <w:t xml:space="preserve">los </w:t>
      </w:r>
      <w:r w:rsidR="008C3C1E" w:rsidRPr="001C50E6">
        <w:rPr>
          <w:rFonts w:ascii="Verdana" w:eastAsia="Verdana" w:hAnsi="Verdana" w:cs="Verdana"/>
          <w:sz w:val="22"/>
          <w:szCs w:val="22"/>
        </w:rPr>
        <w:t>o</w:t>
      </w:r>
      <w:r w:rsidR="00C040FE" w:rsidRPr="001C50E6">
        <w:rPr>
          <w:rFonts w:ascii="Verdana" w:eastAsia="Verdana" w:hAnsi="Verdana" w:cs="Verdana"/>
          <w:sz w:val="22"/>
          <w:szCs w:val="22"/>
        </w:rPr>
        <w:t xml:space="preserve">peradores de </w:t>
      </w:r>
      <w:r w:rsidR="008C3C1E" w:rsidRPr="001C50E6">
        <w:rPr>
          <w:rFonts w:ascii="Verdana" w:eastAsia="Verdana" w:hAnsi="Verdana" w:cs="Verdana"/>
          <w:sz w:val="22"/>
          <w:szCs w:val="22"/>
        </w:rPr>
        <w:t>r</w:t>
      </w:r>
      <w:r w:rsidR="00C040FE" w:rsidRPr="001C50E6">
        <w:rPr>
          <w:rFonts w:ascii="Verdana" w:eastAsia="Verdana" w:hAnsi="Verdana" w:cs="Verdana"/>
          <w:sz w:val="22"/>
          <w:szCs w:val="22"/>
        </w:rPr>
        <w:t xml:space="preserve">ed </w:t>
      </w:r>
      <w:r w:rsidR="00A546EF" w:rsidRPr="001C50E6">
        <w:rPr>
          <w:rFonts w:ascii="Verdana" w:eastAsia="Verdana" w:hAnsi="Verdana" w:cs="Verdana"/>
          <w:sz w:val="22"/>
          <w:szCs w:val="22"/>
        </w:rPr>
        <w:t>respectivamente manifestaron</w:t>
      </w:r>
      <w:r w:rsidR="00C040FE" w:rsidRPr="001C50E6">
        <w:rPr>
          <w:rFonts w:ascii="Verdana" w:eastAsia="Verdana" w:hAnsi="Verdana" w:cs="Verdana"/>
          <w:sz w:val="22"/>
          <w:szCs w:val="22"/>
        </w:rPr>
        <w:t xml:space="preserve"> que no se puede garantizar la seguridad del SIN (tensione entre el 0.9 y 1.1 en p.u. en el SDL) bajo una excepción en los </w:t>
      </w:r>
      <w:r w:rsidR="00A546EF" w:rsidRPr="001C50E6">
        <w:rPr>
          <w:rFonts w:ascii="Verdana" w:eastAsia="Verdana" w:hAnsi="Verdana" w:cs="Verdana"/>
          <w:sz w:val="22"/>
          <w:szCs w:val="22"/>
        </w:rPr>
        <w:t>límites</w:t>
      </w:r>
      <w:r w:rsidR="00C040FE" w:rsidRPr="001C50E6">
        <w:rPr>
          <w:rFonts w:ascii="Verdana" w:eastAsia="Verdana" w:hAnsi="Verdana" w:cs="Verdana"/>
          <w:sz w:val="22"/>
          <w:szCs w:val="22"/>
        </w:rPr>
        <w:t xml:space="preserve"> de tensión en el STR.</w:t>
      </w:r>
      <w:r w:rsidR="008C3C1E" w:rsidRPr="001C50E6">
        <w:rPr>
          <w:rFonts w:ascii="Verdana" w:eastAsia="Verdana" w:hAnsi="Verdana" w:cs="Verdana"/>
          <w:sz w:val="22"/>
          <w:szCs w:val="22"/>
        </w:rPr>
        <w:t>S</w:t>
      </w:r>
      <w:r w:rsidR="00C040FE" w:rsidRPr="001C50E6">
        <w:rPr>
          <w:rFonts w:ascii="Verdana" w:eastAsia="Verdana" w:hAnsi="Verdana" w:cs="Verdana"/>
          <w:sz w:val="22"/>
          <w:szCs w:val="22"/>
        </w:rPr>
        <w:t xml:space="preserve">e acordó con el CND enviar </w:t>
      </w:r>
      <w:r w:rsidR="008C3C1E" w:rsidRPr="001C50E6">
        <w:rPr>
          <w:rFonts w:ascii="Verdana" w:eastAsia="Verdana" w:hAnsi="Verdana" w:cs="Verdana"/>
          <w:sz w:val="22"/>
          <w:szCs w:val="22"/>
        </w:rPr>
        <w:t xml:space="preserve">una </w:t>
      </w:r>
      <w:r w:rsidR="00C040FE" w:rsidRPr="001C50E6">
        <w:rPr>
          <w:rFonts w:ascii="Verdana" w:eastAsia="Verdana" w:hAnsi="Verdana" w:cs="Verdana"/>
          <w:sz w:val="22"/>
          <w:szCs w:val="22"/>
        </w:rPr>
        <w:t>comunicación conjunta a la CREG</w:t>
      </w:r>
      <w:r w:rsidR="00A0325F" w:rsidRPr="001C50E6">
        <w:rPr>
          <w:rFonts w:ascii="Verdana" w:eastAsia="Verdana" w:hAnsi="Verdana" w:cs="Verdana"/>
          <w:sz w:val="22"/>
          <w:szCs w:val="22"/>
        </w:rPr>
        <w:t xml:space="preserve"> alertando sobre esta situación.</w:t>
      </w:r>
      <w:r w:rsidR="00C040FE" w:rsidRPr="001C50E6">
        <w:rPr>
          <w:rFonts w:ascii="Verdana" w:eastAsia="Verdana" w:hAnsi="Verdana" w:cs="Verdana"/>
          <w:sz w:val="22"/>
          <w:szCs w:val="22"/>
        </w:rPr>
        <w:t xml:space="preserve">     </w:t>
      </w:r>
    </w:p>
    <w:p w14:paraId="662C38BD" w14:textId="77777777" w:rsidR="005F56D1" w:rsidRPr="005F56D1" w:rsidRDefault="005F56D1" w:rsidP="001C4A97">
      <w:pPr>
        <w:ind w:left="360"/>
        <w:jc w:val="both"/>
        <w:rPr>
          <w:rFonts w:ascii="Verdana" w:hAnsi="Verdana"/>
          <w:bCs/>
          <w:sz w:val="22"/>
          <w:szCs w:val="22"/>
        </w:rPr>
      </w:pPr>
    </w:p>
    <w:p w14:paraId="0C078243" w14:textId="34BD48E8" w:rsidR="00F3476A" w:rsidRPr="001C50E6" w:rsidRDefault="00F3476A" w:rsidP="001C50E6">
      <w:pPr>
        <w:pStyle w:val="Prrafodelista"/>
        <w:numPr>
          <w:ilvl w:val="0"/>
          <w:numId w:val="35"/>
        </w:numPr>
        <w:jc w:val="both"/>
        <w:rPr>
          <w:rFonts w:ascii="Verdana" w:hAnsi="Verdana"/>
          <w:bCs/>
          <w:sz w:val="22"/>
          <w:szCs w:val="22"/>
        </w:rPr>
      </w:pPr>
      <w:r w:rsidRPr="001C50E6">
        <w:rPr>
          <w:rFonts w:ascii="Verdana" w:hAnsi="Verdana"/>
          <w:bCs/>
          <w:sz w:val="22"/>
          <w:szCs w:val="22"/>
        </w:rPr>
        <w:t>Se llevó a cabo la quinta reunión con el CNO gas, en la que se presentaron las propuestas principales del CNO eléctrico para mejorar la coordinación de los dos sectores</w:t>
      </w:r>
      <w:r w:rsidR="00EC6CE5" w:rsidRPr="001C50E6">
        <w:rPr>
          <w:rFonts w:ascii="Verdana" w:hAnsi="Verdana"/>
          <w:bCs/>
          <w:sz w:val="22"/>
          <w:szCs w:val="22"/>
        </w:rPr>
        <w:t xml:space="preserve"> (gas y electricidad)</w:t>
      </w:r>
      <w:r w:rsidRPr="001C50E6">
        <w:rPr>
          <w:rFonts w:ascii="Verdana" w:hAnsi="Verdana"/>
          <w:bCs/>
          <w:sz w:val="22"/>
          <w:szCs w:val="22"/>
        </w:rPr>
        <w:t>. Las mismas se presentan a continuación:</w:t>
      </w:r>
    </w:p>
    <w:p w14:paraId="4E532A78" w14:textId="77777777" w:rsidR="00F3476A" w:rsidRDefault="00F3476A" w:rsidP="001C4A97">
      <w:pPr>
        <w:pStyle w:val="Prrafodelista"/>
        <w:ind w:left="360"/>
        <w:jc w:val="both"/>
        <w:rPr>
          <w:rFonts w:ascii="Verdana" w:hAnsi="Verdana"/>
          <w:bCs/>
          <w:sz w:val="22"/>
          <w:szCs w:val="22"/>
        </w:rPr>
      </w:pPr>
    </w:p>
    <w:p w14:paraId="4DDE0181" w14:textId="75E64876" w:rsidR="00F3476A" w:rsidRPr="001C50E6" w:rsidRDefault="00150974" w:rsidP="001C50E6">
      <w:pPr>
        <w:pStyle w:val="Prrafodelista"/>
        <w:numPr>
          <w:ilvl w:val="0"/>
          <w:numId w:val="36"/>
        </w:numPr>
        <w:jc w:val="both"/>
        <w:rPr>
          <w:rFonts w:ascii="Verdana" w:hAnsi="Verdana" w:cs="Arial"/>
          <w:bCs/>
          <w:sz w:val="22"/>
          <w:szCs w:val="22"/>
        </w:rPr>
      </w:pPr>
      <w:r w:rsidRPr="001C50E6">
        <w:rPr>
          <w:rFonts w:ascii="Verdana" w:hAnsi="Verdana" w:cs="Arial"/>
          <w:bCs/>
          <w:sz w:val="22"/>
          <w:szCs w:val="22"/>
        </w:rPr>
        <w:t>Disminución de los tiempos de renominación, acercándolos a los tiempos del sector eléctrico (redespacho de 1.5 horas, actualmente).</w:t>
      </w:r>
    </w:p>
    <w:p w14:paraId="590E310A" w14:textId="77777777" w:rsidR="00EE27F8" w:rsidRPr="001C50E6" w:rsidRDefault="00EE27F8" w:rsidP="001C50E6">
      <w:pPr>
        <w:jc w:val="both"/>
        <w:rPr>
          <w:rFonts w:ascii="Verdana" w:hAnsi="Verdana" w:cs="Arial"/>
          <w:bCs/>
          <w:sz w:val="22"/>
          <w:szCs w:val="22"/>
        </w:rPr>
      </w:pPr>
    </w:p>
    <w:p w14:paraId="58C92106" w14:textId="19C7D35C" w:rsidR="001C50E6" w:rsidRPr="001C50E6" w:rsidRDefault="00150974" w:rsidP="001C50E6">
      <w:pPr>
        <w:pStyle w:val="Prrafodelista"/>
        <w:numPr>
          <w:ilvl w:val="0"/>
          <w:numId w:val="39"/>
        </w:numPr>
        <w:jc w:val="both"/>
        <w:rPr>
          <w:rFonts w:ascii="Verdana" w:hAnsi="Verdana" w:cs="Arial"/>
          <w:sz w:val="22"/>
          <w:szCs w:val="22"/>
        </w:rPr>
      </w:pPr>
      <w:r w:rsidRPr="001C50E6">
        <w:rPr>
          <w:rFonts w:ascii="Verdana" w:hAnsi="Verdana" w:cs="Arial"/>
          <w:bCs/>
          <w:sz w:val="22"/>
          <w:szCs w:val="22"/>
        </w:rPr>
        <w:lastRenderedPageBreak/>
        <w:t>Extender el "parqueo" para diferentes situaciones, brindando flexibilidad al sector eléctrico. Por ejemplo, que fuera posible el parqueo de gas de forma periódica, contemplando las restricciones físicas de transporte del SNT.</w:t>
      </w:r>
    </w:p>
    <w:p w14:paraId="220428FF" w14:textId="77777777" w:rsidR="001C50E6" w:rsidRPr="001C50E6" w:rsidRDefault="001C50E6" w:rsidP="001C50E6">
      <w:pPr>
        <w:jc w:val="both"/>
        <w:rPr>
          <w:rFonts w:ascii="Verdana" w:hAnsi="Verdana" w:cs="Arial"/>
          <w:sz w:val="22"/>
          <w:szCs w:val="22"/>
        </w:rPr>
      </w:pPr>
    </w:p>
    <w:p w14:paraId="4C1377A5" w14:textId="7B695414" w:rsidR="001C50E6" w:rsidRDefault="00EE27F8" w:rsidP="001C50E6">
      <w:pPr>
        <w:pStyle w:val="Prrafodelista"/>
        <w:numPr>
          <w:ilvl w:val="0"/>
          <w:numId w:val="39"/>
        </w:numPr>
        <w:jc w:val="both"/>
        <w:rPr>
          <w:rFonts w:ascii="Verdana" w:hAnsi="Verdana" w:cs="Arial"/>
          <w:sz w:val="22"/>
          <w:szCs w:val="22"/>
        </w:rPr>
      </w:pPr>
      <w:r w:rsidRPr="001C50E6">
        <w:rPr>
          <w:rFonts w:ascii="Verdana" w:hAnsi="Verdana" w:cs="Arial"/>
          <w:bCs/>
          <w:sz w:val="22"/>
          <w:szCs w:val="22"/>
        </w:rPr>
        <w:t xml:space="preserve">Estudiar técnica, económica y regulatoriamente cual es la mejor alternativa entre: </w:t>
      </w:r>
      <w:r w:rsidRPr="001C50E6">
        <w:rPr>
          <w:rFonts w:ascii="Verdana" w:hAnsi="Verdana" w:cs="Arial"/>
          <w:sz w:val="22"/>
          <w:szCs w:val="22"/>
        </w:rPr>
        <w:t>Acometer las inversiones necesarias para que las plantas de regasificación puedan "inicializarse" en los tiempos requeridos por el sector eléctrico. Lo anterior implica analizar y estudiar las limitaciones técnicas que presentan en su arranque.</w:t>
      </w:r>
    </w:p>
    <w:p w14:paraId="21E48259" w14:textId="77777777" w:rsidR="001C50E6" w:rsidRPr="001C50E6" w:rsidRDefault="001C50E6" w:rsidP="001C50E6">
      <w:pPr>
        <w:pStyle w:val="Prrafodelista"/>
        <w:rPr>
          <w:rFonts w:ascii="Verdana" w:hAnsi="Verdana" w:cs="Arial"/>
          <w:sz w:val="22"/>
          <w:szCs w:val="22"/>
        </w:rPr>
      </w:pPr>
    </w:p>
    <w:p w14:paraId="78E9B8E7" w14:textId="51BD7CCF" w:rsidR="00EE27F8" w:rsidRPr="001C50E6" w:rsidRDefault="00EE27F8" w:rsidP="001C50E6">
      <w:pPr>
        <w:pStyle w:val="Prrafodelista"/>
        <w:numPr>
          <w:ilvl w:val="0"/>
          <w:numId w:val="38"/>
        </w:numPr>
        <w:jc w:val="both"/>
        <w:rPr>
          <w:rFonts w:ascii="Verdana" w:hAnsi="Verdana" w:cs="Arial"/>
          <w:sz w:val="22"/>
          <w:szCs w:val="22"/>
        </w:rPr>
      </w:pPr>
      <w:r w:rsidRPr="001C50E6">
        <w:rPr>
          <w:rFonts w:ascii="Verdana" w:hAnsi="Verdana" w:cs="Arial"/>
          <w:sz w:val="22"/>
          <w:szCs w:val="22"/>
        </w:rPr>
        <w:t>Otras medidas que garanticen la operación continua de las plantas de regasificación</w:t>
      </w:r>
      <w:r w:rsidR="00EC6CE5" w:rsidRPr="001C50E6">
        <w:rPr>
          <w:rFonts w:ascii="Verdana" w:hAnsi="Verdana" w:cs="Arial"/>
          <w:sz w:val="22"/>
          <w:szCs w:val="22"/>
        </w:rPr>
        <w:t xml:space="preserve"> (generación obligada, por ejemplo)</w:t>
      </w:r>
      <w:r w:rsidRPr="001C50E6">
        <w:rPr>
          <w:rFonts w:ascii="Verdana" w:hAnsi="Verdana" w:cs="Arial"/>
          <w:sz w:val="22"/>
          <w:szCs w:val="22"/>
        </w:rPr>
        <w:t>.</w:t>
      </w:r>
    </w:p>
    <w:p w14:paraId="530C790A" w14:textId="208C44A9" w:rsidR="00EE27F8" w:rsidRPr="001C50E6" w:rsidRDefault="00EE27F8" w:rsidP="001C50E6">
      <w:pPr>
        <w:pStyle w:val="Prrafodelista"/>
        <w:ind w:left="360"/>
        <w:jc w:val="both"/>
        <w:rPr>
          <w:rFonts w:ascii="Verdana" w:hAnsi="Verdana" w:cs="Arial"/>
          <w:bCs/>
          <w:sz w:val="22"/>
          <w:szCs w:val="22"/>
        </w:rPr>
      </w:pPr>
    </w:p>
    <w:p w14:paraId="4032BA92" w14:textId="621B12FB" w:rsidR="00EE27F8" w:rsidRPr="001C50E6" w:rsidRDefault="00EE27F8" w:rsidP="001C50E6">
      <w:pPr>
        <w:pStyle w:val="Prrafodelista"/>
        <w:numPr>
          <w:ilvl w:val="0"/>
          <w:numId w:val="36"/>
        </w:numPr>
        <w:jc w:val="both"/>
        <w:rPr>
          <w:rFonts w:ascii="Verdana" w:hAnsi="Verdana"/>
          <w:bCs/>
          <w:sz w:val="22"/>
          <w:szCs w:val="22"/>
        </w:rPr>
      </w:pPr>
      <w:r w:rsidRPr="001C50E6">
        <w:rPr>
          <w:rFonts w:ascii="Verdana" w:hAnsi="Verdana"/>
          <w:bCs/>
          <w:sz w:val="22"/>
          <w:szCs w:val="22"/>
        </w:rPr>
        <w:t xml:space="preserve">Viabilizar en situaciones de emergencia, las variaciones de salida netas negativas cuando el SIN necesite más gas del contratado por </w:t>
      </w:r>
      <w:r w:rsidR="00A546EF" w:rsidRPr="001C50E6">
        <w:rPr>
          <w:rFonts w:ascii="Verdana" w:hAnsi="Verdana"/>
          <w:bCs/>
          <w:sz w:val="22"/>
          <w:szCs w:val="22"/>
        </w:rPr>
        <w:t>los generadores</w:t>
      </w:r>
      <w:r w:rsidRPr="001C50E6">
        <w:rPr>
          <w:rFonts w:ascii="Verdana" w:hAnsi="Verdana"/>
          <w:bCs/>
          <w:sz w:val="22"/>
          <w:szCs w:val="22"/>
        </w:rPr>
        <w:t xml:space="preserve">, siempre que no </w:t>
      </w:r>
      <w:r w:rsidR="00EC6CE5" w:rsidRPr="001C50E6">
        <w:rPr>
          <w:rFonts w:ascii="Verdana" w:hAnsi="Verdana"/>
          <w:bCs/>
          <w:sz w:val="22"/>
          <w:szCs w:val="22"/>
        </w:rPr>
        <w:t>pongan</w:t>
      </w:r>
      <w:r w:rsidRPr="001C50E6">
        <w:rPr>
          <w:rFonts w:ascii="Verdana" w:hAnsi="Verdana"/>
          <w:bCs/>
          <w:sz w:val="22"/>
          <w:szCs w:val="22"/>
        </w:rPr>
        <w:t xml:space="preserve"> en riesgo la estabilidad operativa del SNT.</w:t>
      </w:r>
    </w:p>
    <w:p w14:paraId="6FFDE7E2" w14:textId="787A610F" w:rsidR="00EE27F8" w:rsidRPr="001C50E6" w:rsidRDefault="00EE27F8" w:rsidP="001C4A97">
      <w:pPr>
        <w:pStyle w:val="Prrafodelista"/>
        <w:ind w:left="720"/>
        <w:jc w:val="both"/>
        <w:rPr>
          <w:rFonts w:ascii="Verdana" w:hAnsi="Verdana"/>
          <w:bCs/>
          <w:sz w:val="22"/>
          <w:szCs w:val="22"/>
        </w:rPr>
      </w:pPr>
    </w:p>
    <w:p w14:paraId="7244948E" w14:textId="0F1D289A" w:rsidR="00EE27F8" w:rsidRPr="001C50E6" w:rsidRDefault="00EE27F8" w:rsidP="001C50E6">
      <w:pPr>
        <w:pStyle w:val="Prrafodelista"/>
        <w:numPr>
          <w:ilvl w:val="0"/>
          <w:numId w:val="36"/>
        </w:numPr>
        <w:jc w:val="both"/>
        <w:rPr>
          <w:rFonts w:ascii="Verdana" w:hAnsi="Verdana"/>
          <w:bCs/>
          <w:sz w:val="22"/>
          <w:szCs w:val="22"/>
        </w:rPr>
      </w:pPr>
      <w:r w:rsidRPr="001C50E6">
        <w:rPr>
          <w:rFonts w:ascii="Verdana" w:hAnsi="Verdana"/>
          <w:bCs/>
          <w:sz w:val="22"/>
          <w:szCs w:val="22"/>
        </w:rPr>
        <w:t>Definir desde la regulación una causal de redespacho y posibilidad de autorizar desviaciones, cuando se requiera por restricciones del SNT.</w:t>
      </w:r>
    </w:p>
    <w:p w14:paraId="04EA1EB3" w14:textId="77777777" w:rsidR="00EE27F8" w:rsidRPr="001C50E6" w:rsidRDefault="00EE27F8" w:rsidP="001C4A97">
      <w:pPr>
        <w:pStyle w:val="Prrafodelista"/>
        <w:rPr>
          <w:rFonts w:ascii="Verdana" w:hAnsi="Verdana"/>
          <w:bCs/>
          <w:sz w:val="22"/>
          <w:szCs w:val="22"/>
        </w:rPr>
      </w:pPr>
    </w:p>
    <w:p w14:paraId="6CAB5BB5" w14:textId="6C988319" w:rsidR="00EE27F8" w:rsidRPr="001C50E6" w:rsidRDefault="00EE27F8" w:rsidP="001C50E6">
      <w:pPr>
        <w:pStyle w:val="Prrafodelista"/>
        <w:numPr>
          <w:ilvl w:val="0"/>
          <w:numId w:val="36"/>
        </w:numPr>
        <w:jc w:val="both"/>
        <w:rPr>
          <w:rFonts w:ascii="Verdana" w:hAnsi="Verdana"/>
          <w:bCs/>
          <w:sz w:val="22"/>
          <w:szCs w:val="22"/>
        </w:rPr>
      </w:pPr>
      <w:r w:rsidRPr="001C50E6">
        <w:rPr>
          <w:rFonts w:ascii="Verdana" w:hAnsi="Verdana"/>
          <w:bCs/>
          <w:sz w:val="22"/>
          <w:szCs w:val="22"/>
        </w:rPr>
        <w:t>Implementación del despacho vinculante y el mercado intradiario, considerando la coordinación gas-electricidad.</w:t>
      </w:r>
    </w:p>
    <w:p w14:paraId="01FDAE4F" w14:textId="77777777" w:rsidR="00EE27F8" w:rsidRPr="001C50E6" w:rsidRDefault="00EE27F8" w:rsidP="001C4A97">
      <w:pPr>
        <w:pStyle w:val="Prrafodelista"/>
        <w:rPr>
          <w:rFonts w:ascii="Verdana" w:hAnsi="Verdana"/>
          <w:bCs/>
          <w:sz w:val="22"/>
          <w:szCs w:val="22"/>
        </w:rPr>
      </w:pPr>
    </w:p>
    <w:p w14:paraId="31EA3B9C" w14:textId="079B4B7D" w:rsidR="00EE27F8" w:rsidRPr="001C50E6" w:rsidRDefault="00EE27F8" w:rsidP="001C50E6">
      <w:pPr>
        <w:pStyle w:val="Prrafodelista"/>
        <w:numPr>
          <w:ilvl w:val="0"/>
          <w:numId w:val="36"/>
        </w:numPr>
        <w:jc w:val="both"/>
        <w:rPr>
          <w:rFonts w:ascii="Verdana" w:hAnsi="Verdana"/>
          <w:bCs/>
          <w:sz w:val="22"/>
          <w:szCs w:val="22"/>
        </w:rPr>
      </w:pPr>
      <w:r w:rsidRPr="001C50E6">
        <w:rPr>
          <w:rFonts w:ascii="Verdana" w:hAnsi="Verdana"/>
          <w:bCs/>
          <w:sz w:val="22"/>
          <w:szCs w:val="22"/>
        </w:rPr>
        <w:t>Tener un gestor(es) técnico</w:t>
      </w:r>
      <w:r w:rsidR="00321268" w:rsidRPr="001C50E6">
        <w:rPr>
          <w:rFonts w:ascii="Verdana" w:hAnsi="Verdana"/>
          <w:bCs/>
          <w:sz w:val="22"/>
          <w:szCs w:val="22"/>
        </w:rPr>
        <w:t>(s)</w:t>
      </w:r>
      <w:r w:rsidRPr="001C50E6">
        <w:rPr>
          <w:rFonts w:ascii="Verdana" w:hAnsi="Verdana"/>
          <w:bCs/>
          <w:sz w:val="22"/>
          <w:szCs w:val="22"/>
        </w:rPr>
        <w:t xml:space="preserve"> del sector Gas.</w:t>
      </w:r>
    </w:p>
    <w:p w14:paraId="653B2342" w14:textId="77777777" w:rsidR="00EE27F8" w:rsidRPr="001C50E6" w:rsidRDefault="00EE27F8" w:rsidP="001C4A97">
      <w:pPr>
        <w:pStyle w:val="Prrafodelista"/>
        <w:rPr>
          <w:rFonts w:ascii="Verdana" w:hAnsi="Verdana"/>
          <w:bCs/>
          <w:sz w:val="22"/>
          <w:szCs w:val="22"/>
        </w:rPr>
      </w:pPr>
    </w:p>
    <w:p w14:paraId="1081F906" w14:textId="2826A1E6" w:rsidR="00EE27F8" w:rsidRPr="001C50E6" w:rsidRDefault="00EE27F8" w:rsidP="001C50E6">
      <w:pPr>
        <w:pStyle w:val="Prrafodelista"/>
        <w:numPr>
          <w:ilvl w:val="0"/>
          <w:numId w:val="36"/>
        </w:numPr>
        <w:jc w:val="both"/>
        <w:rPr>
          <w:rFonts w:ascii="Verdana" w:hAnsi="Verdana"/>
          <w:bCs/>
          <w:sz w:val="22"/>
          <w:szCs w:val="22"/>
        </w:rPr>
      </w:pPr>
      <w:r w:rsidRPr="001C50E6">
        <w:rPr>
          <w:rFonts w:ascii="Verdana" w:hAnsi="Verdana"/>
          <w:bCs/>
          <w:sz w:val="22"/>
          <w:szCs w:val="22"/>
        </w:rPr>
        <w:t>Considerar en el planeamiento operativo y de la expansión (energético y de potencia), las restricciones que se imponen mutuamente los dos sectores.</w:t>
      </w:r>
    </w:p>
    <w:p w14:paraId="284DAF5A" w14:textId="77777777" w:rsidR="00EE27F8" w:rsidRPr="001C50E6" w:rsidRDefault="00EE27F8" w:rsidP="001C4A97">
      <w:pPr>
        <w:pStyle w:val="Prrafodelista"/>
        <w:rPr>
          <w:rFonts w:ascii="Verdana" w:hAnsi="Verdana"/>
          <w:bCs/>
          <w:sz w:val="22"/>
          <w:szCs w:val="22"/>
        </w:rPr>
      </w:pPr>
    </w:p>
    <w:p w14:paraId="6D1DB8F6" w14:textId="684C2081" w:rsidR="00EE27F8" w:rsidRPr="001C50E6" w:rsidRDefault="00EE27F8" w:rsidP="001C50E6">
      <w:pPr>
        <w:pStyle w:val="Prrafodelista"/>
        <w:numPr>
          <w:ilvl w:val="0"/>
          <w:numId w:val="36"/>
        </w:numPr>
        <w:jc w:val="both"/>
        <w:rPr>
          <w:rFonts w:ascii="Verdana" w:hAnsi="Verdana"/>
          <w:bCs/>
          <w:sz w:val="22"/>
          <w:szCs w:val="22"/>
        </w:rPr>
      </w:pPr>
      <w:r w:rsidRPr="001C50E6">
        <w:rPr>
          <w:rFonts w:ascii="Verdana" w:hAnsi="Verdana"/>
          <w:bCs/>
          <w:sz w:val="22"/>
          <w:szCs w:val="22"/>
        </w:rPr>
        <w:t>Desde la regulación, existencia de un protocolo formal entre los sectores de gas y electricidad.</w:t>
      </w:r>
    </w:p>
    <w:p w14:paraId="32F319A3" w14:textId="412A56E1" w:rsidR="00E358A5" w:rsidRPr="00052450" w:rsidRDefault="00E358A5" w:rsidP="001C4A97">
      <w:pPr>
        <w:pStyle w:val="Prrafodelista"/>
        <w:ind w:left="360"/>
        <w:jc w:val="both"/>
        <w:rPr>
          <w:rFonts w:ascii="Verdana" w:hAnsi="Verdana"/>
          <w:bCs/>
          <w:sz w:val="22"/>
          <w:szCs w:val="22"/>
        </w:rPr>
      </w:pPr>
    </w:p>
    <w:p w14:paraId="0567CDB0" w14:textId="523A3B8F" w:rsidR="00F3476A" w:rsidRDefault="00F3476A" w:rsidP="001C4A97">
      <w:pPr>
        <w:pStyle w:val="Prrafodelista"/>
        <w:ind w:left="360"/>
        <w:jc w:val="both"/>
        <w:rPr>
          <w:rFonts w:ascii="Verdana" w:hAnsi="Verdana"/>
          <w:bCs/>
          <w:sz w:val="22"/>
          <w:szCs w:val="22"/>
        </w:rPr>
      </w:pPr>
    </w:p>
    <w:p w14:paraId="1A61CCDB" w14:textId="1B228856" w:rsidR="00321268" w:rsidRPr="001C50E6" w:rsidRDefault="00F653A0" w:rsidP="001C50E6">
      <w:pPr>
        <w:pStyle w:val="Prrafodelista"/>
        <w:numPr>
          <w:ilvl w:val="0"/>
          <w:numId w:val="35"/>
        </w:numPr>
        <w:jc w:val="both"/>
        <w:rPr>
          <w:rFonts w:ascii="Verdana" w:hAnsi="Verdana"/>
          <w:bCs/>
          <w:sz w:val="22"/>
          <w:szCs w:val="22"/>
        </w:rPr>
      </w:pPr>
      <w:r w:rsidRPr="001C50E6">
        <w:rPr>
          <w:rFonts w:ascii="Verdana" w:hAnsi="Verdana"/>
          <w:bCs/>
          <w:sz w:val="22"/>
          <w:szCs w:val="22"/>
        </w:rPr>
        <w:t>La UPME publicó para comentarios hasta el 31 de enero de</w:t>
      </w:r>
      <w:r w:rsidR="00901E60" w:rsidRPr="001C50E6">
        <w:rPr>
          <w:rFonts w:ascii="Verdana" w:hAnsi="Verdana"/>
          <w:bCs/>
          <w:sz w:val="22"/>
          <w:szCs w:val="22"/>
        </w:rPr>
        <w:t>l</w:t>
      </w:r>
      <w:r w:rsidRPr="001C50E6">
        <w:rPr>
          <w:rFonts w:ascii="Verdana" w:hAnsi="Verdana"/>
          <w:bCs/>
          <w:sz w:val="22"/>
          <w:szCs w:val="22"/>
        </w:rPr>
        <w:t xml:space="preserve"> 2020 el “</w:t>
      </w:r>
      <w:r w:rsidRPr="001C50E6">
        <w:rPr>
          <w:rFonts w:ascii="Verdana" w:hAnsi="Verdana"/>
          <w:bCs/>
          <w:i/>
          <w:iCs/>
          <w:sz w:val="22"/>
          <w:szCs w:val="22"/>
        </w:rPr>
        <w:t>Estudio técnico para el Plan de Abastecimiento de Gas Natural</w:t>
      </w:r>
      <w:r w:rsidRPr="001C50E6">
        <w:rPr>
          <w:rFonts w:ascii="Verdana" w:hAnsi="Verdana"/>
          <w:bCs/>
          <w:sz w:val="22"/>
          <w:szCs w:val="22"/>
        </w:rPr>
        <w:t xml:space="preserve">”. En este documento la Unidad plantea las obras de refuerzo que se requieren en el mediano y largo plazo en el SNT para garantizar </w:t>
      </w:r>
      <w:r w:rsidR="006D363D" w:rsidRPr="001C50E6">
        <w:rPr>
          <w:rFonts w:ascii="Verdana" w:hAnsi="Verdana"/>
          <w:bCs/>
          <w:sz w:val="22"/>
          <w:szCs w:val="22"/>
        </w:rPr>
        <w:t xml:space="preserve">el abastecimiento y </w:t>
      </w:r>
      <w:r w:rsidRPr="001C50E6">
        <w:rPr>
          <w:rFonts w:ascii="Verdana" w:hAnsi="Verdana"/>
          <w:bCs/>
          <w:sz w:val="22"/>
          <w:szCs w:val="22"/>
        </w:rPr>
        <w:t>la confiabilidad del suministro de este energético</w:t>
      </w:r>
      <w:r w:rsidR="00ED124F">
        <w:rPr>
          <w:rStyle w:val="Refdenotaalpie"/>
          <w:rFonts w:ascii="Verdana" w:hAnsi="Verdana"/>
          <w:bCs/>
          <w:sz w:val="22"/>
          <w:szCs w:val="22"/>
        </w:rPr>
        <w:footnoteReference w:id="1"/>
      </w:r>
      <w:r w:rsidRPr="001C50E6">
        <w:rPr>
          <w:rFonts w:ascii="Verdana" w:hAnsi="Verdana"/>
          <w:bCs/>
          <w:sz w:val="22"/>
          <w:szCs w:val="22"/>
        </w:rPr>
        <w:t xml:space="preserve">. </w:t>
      </w:r>
    </w:p>
    <w:p w14:paraId="1AADE880" w14:textId="079DEAFB" w:rsidR="00F3476A" w:rsidRPr="001C4A97" w:rsidRDefault="00321268" w:rsidP="001C4A97">
      <w:pPr>
        <w:pStyle w:val="Prrafodelista"/>
        <w:ind w:left="360"/>
        <w:jc w:val="both"/>
        <w:rPr>
          <w:rFonts w:ascii="Verdana" w:hAnsi="Verdana"/>
          <w:bCs/>
          <w:sz w:val="22"/>
          <w:szCs w:val="22"/>
        </w:rPr>
      </w:pPr>
      <w:r>
        <w:rPr>
          <w:rFonts w:ascii="Verdana" w:hAnsi="Verdana"/>
          <w:bCs/>
          <w:sz w:val="22"/>
          <w:szCs w:val="22"/>
        </w:rPr>
        <w:lastRenderedPageBreak/>
        <w:t xml:space="preserve">Se propone </w:t>
      </w:r>
      <w:r w:rsidR="00ED124F">
        <w:rPr>
          <w:rFonts w:ascii="Verdana" w:hAnsi="Verdana"/>
          <w:bCs/>
          <w:sz w:val="22"/>
          <w:szCs w:val="22"/>
        </w:rPr>
        <w:t xml:space="preserve">que los Subcomités de Plantas y Planeamiento Operativo y el Comité de Operación haga </w:t>
      </w:r>
      <w:r w:rsidR="0067477E">
        <w:rPr>
          <w:rFonts w:ascii="Verdana" w:hAnsi="Verdana"/>
          <w:bCs/>
          <w:sz w:val="22"/>
          <w:szCs w:val="22"/>
        </w:rPr>
        <w:t>los comentarios a</w:t>
      </w:r>
      <w:r w:rsidR="00ED124F">
        <w:rPr>
          <w:rFonts w:ascii="Verdana" w:hAnsi="Verdana"/>
          <w:bCs/>
          <w:sz w:val="22"/>
          <w:szCs w:val="22"/>
        </w:rPr>
        <w:t xml:space="preserve"> este</w:t>
      </w:r>
      <w:r w:rsidR="0067477E">
        <w:rPr>
          <w:rFonts w:ascii="Verdana" w:hAnsi="Verdana"/>
          <w:bCs/>
          <w:sz w:val="22"/>
          <w:szCs w:val="22"/>
        </w:rPr>
        <w:t xml:space="preserve"> documento</w:t>
      </w:r>
      <w:r>
        <w:rPr>
          <w:rFonts w:ascii="Verdana" w:hAnsi="Verdana"/>
          <w:bCs/>
          <w:sz w:val="22"/>
          <w:szCs w:val="22"/>
        </w:rPr>
        <w:t xml:space="preserve">. Vale la pena mencionar que es a partir de las proyecciones de demanda y </w:t>
      </w:r>
      <w:r w:rsidR="00901E60">
        <w:rPr>
          <w:rFonts w:ascii="Verdana" w:hAnsi="Verdana"/>
          <w:bCs/>
          <w:sz w:val="22"/>
          <w:szCs w:val="22"/>
        </w:rPr>
        <w:t xml:space="preserve">los </w:t>
      </w:r>
      <w:r>
        <w:rPr>
          <w:rFonts w:ascii="Verdana" w:hAnsi="Verdana"/>
          <w:bCs/>
          <w:sz w:val="22"/>
          <w:szCs w:val="22"/>
        </w:rPr>
        <w:t>supuestos para su obtención, el balance oferta/demanda y la simulación de flujos en el SNT que se establecen los refuerzos</w:t>
      </w:r>
      <w:r w:rsidR="00901E60">
        <w:rPr>
          <w:rFonts w:ascii="Verdana" w:hAnsi="Verdana"/>
          <w:bCs/>
          <w:sz w:val="22"/>
          <w:szCs w:val="22"/>
        </w:rPr>
        <w:t xml:space="preserve"> de infraestructura</w:t>
      </w:r>
      <w:r>
        <w:rPr>
          <w:rFonts w:ascii="Verdana" w:hAnsi="Verdana"/>
          <w:bCs/>
          <w:sz w:val="22"/>
          <w:szCs w:val="22"/>
        </w:rPr>
        <w:t xml:space="preserve">. Asimismo, </w:t>
      </w:r>
      <w:r w:rsidR="00901E60">
        <w:rPr>
          <w:rFonts w:ascii="Verdana" w:hAnsi="Verdana"/>
          <w:bCs/>
          <w:sz w:val="22"/>
          <w:szCs w:val="22"/>
        </w:rPr>
        <w:t xml:space="preserve">se debe </w:t>
      </w:r>
      <w:r>
        <w:rPr>
          <w:rFonts w:ascii="Verdana" w:hAnsi="Verdana"/>
          <w:bCs/>
          <w:sz w:val="22"/>
          <w:szCs w:val="22"/>
        </w:rPr>
        <w:t>considerar la coordinación gas/electricidad</w:t>
      </w:r>
      <w:r w:rsidR="00901E60">
        <w:rPr>
          <w:rFonts w:ascii="Verdana" w:hAnsi="Verdana"/>
          <w:bCs/>
          <w:sz w:val="22"/>
          <w:szCs w:val="22"/>
        </w:rPr>
        <w:t xml:space="preserve"> en el planeamiento de los dos sectores y las restricciones que se imponen mutuamente en la operación, que repercuten </w:t>
      </w:r>
      <w:r w:rsidR="00A642A5">
        <w:rPr>
          <w:rFonts w:ascii="Verdana" w:hAnsi="Verdana"/>
          <w:bCs/>
          <w:sz w:val="22"/>
          <w:szCs w:val="22"/>
        </w:rPr>
        <w:t xml:space="preserve">finalmente </w:t>
      </w:r>
      <w:r w:rsidR="00901E60">
        <w:rPr>
          <w:rFonts w:ascii="Verdana" w:hAnsi="Verdana"/>
          <w:bCs/>
          <w:sz w:val="22"/>
          <w:szCs w:val="22"/>
        </w:rPr>
        <w:t xml:space="preserve">sobre la confiabilidad. </w:t>
      </w:r>
      <w:r w:rsidR="00F57913">
        <w:rPr>
          <w:rFonts w:ascii="Verdana" w:hAnsi="Verdana"/>
          <w:bCs/>
          <w:sz w:val="22"/>
          <w:szCs w:val="22"/>
        </w:rPr>
        <w:t xml:space="preserve"> </w:t>
      </w:r>
      <w:r w:rsidR="00F57913" w:rsidRPr="001C4A97">
        <w:rPr>
          <w:rFonts w:ascii="Verdana" w:hAnsi="Verdana"/>
          <w:bCs/>
          <w:sz w:val="22"/>
          <w:szCs w:val="22"/>
        </w:rPr>
        <w:t>Adicionalmente,</w:t>
      </w:r>
      <w:r w:rsidR="00F57913">
        <w:rPr>
          <w:rFonts w:ascii="Verdana" w:hAnsi="Verdana"/>
          <w:bCs/>
          <w:sz w:val="22"/>
          <w:szCs w:val="22"/>
        </w:rPr>
        <w:t xml:space="preserve"> se invitará a la UPME a presentar e</w:t>
      </w:r>
      <w:r w:rsidR="00ED124F">
        <w:rPr>
          <w:rFonts w:ascii="Verdana" w:hAnsi="Verdana"/>
          <w:bCs/>
          <w:sz w:val="22"/>
          <w:szCs w:val="22"/>
        </w:rPr>
        <w:t>l</w:t>
      </w:r>
      <w:r w:rsidR="00F57913">
        <w:rPr>
          <w:rFonts w:ascii="Verdana" w:hAnsi="Verdana"/>
          <w:bCs/>
          <w:sz w:val="22"/>
          <w:szCs w:val="22"/>
        </w:rPr>
        <w:t xml:space="preserve"> Plan de Gas en la reunión del grupo de trabajo </w:t>
      </w:r>
      <w:r w:rsidR="0067477E">
        <w:rPr>
          <w:rFonts w:ascii="Verdana" w:hAnsi="Verdana"/>
          <w:bCs/>
          <w:sz w:val="22"/>
          <w:szCs w:val="22"/>
        </w:rPr>
        <w:t>de coordinación g</w:t>
      </w:r>
      <w:r w:rsidR="00F57913">
        <w:rPr>
          <w:rFonts w:ascii="Verdana" w:hAnsi="Verdana"/>
          <w:bCs/>
          <w:sz w:val="22"/>
          <w:szCs w:val="22"/>
        </w:rPr>
        <w:t>as/</w:t>
      </w:r>
      <w:r w:rsidR="0067477E">
        <w:rPr>
          <w:rFonts w:ascii="Verdana" w:hAnsi="Verdana"/>
          <w:bCs/>
          <w:sz w:val="22"/>
          <w:szCs w:val="22"/>
        </w:rPr>
        <w:t>e</w:t>
      </w:r>
      <w:r w:rsidR="00F57913">
        <w:rPr>
          <w:rFonts w:ascii="Verdana" w:hAnsi="Verdana"/>
          <w:bCs/>
          <w:sz w:val="22"/>
          <w:szCs w:val="22"/>
        </w:rPr>
        <w:t>lectricidad.</w:t>
      </w:r>
      <w:r w:rsidR="00F57913" w:rsidRPr="001C4A97">
        <w:rPr>
          <w:rFonts w:ascii="Verdana" w:hAnsi="Verdana"/>
          <w:bCs/>
          <w:sz w:val="22"/>
          <w:szCs w:val="22"/>
        </w:rPr>
        <w:t xml:space="preserve"> </w:t>
      </w:r>
      <w:r w:rsidRPr="001C4A97">
        <w:rPr>
          <w:rFonts w:ascii="Verdana" w:hAnsi="Verdana"/>
          <w:bCs/>
          <w:sz w:val="22"/>
          <w:szCs w:val="22"/>
        </w:rPr>
        <w:t xml:space="preserve">   </w:t>
      </w:r>
    </w:p>
    <w:p w14:paraId="3C31065E" w14:textId="77777777" w:rsidR="00F3476A" w:rsidRPr="001C4A97" w:rsidRDefault="00F3476A" w:rsidP="001C4A97">
      <w:pPr>
        <w:pStyle w:val="Prrafodelista"/>
        <w:rPr>
          <w:rFonts w:ascii="Verdana" w:hAnsi="Verdana"/>
          <w:bCs/>
          <w:sz w:val="22"/>
          <w:szCs w:val="22"/>
        </w:rPr>
      </w:pPr>
    </w:p>
    <w:p w14:paraId="74780A53" w14:textId="4D77FE93" w:rsidR="00F3476A" w:rsidRPr="001C50E6" w:rsidRDefault="001C50E6" w:rsidP="001C50E6">
      <w:pPr>
        <w:ind w:left="360"/>
        <w:jc w:val="both"/>
        <w:rPr>
          <w:rFonts w:ascii="Verdana" w:hAnsi="Verdana"/>
          <w:bCs/>
          <w:sz w:val="22"/>
          <w:szCs w:val="22"/>
        </w:rPr>
      </w:pPr>
      <w:r>
        <w:rPr>
          <w:rFonts w:ascii="Verdana" w:hAnsi="Verdana"/>
          <w:bCs/>
          <w:sz w:val="22"/>
          <w:szCs w:val="22"/>
        </w:rPr>
        <w:t xml:space="preserve">9. </w:t>
      </w:r>
      <w:r w:rsidR="00A642A5" w:rsidRPr="001C50E6">
        <w:rPr>
          <w:rFonts w:ascii="Verdana" w:hAnsi="Verdana"/>
          <w:bCs/>
          <w:sz w:val="22"/>
          <w:szCs w:val="22"/>
        </w:rPr>
        <w:t xml:space="preserve">Se expidió la </w:t>
      </w:r>
      <w:r w:rsidR="00F3476A" w:rsidRPr="001C50E6">
        <w:rPr>
          <w:rFonts w:ascii="Verdana" w:hAnsi="Verdana"/>
          <w:bCs/>
          <w:sz w:val="22"/>
          <w:szCs w:val="22"/>
        </w:rPr>
        <w:t>Resolución CREG 200 de 2019</w:t>
      </w:r>
      <w:r w:rsidR="00A642A5" w:rsidRPr="001C50E6">
        <w:rPr>
          <w:rFonts w:ascii="Verdana" w:hAnsi="Verdana"/>
          <w:bCs/>
          <w:sz w:val="22"/>
          <w:szCs w:val="22"/>
        </w:rPr>
        <w:t>, “</w:t>
      </w:r>
      <w:r w:rsidR="00A642A5" w:rsidRPr="001C50E6">
        <w:rPr>
          <w:rFonts w:ascii="Verdana" w:hAnsi="Verdana"/>
          <w:bCs/>
          <w:i/>
          <w:iCs/>
          <w:sz w:val="22"/>
          <w:szCs w:val="22"/>
        </w:rPr>
        <w:t>por la cual se define un esquema para permitir que los generadores puedan compartir activos de conexión al SIN</w:t>
      </w:r>
      <w:r w:rsidR="00A642A5" w:rsidRPr="001C50E6">
        <w:rPr>
          <w:rFonts w:ascii="Verdana" w:hAnsi="Verdana"/>
          <w:bCs/>
          <w:sz w:val="22"/>
          <w:szCs w:val="22"/>
        </w:rPr>
        <w:t>”</w:t>
      </w:r>
      <w:r w:rsidR="00F3476A" w:rsidRPr="001C50E6">
        <w:rPr>
          <w:rFonts w:ascii="Verdana" w:hAnsi="Verdana"/>
          <w:bCs/>
          <w:sz w:val="22"/>
          <w:szCs w:val="22"/>
        </w:rPr>
        <w:t>.</w:t>
      </w:r>
      <w:r w:rsidR="00A642A5" w:rsidRPr="001C50E6">
        <w:rPr>
          <w:rFonts w:ascii="Verdana" w:hAnsi="Verdana"/>
          <w:bCs/>
          <w:sz w:val="22"/>
          <w:szCs w:val="22"/>
        </w:rPr>
        <w:t xml:space="preserve"> </w:t>
      </w:r>
      <w:r w:rsidR="00865EB8" w:rsidRPr="001C50E6">
        <w:rPr>
          <w:rFonts w:ascii="Verdana" w:hAnsi="Verdana"/>
          <w:bCs/>
          <w:sz w:val="22"/>
          <w:szCs w:val="22"/>
        </w:rPr>
        <w:t xml:space="preserve">Esta aplica a los generadores despachados centralmente que van a conectarse a un mismo punto de conexión e interesados en suscribir un acuerdo para compartir dichos activos de conexión. </w:t>
      </w:r>
    </w:p>
    <w:p w14:paraId="0E8CB773" w14:textId="47667172" w:rsidR="00865EB8" w:rsidRDefault="00865EB8" w:rsidP="00865EB8">
      <w:pPr>
        <w:pStyle w:val="Prrafodelista"/>
        <w:ind w:left="360"/>
        <w:jc w:val="both"/>
        <w:rPr>
          <w:rFonts w:ascii="Verdana" w:hAnsi="Verdana"/>
          <w:bCs/>
          <w:sz w:val="22"/>
          <w:szCs w:val="22"/>
        </w:rPr>
      </w:pPr>
    </w:p>
    <w:p w14:paraId="5F4B16D2" w14:textId="70E4D7CF" w:rsidR="003E2D64" w:rsidRDefault="00865EB8" w:rsidP="003E2D64">
      <w:pPr>
        <w:pStyle w:val="Prrafodelista"/>
        <w:ind w:left="360"/>
        <w:jc w:val="both"/>
        <w:rPr>
          <w:rFonts w:ascii="Verdana" w:hAnsi="Verdana"/>
          <w:bCs/>
          <w:sz w:val="22"/>
          <w:szCs w:val="22"/>
        </w:rPr>
      </w:pPr>
      <w:r>
        <w:rPr>
          <w:rFonts w:ascii="Verdana" w:hAnsi="Verdana"/>
          <w:bCs/>
          <w:sz w:val="22"/>
          <w:szCs w:val="22"/>
        </w:rPr>
        <w:t xml:space="preserve">Desde </w:t>
      </w:r>
      <w:r w:rsidR="0067477E">
        <w:rPr>
          <w:rFonts w:ascii="Verdana" w:hAnsi="Verdana"/>
          <w:bCs/>
          <w:sz w:val="22"/>
          <w:szCs w:val="22"/>
        </w:rPr>
        <w:t xml:space="preserve">el punto de vista </w:t>
      </w:r>
      <w:r>
        <w:rPr>
          <w:rFonts w:ascii="Verdana" w:hAnsi="Verdana"/>
          <w:bCs/>
          <w:sz w:val="22"/>
          <w:szCs w:val="22"/>
        </w:rPr>
        <w:t>técnic</w:t>
      </w:r>
      <w:r w:rsidR="0067477E">
        <w:rPr>
          <w:rFonts w:ascii="Verdana" w:hAnsi="Verdana"/>
          <w:bCs/>
          <w:sz w:val="22"/>
          <w:szCs w:val="22"/>
        </w:rPr>
        <w:t>o</w:t>
      </w:r>
      <w:r>
        <w:rPr>
          <w:rFonts w:ascii="Verdana" w:hAnsi="Verdana"/>
          <w:bCs/>
          <w:sz w:val="22"/>
          <w:szCs w:val="22"/>
        </w:rPr>
        <w:t>,</w:t>
      </w:r>
      <w:r w:rsidR="00C62691">
        <w:rPr>
          <w:rFonts w:ascii="Verdana" w:hAnsi="Verdana"/>
          <w:bCs/>
          <w:sz w:val="22"/>
          <w:szCs w:val="22"/>
        </w:rPr>
        <w:t xml:space="preserve"> si bien se establece la obligación de entrega al transportador y a la UPME de un estudio de conexión conjunto por parte de los interesados,</w:t>
      </w:r>
      <w:r>
        <w:rPr>
          <w:rFonts w:ascii="Verdana" w:hAnsi="Verdana"/>
          <w:bCs/>
          <w:sz w:val="22"/>
          <w:szCs w:val="22"/>
        </w:rPr>
        <w:t xml:space="preserve"> no se definió de forma </w:t>
      </w:r>
      <w:r w:rsidR="00A546EF">
        <w:rPr>
          <w:rFonts w:ascii="Verdana" w:hAnsi="Verdana"/>
          <w:bCs/>
          <w:sz w:val="22"/>
          <w:szCs w:val="22"/>
        </w:rPr>
        <w:t>explícita</w:t>
      </w:r>
      <w:r>
        <w:rPr>
          <w:rFonts w:ascii="Verdana" w:hAnsi="Verdana"/>
          <w:bCs/>
          <w:sz w:val="22"/>
          <w:szCs w:val="22"/>
        </w:rPr>
        <w:t xml:space="preserve"> un límite a la agregación de capacidad</w:t>
      </w:r>
      <w:r w:rsidR="00C62691">
        <w:rPr>
          <w:rFonts w:ascii="Verdana" w:hAnsi="Verdana"/>
          <w:bCs/>
          <w:sz w:val="22"/>
          <w:szCs w:val="22"/>
        </w:rPr>
        <w:t xml:space="preserve">, </w:t>
      </w:r>
      <w:r>
        <w:rPr>
          <w:rFonts w:ascii="Verdana" w:hAnsi="Verdana"/>
          <w:bCs/>
          <w:sz w:val="22"/>
          <w:szCs w:val="22"/>
        </w:rPr>
        <w:t xml:space="preserve">situación que podría generar problemas de inestabilidad de frecuencia ante un evento de contingencia en </w:t>
      </w:r>
      <w:r w:rsidR="00C62691">
        <w:rPr>
          <w:rFonts w:ascii="Verdana" w:hAnsi="Verdana"/>
          <w:bCs/>
          <w:sz w:val="22"/>
          <w:szCs w:val="22"/>
        </w:rPr>
        <w:t xml:space="preserve">el </w:t>
      </w:r>
      <w:r>
        <w:rPr>
          <w:rFonts w:ascii="Verdana" w:hAnsi="Verdana"/>
          <w:bCs/>
          <w:sz w:val="22"/>
          <w:szCs w:val="22"/>
        </w:rPr>
        <w:t>activo</w:t>
      </w:r>
      <w:r w:rsidR="00C62691">
        <w:rPr>
          <w:rFonts w:ascii="Verdana" w:hAnsi="Verdana"/>
          <w:bCs/>
          <w:sz w:val="22"/>
          <w:szCs w:val="22"/>
        </w:rPr>
        <w:t xml:space="preserve"> (una sola línea de conexión, por ejemplo). Lo anterior implica que, en los estudios de conexión, debe analizarse de manera detallada la topología interna de los complejos de generación y analizar contingencias sencillas al interior de </w:t>
      </w:r>
      <w:r w:rsidR="003E2D64">
        <w:rPr>
          <w:rFonts w:ascii="Verdana" w:hAnsi="Verdana"/>
          <w:bCs/>
          <w:sz w:val="22"/>
          <w:szCs w:val="22"/>
        </w:rPr>
        <w:t>estos.</w:t>
      </w:r>
    </w:p>
    <w:p w14:paraId="3913F8F7" w14:textId="77777777" w:rsidR="003E2D64" w:rsidRDefault="003E2D64" w:rsidP="003E2D64">
      <w:pPr>
        <w:pStyle w:val="Prrafodelista"/>
        <w:ind w:left="360"/>
        <w:jc w:val="both"/>
        <w:rPr>
          <w:rFonts w:ascii="Verdana" w:hAnsi="Verdana"/>
          <w:bCs/>
          <w:sz w:val="22"/>
          <w:szCs w:val="22"/>
        </w:rPr>
      </w:pPr>
    </w:p>
    <w:p w14:paraId="401B04DF" w14:textId="705D5248" w:rsidR="00865EB8" w:rsidRPr="001C4A97" w:rsidRDefault="003E2D64" w:rsidP="001C4A97">
      <w:pPr>
        <w:pStyle w:val="Prrafodelista"/>
        <w:ind w:left="360"/>
        <w:jc w:val="both"/>
        <w:rPr>
          <w:rFonts w:ascii="Verdana" w:hAnsi="Verdana"/>
          <w:bCs/>
          <w:sz w:val="22"/>
          <w:szCs w:val="22"/>
        </w:rPr>
      </w:pPr>
      <w:r>
        <w:rPr>
          <w:rFonts w:ascii="Verdana" w:hAnsi="Verdana"/>
          <w:bCs/>
          <w:sz w:val="22"/>
          <w:szCs w:val="22"/>
        </w:rPr>
        <w:t xml:space="preserve">Respecto al Consejo, el artículo 13 establece un plazo de cuatro (4) meses para </w:t>
      </w:r>
      <w:r w:rsidRPr="003E2D64">
        <w:rPr>
          <w:rFonts w:ascii="Verdana" w:hAnsi="Verdana"/>
          <w:bCs/>
          <w:sz w:val="22"/>
          <w:szCs w:val="22"/>
        </w:rPr>
        <w:t>defini</w:t>
      </w:r>
      <w:r>
        <w:rPr>
          <w:rFonts w:ascii="Verdana" w:hAnsi="Verdana"/>
          <w:bCs/>
          <w:sz w:val="22"/>
          <w:szCs w:val="22"/>
        </w:rPr>
        <w:t>r</w:t>
      </w:r>
      <w:r w:rsidRPr="003E2D64">
        <w:rPr>
          <w:rFonts w:ascii="Verdana" w:hAnsi="Verdana"/>
          <w:bCs/>
          <w:sz w:val="22"/>
          <w:szCs w:val="22"/>
        </w:rPr>
        <w:t xml:space="preserve"> los ajustes requeridos a los </w:t>
      </w:r>
      <w:r>
        <w:rPr>
          <w:rFonts w:ascii="Verdana" w:hAnsi="Verdana"/>
          <w:bCs/>
          <w:sz w:val="22"/>
          <w:szCs w:val="22"/>
        </w:rPr>
        <w:t>A</w:t>
      </w:r>
      <w:r w:rsidRPr="003E2D64">
        <w:rPr>
          <w:rFonts w:ascii="Verdana" w:hAnsi="Verdana"/>
          <w:bCs/>
          <w:sz w:val="22"/>
          <w:szCs w:val="22"/>
        </w:rPr>
        <w:t xml:space="preserve">cuerdos expedidos, </w:t>
      </w:r>
      <w:r>
        <w:rPr>
          <w:rFonts w:ascii="Verdana" w:hAnsi="Verdana"/>
          <w:bCs/>
          <w:sz w:val="22"/>
          <w:szCs w:val="22"/>
        </w:rPr>
        <w:t xml:space="preserve">o </w:t>
      </w:r>
      <w:r w:rsidRPr="003E2D64">
        <w:rPr>
          <w:rFonts w:ascii="Verdana" w:hAnsi="Verdana"/>
          <w:bCs/>
          <w:sz w:val="22"/>
          <w:szCs w:val="22"/>
        </w:rPr>
        <w:t xml:space="preserve">de considerarlo necesario, aprobar nuevos </w:t>
      </w:r>
      <w:r>
        <w:rPr>
          <w:rFonts w:ascii="Verdana" w:hAnsi="Verdana"/>
          <w:bCs/>
          <w:sz w:val="22"/>
          <w:szCs w:val="22"/>
        </w:rPr>
        <w:t>A</w:t>
      </w:r>
      <w:r w:rsidRPr="003E2D64">
        <w:rPr>
          <w:rFonts w:ascii="Verdana" w:hAnsi="Verdana"/>
          <w:bCs/>
          <w:sz w:val="22"/>
          <w:szCs w:val="22"/>
        </w:rPr>
        <w:t xml:space="preserve">cuerdos, relacionados con los procedimientos para la entrada en operación de plantas de generación que se conectan al SIN o para la ejecución de pruebas, con el propósito de incluir los aspectos adicionales que conlleva la aplicación del esquema previsto en </w:t>
      </w:r>
      <w:r>
        <w:rPr>
          <w:rFonts w:ascii="Verdana" w:hAnsi="Verdana"/>
          <w:bCs/>
          <w:sz w:val="22"/>
          <w:szCs w:val="22"/>
        </w:rPr>
        <w:t>la R</w:t>
      </w:r>
      <w:r w:rsidRPr="003E2D64">
        <w:rPr>
          <w:rFonts w:ascii="Verdana" w:hAnsi="Verdana"/>
          <w:bCs/>
          <w:sz w:val="22"/>
          <w:szCs w:val="22"/>
        </w:rPr>
        <w:t>esolución.</w:t>
      </w:r>
      <w:r w:rsidR="00C62691" w:rsidRPr="001C4A97">
        <w:rPr>
          <w:rFonts w:ascii="Verdana" w:hAnsi="Verdana"/>
          <w:bCs/>
          <w:sz w:val="22"/>
          <w:szCs w:val="22"/>
        </w:rPr>
        <w:t xml:space="preserve">   </w:t>
      </w:r>
      <w:r w:rsidR="00865EB8" w:rsidRPr="001C4A97">
        <w:rPr>
          <w:rFonts w:ascii="Verdana" w:hAnsi="Verdana"/>
          <w:bCs/>
          <w:sz w:val="22"/>
          <w:szCs w:val="22"/>
        </w:rPr>
        <w:t xml:space="preserve"> </w:t>
      </w:r>
    </w:p>
    <w:p w14:paraId="436BCBC5" w14:textId="77777777" w:rsidR="00F3476A" w:rsidRPr="001C4A97" w:rsidRDefault="00F3476A" w:rsidP="001C4A97">
      <w:pPr>
        <w:pStyle w:val="Prrafodelista"/>
        <w:rPr>
          <w:rFonts w:ascii="Verdana" w:hAnsi="Verdana"/>
          <w:bCs/>
          <w:sz w:val="22"/>
          <w:szCs w:val="22"/>
        </w:rPr>
      </w:pPr>
    </w:p>
    <w:p w14:paraId="4349F2C2" w14:textId="0F6E38A1" w:rsidR="00FF2108" w:rsidRPr="001C50E6" w:rsidRDefault="001C50E6" w:rsidP="001C50E6">
      <w:pPr>
        <w:ind w:left="360"/>
        <w:jc w:val="both"/>
        <w:rPr>
          <w:rFonts w:ascii="Verdana" w:hAnsi="Verdana"/>
          <w:bCs/>
          <w:sz w:val="22"/>
          <w:szCs w:val="22"/>
        </w:rPr>
      </w:pPr>
      <w:r>
        <w:rPr>
          <w:rFonts w:ascii="Verdana" w:hAnsi="Verdana"/>
          <w:bCs/>
          <w:sz w:val="22"/>
          <w:szCs w:val="22"/>
        </w:rPr>
        <w:t xml:space="preserve">10. </w:t>
      </w:r>
      <w:r w:rsidR="007A0C35" w:rsidRPr="001C50E6">
        <w:rPr>
          <w:rFonts w:ascii="Verdana" w:hAnsi="Verdana"/>
          <w:bCs/>
          <w:sz w:val="22"/>
          <w:szCs w:val="22"/>
        </w:rPr>
        <w:t xml:space="preserve">El CND presentó en el Comité de Operación </w:t>
      </w:r>
      <w:r w:rsidR="00AE56DF" w:rsidRPr="001C50E6">
        <w:rPr>
          <w:rFonts w:ascii="Verdana" w:hAnsi="Verdana"/>
          <w:bCs/>
          <w:sz w:val="22"/>
          <w:szCs w:val="22"/>
        </w:rPr>
        <w:t xml:space="preserve">los </w:t>
      </w:r>
      <w:r w:rsidR="007A0C35" w:rsidRPr="001C50E6">
        <w:rPr>
          <w:rFonts w:ascii="Verdana" w:hAnsi="Verdana"/>
          <w:bCs/>
          <w:sz w:val="22"/>
          <w:szCs w:val="22"/>
        </w:rPr>
        <w:t>análisis detallados sobre la instalación de un Esquema Suplementario de Protección del Sistema-ESPS tipo RAG para Termovalle y Termoemcali, lo anterior teniendo en cuenta la actual situación de la subárea Valle y la esperada por el incremento de la capacidad de generación, las reconfiguraciones topológicas en algunas subestaciones del STN y STR</w:t>
      </w:r>
      <w:r w:rsidR="00C36BCB" w:rsidRPr="001C50E6">
        <w:rPr>
          <w:rFonts w:ascii="Verdana" w:hAnsi="Verdana"/>
          <w:bCs/>
          <w:sz w:val="22"/>
          <w:szCs w:val="22"/>
        </w:rPr>
        <w:t xml:space="preserve"> para reducir el nivel de cortocircuito</w:t>
      </w:r>
      <w:r w:rsidR="00FF2108" w:rsidRPr="001C50E6">
        <w:rPr>
          <w:rFonts w:ascii="Verdana" w:hAnsi="Verdana"/>
          <w:bCs/>
          <w:sz w:val="22"/>
          <w:szCs w:val="22"/>
        </w:rPr>
        <w:t>,</w:t>
      </w:r>
      <w:r w:rsidR="007A0C35" w:rsidRPr="001C50E6">
        <w:rPr>
          <w:rFonts w:ascii="Verdana" w:hAnsi="Verdana"/>
          <w:bCs/>
          <w:sz w:val="22"/>
          <w:szCs w:val="22"/>
        </w:rPr>
        <w:t xml:space="preserve"> y la</w:t>
      </w:r>
      <w:r w:rsidR="00FF2108" w:rsidRPr="001C50E6">
        <w:rPr>
          <w:rFonts w:ascii="Verdana" w:hAnsi="Verdana"/>
          <w:bCs/>
          <w:sz w:val="22"/>
          <w:szCs w:val="22"/>
        </w:rPr>
        <w:t xml:space="preserve"> indisponibilidad por dos años de la protección diferencial en la subestación Yumbo 230 kV</w:t>
      </w:r>
      <w:r w:rsidR="00C36BCB" w:rsidRPr="001C50E6">
        <w:rPr>
          <w:rFonts w:ascii="Verdana" w:hAnsi="Verdana"/>
          <w:bCs/>
          <w:sz w:val="22"/>
          <w:szCs w:val="22"/>
        </w:rPr>
        <w:t xml:space="preserve"> por trabajos de modernización</w:t>
      </w:r>
      <w:r w:rsidR="00FF2108" w:rsidRPr="001C50E6">
        <w:rPr>
          <w:rFonts w:ascii="Verdana" w:hAnsi="Verdana"/>
          <w:bCs/>
          <w:sz w:val="22"/>
          <w:szCs w:val="22"/>
        </w:rPr>
        <w:t xml:space="preserve">. </w:t>
      </w:r>
    </w:p>
    <w:p w14:paraId="2D9EACE4" w14:textId="77777777" w:rsidR="00FF2108" w:rsidRDefault="00FF2108" w:rsidP="001C50E6">
      <w:pPr>
        <w:pStyle w:val="Prrafodelista"/>
        <w:ind w:left="360"/>
        <w:jc w:val="both"/>
        <w:rPr>
          <w:rFonts w:ascii="Verdana" w:hAnsi="Verdana"/>
          <w:bCs/>
          <w:sz w:val="22"/>
          <w:szCs w:val="22"/>
        </w:rPr>
      </w:pPr>
    </w:p>
    <w:p w14:paraId="375BE91A" w14:textId="127F2932" w:rsidR="00AE56DF" w:rsidRDefault="001C4A97" w:rsidP="001C50E6">
      <w:pPr>
        <w:pStyle w:val="Prrafodelista"/>
        <w:ind w:left="360"/>
        <w:jc w:val="both"/>
        <w:rPr>
          <w:rFonts w:ascii="Verdana" w:hAnsi="Verdana"/>
          <w:bCs/>
          <w:sz w:val="22"/>
          <w:szCs w:val="22"/>
        </w:rPr>
      </w:pPr>
      <w:r>
        <w:rPr>
          <w:rFonts w:ascii="Verdana" w:hAnsi="Verdana"/>
          <w:bCs/>
          <w:sz w:val="22"/>
          <w:szCs w:val="22"/>
        </w:rPr>
        <w:t>E</w:t>
      </w:r>
      <w:r w:rsidR="00AE56DF">
        <w:rPr>
          <w:rFonts w:ascii="Verdana" w:hAnsi="Verdana"/>
          <w:bCs/>
          <w:sz w:val="22"/>
          <w:szCs w:val="22"/>
        </w:rPr>
        <w:t xml:space="preserve">l </w:t>
      </w:r>
      <w:r w:rsidR="00F15031">
        <w:rPr>
          <w:rFonts w:ascii="Verdana" w:hAnsi="Verdana"/>
          <w:bCs/>
          <w:sz w:val="22"/>
          <w:szCs w:val="22"/>
        </w:rPr>
        <w:t>CND manifest</w:t>
      </w:r>
      <w:r w:rsidR="00AE56DF">
        <w:rPr>
          <w:rFonts w:ascii="Verdana" w:hAnsi="Verdana"/>
          <w:bCs/>
          <w:sz w:val="22"/>
          <w:szCs w:val="22"/>
        </w:rPr>
        <w:t>ó dificultades para implementar este ESPS, ya que las plan</w:t>
      </w:r>
      <w:r w:rsidR="001C50E6">
        <w:rPr>
          <w:rFonts w:ascii="Verdana" w:hAnsi="Verdana"/>
          <w:bCs/>
          <w:sz w:val="22"/>
          <w:szCs w:val="22"/>
        </w:rPr>
        <w:t>t</w:t>
      </w:r>
      <w:r w:rsidR="00AE56DF">
        <w:rPr>
          <w:rFonts w:ascii="Verdana" w:hAnsi="Verdana"/>
          <w:bCs/>
          <w:sz w:val="22"/>
          <w:szCs w:val="22"/>
        </w:rPr>
        <w:t xml:space="preserve">as térmicas por limitaciones técnicas no pueden programar rampas rápidas de descenso, como si lo pueden hacer las plantas renovables. </w:t>
      </w:r>
    </w:p>
    <w:p w14:paraId="1D11F323" w14:textId="77777777" w:rsidR="001C4A97" w:rsidRDefault="001C4A97" w:rsidP="001C50E6">
      <w:pPr>
        <w:pStyle w:val="Prrafodelista"/>
        <w:ind w:left="360"/>
        <w:jc w:val="both"/>
        <w:rPr>
          <w:rFonts w:ascii="Verdana" w:hAnsi="Verdana"/>
          <w:bCs/>
          <w:sz w:val="22"/>
          <w:szCs w:val="22"/>
        </w:rPr>
      </w:pPr>
    </w:p>
    <w:p w14:paraId="27B41A90" w14:textId="3E143D2E" w:rsidR="00F3476A" w:rsidRPr="001C4A97" w:rsidRDefault="00AE56DF" w:rsidP="001C4A97">
      <w:pPr>
        <w:pStyle w:val="Prrafodelista"/>
        <w:ind w:left="360"/>
        <w:jc w:val="both"/>
        <w:rPr>
          <w:rFonts w:ascii="Verdana" w:hAnsi="Verdana"/>
          <w:bCs/>
          <w:sz w:val="22"/>
          <w:szCs w:val="22"/>
        </w:rPr>
      </w:pPr>
      <w:r>
        <w:rPr>
          <w:rFonts w:ascii="Verdana" w:hAnsi="Verdana"/>
          <w:bCs/>
          <w:sz w:val="22"/>
          <w:szCs w:val="22"/>
        </w:rPr>
        <w:lastRenderedPageBreak/>
        <w:t xml:space="preserve">Por lo anterior si este esquema suplementario no se puede implementar, habría que limitar desde el despacho la </w:t>
      </w:r>
      <w:r w:rsidR="00A4446A">
        <w:rPr>
          <w:rFonts w:ascii="Verdana" w:hAnsi="Verdana"/>
          <w:bCs/>
          <w:sz w:val="22"/>
          <w:szCs w:val="22"/>
        </w:rPr>
        <w:t>generación de Termovalle o Termoemcali, situación que no permitiría la entrega de la totalidad de las Obligaciones de Energía en Firme si la condición del sistema así lo requiere.</w:t>
      </w:r>
    </w:p>
    <w:p w14:paraId="69737BB3" w14:textId="77777777" w:rsidR="00F3476A" w:rsidRPr="001C4A97" w:rsidRDefault="00F3476A" w:rsidP="001C4A97">
      <w:pPr>
        <w:pStyle w:val="Prrafodelista"/>
        <w:rPr>
          <w:rFonts w:ascii="Verdana" w:hAnsi="Verdana"/>
          <w:bCs/>
          <w:sz w:val="22"/>
          <w:szCs w:val="22"/>
        </w:rPr>
      </w:pPr>
    </w:p>
    <w:p w14:paraId="31273B8E" w14:textId="6554CB3F" w:rsidR="005675E9" w:rsidRPr="001C50E6" w:rsidRDefault="001C50E6" w:rsidP="001C50E6">
      <w:pPr>
        <w:ind w:left="360"/>
        <w:jc w:val="both"/>
        <w:rPr>
          <w:rFonts w:ascii="Verdana" w:hAnsi="Verdana"/>
          <w:bCs/>
          <w:sz w:val="22"/>
          <w:szCs w:val="22"/>
        </w:rPr>
      </w:pPr>
      <w:r>
        <w:rPr>
          <w:rFonts w:ascii="Verdana" w:hAnsi="Verdana"/>
          <w:bCs/>
          <w:sz w:val="22"/>
          <w:szCs w:val="22"/>
        </w:rPr>
        <w:t>11.</w:t>
      </w:r>
      <w:r w:rsidR="00450862" w:rsidRPr="001C50E6">
        <w:rPr>
          <w:rFonts w:ascii="Verdana" w:hAnsi="Verdana"/>
          <w:bCs/>
          <w:sz w:val="22"/>
          <w:szCs w:val="22"/>
        </w:rPr>
        <w:t xml:space="preserve">Se </w:t>
      </w:r>
      <w:r w:rsidR="005675E9" w:rsidRPr="001C50E6">
        <w:rPr>
          <w:rFonts w:ascii="Verdana" w:hAnsi="Verdana"/>
          <w:bCs/>
          <w:sz w:val="22"/>
          <w:szCs w:val="22"/>
        </w:rPr>
        <w:t>elaboró</w:t>
      </w:r>
      <w:r w:rsidR="00450862" w:rsidRPr="001C50E6">
        <w:rPr>
          <w:rFonts w:ascii="Verdana" w:hAnsi="Verdana"/>
          <w:bCs/>
          <w:sz w:val="22"/>
          <w:szCs w:val="22"/>
        </w:rPr>
        <w:t xml:space="preserve"> </w:t>
      </w:r>
      <w:r w:rsidR="005675E9" w:rsidRPr="001C50E6">
        <w:rPr>
          <w:rFonts w:ascii="Verdana" w:hAnsi="Verdana"/>
          <w:bCs/>
          <w:sz w:val="22"/>
          <w:szCs w:val="22"/>
        </w:rPr>
        <w:t xml:space="preserve">una </w:t>
      </w:r>
      <w:r w:rsidR="00450862" w:rsidRPr="001C50E6">
        <w:rPr>
          <w:rFonts w:ascii="Verdana" w:hAnsi="Verdana"/>
          <w:bCs/>
          <w:sz w:val="22"/>
          <w:szCs w:val="22"/>
        </w:rPr>
        <w:t>comunicaci</w:t>
      </w:r>
      <w:r w:rsidR="005675E9" w:rsidRPr="001C50E6">
        <w:rPr>
          <w:rFonts w:ascii="Verdana" w:hAnsi="Verdana"/>
          <w:bCs/>
          <w:sz w:val="22"/>
          <w:szCs w:val="22"/>
        </w:rPr>
        <w:t>ón</w:t>
      </w:r>
      <w:r w:rsidR="00450862" w:rsidRPr="001C50E6">
        <w:rPr>
          <w:rFonts w:ascii="Verdana" w:hAnsi="Verdana"/>
          <w:bCs/>
          <w:sz w:val="22"/>
          <w:szCs w:val="22"/>
        </w:rPr>
        <w:t xml:space="preserve"> que fue enviada a la UPME, sobre la importancia de determinar claramente en los D</w:t>
      </w:r>
      <w:r w:rsidR="00B27F5F" w:rsidRPr="001C50E6">
        <w:rPr>
          <w:rFonts w:ascii="Verdana" w:hAnsi="Verdana"/>
          <w:bCs/>
          <w:sz w:val="22"/>
          <w:szCs w:val="22"/>
        </w:rPr>
        <w:t>ocumentos de Selección del Inversionista-D</w:t>
      </w:r>
      <w:r w:rsidR="00450862" w:rsidRPr="001C50E6">
        <w:rPr>
          <w:rFonts w:ascii="Verdana" w:hAnsi="Verdana"/>
          <w:bCs/>
          <w:sz w:val="22"/>
          <w:szCs w:val="22"/>
        </w:rPr>
        <w:t>SI de la Unidad</w:t>
      </w:r>
      <w:r w:rsidR="005675E9" w:rsidRPr="001C50E6">
        <w:rPr>
          <w:rFonts w:ascii="Verdana" w:hAnsi="Verdana"/>
          <w:bCs/>
          <w:sz w:val="22"/>
          <w:szCs w:val="22"/>
        </w:rPr>
        <w:t>,</w:t>
      </w:r>
      <w:r w:rsidR="00450862" w:rsidRPr="001C50E6">
        <w:rPr>
          <w:rFonts w:ascii="Verdana" w:hAnsi="Verdana"/>
          <w:bCs/>
          <w:sz w:val="22"/>
          <w:szCs w:val="22"/>
        </w:rPr>
        <w:t xml:space="preserve"> las características, modos de operación, estudios específicos, dimensionamiento y funciones que deben desempeñar los SAEB para mitigar restricciones, ya sean operativas o eléctricas.</w:t>
      </w:r>
      <w:r w:rsidR="00B27F5F" w:rsidRPr="001C50E6">
        <w:rPr>
          <w:rFonts w:ascii="Verdana" w:hAnsi="Verdana"/>
          <w:bCs/>
          <w:sz w:val="22"/>
          <w:szCs w:val="22"/>
        </w:rPr>
        <w:t xml:space="preserve"> </w:t>
      </w:r>
    </w:p>
    <w:p w14:paraId="1BDB07BB" w14:textId="77777777" w:rsidR="003639CF" w:rsidRPr="003639CF" w:rsidRDefault="003639CF" w:rsidP="001C50E6">
      <w:pPr>
        <w:pStyle w:val="Prrafodelista"/>
        <w:ind w:left="360"/>
        <w:jc w:val="both"/>
        <w:rPr>
          <w:rFonts w:ascii="Verdana" w:hAnsi="Verdana"/>
          <w:bCs/>
          <w:sz w:val="22"/>
          <w:szCs w:val="22"/>
        </w:rPr>
      </w:pPr>
    </w:p>
    <w:p w14:paraId="5873D4AF" w14:textId="1D29DFB1" w:rsidR="00450862" w:rsidRDefault="005675E9" w:rsidP="001C50E6">
      <w:pPr>
        <w:pStyle w:val="Prrafodelista"/>
        <w:ind w:left="360"/>
        <w:jc w:val="both"/>
        <w:rPr>
          <w:rFonts w:ascii="Verdana" w:hAnsi="Verdana"/>
          <w:bCs/>
          <w:sz w:val="22"/>
          <w:szCs w:val="22"/>
        </w:rPr>
      </w:pPr>
      <w:r>
        <w:rPr>
          <w:rFonts w:ascii="Verdana" w:hAnsi="Verdana"/>
          <w:bCs/>
          <w:sz w:val="22"/>
          <w:szCs w:val="22"/>
        </w:rPr>
        <w:t xml:space="preserve">Adicionalmente, se envió comunicación </w:t>
      </w:r>
      <w:r w:rsidR="00DC5EFA">
        <w:rPr>
          <w:rFonts w:ascii="Verdana" w:hAnsi="Verdana"/>
          <w:bCs/>
          <w:sz w:val="22"/>
          <w:szCs w:val="22"/>
        </w:rPr>
        <w:t xml:space="preserve">de comentarios </w:t>
      </w:r>
      <w:r>
        <w:rPr>
          <w:rFonts w:ascii="Verdana" w:hAnsi="Verdana"/>
          <w:bCs/>
          <w:sz w:val="22"/>
          <w:szCs w:val="22"/>
        </w:rPr>
        <w:t>a la CREG sobre</w:t>
      </w:r>
      <w:r w:rsidR="00DC5EFA">
        <w:rPr>
          <w:rFonts w:ascii="Verdana" w:hAnsi="Verdana"/>
          <w:bCs/>
          <w:sz w:val="22"/>
          <w:szCs w:val="22"/>
        </w:rPr>
        <w:t xml:space="preserve"> </w:t>
      </w:r>
      <w:r w:rsidR="00C65253">
        <w:rPr>
          <w:rFonts w:ascii="Verdana" w:hAnsi="Verdana"/>
          <w:bCs/>
          <w:sz w:val="22"/>
          <w:szCs w:val="22"/>
        </w:rPr>
        <w:t>la Resolución 098 de 2019</w:t>
      </w:r>
      <w:r w:rsidR="00495975">
        <w:rPr>
          <w:rFonts w:ascii="Verdana" w:hAnsi="Verdana"/>
          <w:bCs/>
          <w:sz w:val="22"/>
          <w:szCs w:val="22"/>
        </w:rPr>
        <w:t xml:space="preserve">. </w:t>
      </w:r>
    </w:p>
    <w:p w14:paraId="2BF67E7E" w14:textId="77777777" w:rsidR="003639CF" w:rsidRPr="001C4A97" w:rsidRDefault="003639CF" w:rsidP="001C50E6">
      <w:pPr>
        <w:pStyle w:val="Prrafodelista"/>
        <w:rPr>
          <w:rFonts w:ascii="Verdana" w:hAnsi="Verdana"/>
          <w:bCs/>
          <w:sz w:val="22"/>
          <w:szCs w:val="22"/>
        </w:rPr>
      </w:pPr>
    </w:p>
    <w:p w14:paraId="218710C7" w14:textId="3F3D60DE" w:rsidR="003639CF" w:rsidRDefault="003639CF" w:rsidP="001C50E6">
      <w:pPr>
        <w:pStyle w:val="Prrafodelista"/>
        <w:ind w:left="360"/>
        <w:jc w:val="both"/>
        <w:rPr>
          <w:rFonts w:ascii="Verdana" w:hAnsi="Verdana"/>
          <w:bCs/>
          <w:sz w:val="22"/>
          <w:szCs w:val="22"/>
        </w:rPr>
      </w:pPr>
      <w:r>
        <w:rPr>
          <w:rFonts w:ascii="Verdana" w:hAnsi="Verdana"/>
          <w:bCs/>
          <w:sz w:val="22"/>
          <w:szCs w:val="22"/>
        </w:rPr>
        <w:t>Las carta</w:t>
      </w:r>
      <w:r w:rsidR="00495975">
        <w:rPr>
          <w:rFonts w:ascii="Verdana" w:hAnsi="Verdana"/>
          <w:bCs/>
          <w:sz w:val="22"/>
          <w:szCs w:val="22"/>
        </w:rPr>
        <w:t>s</w:t>
      </w:r>
      <w:r>
        <w:rPr>
          <w:rFonts w:ascii="Verdana" w:hAnsi="Verdana"/>
          <w:bCs/>
          <w:sz w:val="22"/>
          <w:szCs w:val="22"/>
        </w:rPr>
        <w:t xml:space="preserve"> puede</w:t>
      </w:r>
      <w:r w:rsidR="00495975">
        <w:rPr>
          <w:rFonts w:ascii="Verdana" w:hAnsi="Verdana"/>
          <w:bCs/>
          <w:sz w:val="22"/>
          <w:szCs w:val="22"/>
        </w:rPr>
        <w:t>n</w:t>
      </w:r>
      <w:r>
        <w:rPr>
          <w:rFonts w:ascii="Verdana" w:hAnsi="Verdana"/>
          <w:bCs/>
          <w:sz w:val="22"/>
          <w:szCs w:val="22"/>
        </w:rPr>
        <w:t xml:space="preserve"> ser consultada</w:t>
      </w:r>
      <w:r w:rsidR="00495975">
        <w:rPr>
          <w:rFonts w:ascii="Verdana" w:hAnsi="Verdana"/>
          <w:bCs/>
          <w:sz w:val="22"/>
          <w:szCs w:val="22"/>
        </w:rPr>
        <w:t>s</w:t>
      </w:r>
      <w:r>
        <w:rPr>
          <w:rFonts w:ascii="Verdana" w:hAnsi="Verdana"/>
          <w:bCs/>
          <w:sz w:val="22"/>
          <w:szCs w:val="22"/>
        </w:rPr>
        <w:t xml:space="preserve"> en la página web del Consejo.</w:t>
      </w:r>
    </w:p>
    <w:p w14:paraId="6F9B180C" w14:textId="02C02CE5" w:rsidR="003639CF" w:rsidRPr="001C4A97" w:rsidRDefault="003639CF" w:rsidP="001C4A97">
      <w:pPr>
        <w:jc w:val="both"/>
        <w:rPr>
          <w:rFonts w:ascii="Verdana" w:hAnsi="Verdana"/>
          <w:bCs/>
          <w:sz w:val="22"/>
          <w:szCs w:val="22"/>
        </w:rPr>
      </w:pPr>
    </w:p>
    <w:p w14:paraId="563ADF61" w14:textId="77777777" w:rsidR="00F653A0" w:rsidRPr="001C4A97" w:rsidRDefault="00F653A0" w:rsidP="001C4A97">
      <w:pPr>
        <w:rPr>
          <w:rFonts w:ascii="Verdana" w:hAnsi="Verdana"/>
          <w:bCs/>
          <w:sz w:val="22"/>
          <w:szCs w:val="22"/>
        </w:rPr>
      </w:pPr>
    </w:p>
    <w:p w14:paraId="3DE77F52" w14:textId="69C4D322" w:rsidR="00313043" w:rsidRPr="001C50E6" w:rsidRDefault="001C50E6" w:rsidP="001C50E6">
      <w:pPr>
        <w:ind w:left="360"/>
        <w:jc w:val="both"/>
        <w:rPr>
          <w:rFonts w:ascii="Verdana" w:hAnsi="Verdana"/>
          <w:bCs/>
          <w:sz w:val="22"/>
          <w:szCs w:val="22"/>
        </w:rPr>
      </w:pPr>
      <w:r>
        <w:rPr>
          <w:rFonts w:ascii="Verdana" w:hAnsi="Verdana"/>
          <w:bCs/>
          <w:sz w:val="22"/>
          <w:szCs w:val="22"/>
        </w:rPr>
        <w:t>12.</w:t>
      </w:r>
      <w:r w:rsidR="00790928" w:rsidRPr="001C50E6">
        <w:rPr>
          <w:rFonts w:ascii="Verdana" w:hAnsi="Verdana"/>
          <w:bCs/>
          <w:sz w:val="22"/>
          <w:szCs w:val="22"/>
        </w:rPr>
        <w:t xml:space="preserve">Teniendo en cuenta el taller virtual del CND sobre la Resolución CREG 098 de 2019 y el contenido </w:t>
      </w:r>
      <w:r w:rsidR="00313043" w:rsidRPr="001C50E6">
        <w:rPr>
          <w:rFonts w:ascii="Verdana" w:hAnsi="Verdana"/>
          <w:bCs/>
          <w:sz w:val="22"/>
          <w:szCs w:val="22"/>
        </w:rPr>
        <w:t xml:space="preserve">del </w:t>
      </w:r>
      <w:r w:rsidR="00790928" w:rsidRPr="001C50E6">
        <w:rPr>
          <w:rFonts w:ascii="Verdana" w:hAnsi="Verdana"/>
          <w:bCs/>
          <w:sz w:val="22"/>
          <w:szCs w:val="22"/>
        </w:rPr>
        <w:t>documento “</w:t>
      </w:r>
      <w:r w:rsidR="00790928" w:rsidRPr="001C50E6">
        <w:rPr>
          <w:rFonts w:ascii="Verdana" w:hAnsi="Verdana"/>
          <w:bCs/>
          <w:i/>
          <w:iCs/>
          <w:sz w:val="22"/>
          <w:szCs w:val="22"/>
        </w:rPr>
        <w:t>Procedimiento para la determinación de los procesos de carga y descarga de los sistemas de almacenamiento de energía eléctrica con baterías</w:t>
      </w:r>
      <w:r w:rsidR="00790928" w:rsidRPr="001C50E6">
        <w:rPr>
          <w:rFonts w:ascii="Verdana" w:hAnsi="Verdana"/>
          <w:bCs/>
          <w:sz w:val="22"/>
          <w:szCs w:val="22"/>
        </w:rPr>
        <w:t xml:space="preserve">”, que plantea una modificación a la función objetivo del despacho económico considerando el almacenamiento electroquímico, sugerimos al Consejo </w:t>
      </w:r>
      <w:r w:rsidR="00313043" w:rsidRPr="001C50E6">
        <w:rPr>
          <w:rFonts w:ascii="Verdana" w:hAnsi="Verdana"/>
          <w:bCs/>
          <w:sz w:val="22"/>
          <w:szCs w:val="22"/>
        </w:rPr>
        <w:t>revisar para observaciones</w:t>
      </w:r>
      <w:r w:rsidR="00790928" w:rsidRPr="001C50E6">
        <w:rPr>
          <w:rFonts w:ascii="Verdana" w:hAnsi="Verdana"/>
          <w:bCs/>
          <w:sz w:val="22"/>
          <w:szCs w:val="22"/>
        </w:rPr>
        <w:t xml:space="preserve"> dicho documento en los</w:t>
      </w:r>
      <w:r w:rsidR="00313043" w:rsidRPr="001C50E6">
        <w:rPr>
          <w:rFonts w:ascii="Verdana" w:hAnsi="Verdana"/>
          <w:bCs/>
          <w:sz w:val="22"/>
          <w:szCs w:val="22"/>
        </w:rPr>
        <w:t xml:space="preserve"> Subcomités de Plantas y Planeamiento Operativo</w:t>
      </w:r>
      <w:r w:rsidR="00790928" w:rsidRPr="001C50E6">
        <w:rPr>
          <w:rFonts w:ascii="Verdana" w:hAnsi="Verdana"/>
          <w:bCs/>
          <w:sz w:val="22"/>
          <w:szCs w:val="22"/>
        </w:rPr>
        <w:t xml:space="preserve">. </w:t>
      </w:r>
    </w:p>
    <w:p w14:paraId="7409B421" w14:textId="77777777" w:rsidR="00313043" w:rsidRDefault="00313043" w:rsidP="001C50E6">
      <w:pPr>
        <w:pStyle w:val="Prrafodelista"/>
        <w:ind w:left="360"/>
        <w:jc w:val="both"/>
        <w:rPr>
          <w:rFonts w:ascii="Verdana" w:hAnsi="Verdana"/>
          <w:bCs/>
          <w:sz w:val="22"/>
          <w:szCs w:val="22"/>
        </w:rPr>
      </w:pPr>
    </w:p>
    <w:p w14:paraId="68F19DB4" w14:textId="3E667ABC" w:rsidR="00790928" w:rsidRDefault="00313043" w:rsidP="001C50E6">
      <w:pPr>
        <w:pStyle w:val="Prrafodelista"/>
        <w:ind w:left="360"/>
        <w:jc w:val="both"/>
        <w:rPr>
          <w:rFonts w:ascii="Verdana" w:hAnsi="Verdana"/>
          <w:bCs/>
          <w:sz w:val="22"/>
          <w:szCs w:val="22"/>
        </w:rPr>
      </w:pPr>
      <w:r>
        <w:rPr>
          <w:rFonts w:ascii="Verdana" w:hAnsi="Verdana"/>
          <w:bCs/>
          <w:sz w:val="22"/>
          <w:szCs w:val="22"/>
        </w:rPr>
        <w:t>Adicionalmente, analizar en dichos subcomités los resultados de los documentos asociados a la Circular CREG 122 de 2019, sobre el “</w:t>
      </w:r>
      <w:r w:rsidRPr="001C4A97">
        <w:rPr>
          <w:rFonts w:ascii="Verdana" w:hAnsi="Verdana"/>
          <w:bCs/>
          <w:i/>
          <w:iCs/>
          <w:sz w:val="22"/>
          <w:szCs w:val="22"/>
        </w:rPr>
        <w:t>Estudio de integración y simulación de las reglas operativas de despacho y de liquidación propuestas en los estudios de despacho vinculante y mercado intradiario, publicado en la circular CREG 005 de 2019, y el estudio de servicios complementarios, publicado en la circular CREG 008 de 2019</w:t>
      </w:r>
      <w:r>
        <w:rPr>
          <w:rFonts w:ascii="Verdana" w:hAnsi="Verdana"/>
          <w:bCs/>
          <w:sz w:val="22"/>
          <w:szCs w:val="22"/>
        </w:rPr>
        <w:t xml:space="preserve">”. </w:t>
      </w:r>
      <w:r w:rsidR="00790928" w:rsidRPr="00790928">
        <w:rPr>
          <w:rFonts w:ascii="Verdana" w:hAnsi="Verdana"/>
          <w:bCs/>
          <w:sz w:val="22"/>
          <w:szCs w:val="22"/>
        </w:rPr>
        <w:t xml:space="preserve">  </w:t>
      </w:r>
    </w:p>
    <w:p w14:paraId="0F135FE4" w14:textId="77777777" w:rsidR="00F3476A" w:rsidRPr="001C4A97" w:rsidRDefault="00F3476A" w:rsidP="001C4A97">
      <w:pPr>
        <w:pStyle w:val="Prrafodelista"/>
        <w:rPr>
          <w:rFonts w:ascii="Verdana" w:hAnsi="Verdana"/>
          <w:bCs/>
          <w:sz w:val="22"/>
          <w:szCs w:val="22"/>
        </w:rPr>
      </w:pPr>
    </w:p>
    <w:p w14:paraId="54D8AB33" w14:textId="163804FB" w:rsidR="000C5A39" w:rsidRPr="001C4A97" w:rsidRDefault="001C50E6" w:rsidP="00A546EF">
      <w:pPr>
        <w:ind w:left="360"/>
        <w:jc w:val="both"/>
        <w:rPr>
          <w:rFonts w:ascii="Verdana" w:hAnsi="Verdana"/>
          <w:bCs/>
          <w:sz w:val="22"/>
          <w:szCs w:val="22"/>
        </w:rPr>
      </w:pPr>
      <w:r>
        <w:rPr>
          <w:rFonts w:ascii="Verdana" w:hAnsi="Verdana"/>
          <w:bCs/>
          <w:spacing w:val="-20"/>
          <w:sz w:val="22"/>
          <w:szCs w:val="22"/>
        </w:rPr>
        <w:t>13.</w:t>
      </w:r>
      <w:r w:rsidR="000C5A39" w:rsidRPr="001C50E6">
        <w:rPr>
          <w:rFonts w:ascii="Verdana" w:hAnsi="Verdana"/>
          <w:bCs/>
          <w:spacing w:val="-20"/>
          <w:sz w:val="22"/>
          <w:szCs w:val="22"/>
        </w:rPr>
        <w:t>E</w:t>
      </w:r>
      <w:r w:rsidR="00D86AB0" w:rsidRPr="001C50E6">
        <w:rPr>
          <w:rFonts w:ascii="Verdana" w:hAnsi="Verdana"/>
          <w:bCs/>
          <w:spacing w:val="-20"/>
          <w:sz w:val="22"/>
          <w:szCs w:val="22"/>
        </w:rPr>
        <w:t xml:space="preserve">l Consejo por solicitud de EPM envió el 23 de diciembre a la CREG el concepto </w:t>
      </w:r>
      <w:r w:rsidR="00D86AB0" w:rsidRPr="001C50E6">
        <w:rPr>
          <w:rFonts w:ascii="Verdana" w:hAnsi="Verdana"/>
          <w:bCs/>
          <w:sz w:val="22"/>
          <w:szCs w:val="22"/>
        </w:rPr>
        <w:t xml:space="preserve">sobre la evaluación de las implicaciones operativas para el Sistema si el parque Eólico Jepírachi continúa en servicio hasta el 31 de diciembre de 2023. La CREG dio respuesta al concepto del CNO el 30 de diciembre de 2019, en la que informa que el tema de la planta Jepírachi fue tratado en la sesión </w:t>
      </w:r>
      <w:r w:rsidR="00ED124F" w:rsidRPr="001C50E6">
        <w:rPr>
          <w:rFonts w:ascii="Verdana" w:hAnsi="Verdana"/>
          <w:bCs/>
          <w:sz w:val="22"/>
          <w:szCs w:val="22"/>
        </w:rPr>
        <w:t xml:space="preserve">968 del 19 de diciembre de 2019, en el que se determinó no modificar lo establecido en la Resolución CREG 060 de 2019. </w:t>
      </w:r>
      <w:bookmarkStart w:id="0" w:name="_GoBack"/>
      <w:bookmarkEnd w:id="0"/>
      <w:r w:rsidR="000C5A39">
        <w:rPr>
          <w:rFonts w:ascii="Verdana" w:hAnsi="Verdana"/>
          <w:bCs/>
          <w:sz w:val="22"/>
          <w:szCs w:val="22"/>
        </w:rPr>
        <w:t xml:space="preserve">El concepto del Consejo </w:t>
      </w:r>
      <w:r w:rsidR="00ED124F">
        <w:rPr>
          <w:rFonts w:ascii="Verdana" w:hAnsi="Verdana"/>
          <w:bCs/>
          <w:sz w:val="22"/>
          <w:szCs w:val="22"/>
        </w:rPr>
        <w:t xml:space="preserve">y la respuesta de la CREG </w:t>
      </w:r>
      <w:r w:rsidR="000C5A39">
        <w:rPr>
          <w:rFonts w:ascii="Verdana" w:hAnsi="Verdana"/>
          <w:bCs/>
          <w:sz w:val="22"/>
          <w:szCs w:val="22"/>
        </w:rPr>
        <w:t>se encuentra</w:t>
      </w:r>
      <w:r w:rsidR="00ED124F">
        <w:rPr>
          <w:rFonts w:ascii="Verdana" w:hAnsi="Verdana"/>
          <w:bCs/>
          <w:sz w:val="22"/>
          <w:szCs w:val="22"/>
        </w:rPr>
        <w:t>n</w:t>
      </w:r>
      <w:r w:rsidR="000C5A39">
        <w:rPr>
          <w:rFonts w:ascii="Verdana" w:hAnsi="Verdana"/>
          <w:bCs/>
          <w:sz w:val="22"/>
          <w:szCs w:val="22"/>
        </w:rPr>
        <w:t xml:space="preserve"> en la página web del CNO.</w:t>
      </w:r>
    </w:p>
    <w:p w14:paraId="7C5A981B" w14:textId="77777777" w:rsidR="000C5A39" w:rsidRDefault="000C5A39" w:rsidP="001C50E6">
      <w:pPr>
        <w:pStyle w:val="Prrafodelista"/>
        <w:ind w:left="360"/>
        <w:jc w:val="both"/>
        <w:rPr>
          <w:rFonts w:ascii="Verdana" w:hAnsi="Verdana"/>
          <w:bCs/>
          <w:sz w:val="22"/>
          <w:szCs w:val="22"/>
        </w:rPr>
      </w:pPr>
    </w:p>
    <w:p w14:paraId="3F0C019D" w14:textId="77777777" w:rsidR="00DF5B06" w:rsidRPr="001C4A97" w:rsidRDefault="00DF5B06" w:rsidP="001C50E6">
      <w:pPr>
        <w:pStyle w:val="Prrafodelista"/>
        <w:rPr>
          <w:rFonts w:ascii="Verdana" w:hAnsi="Verdana"/>
          <w:bCs/>
          <w:sz w:val="22"/>
          <w:szCs w:val="22"/>
        </w:rPr>
      </w:pPr>
    </w:p>
    <w:p w14:paraId="78ADCFDB" w14:textId="7CDD59F5" w:rsidR="00DF5B06" w:rsidRPr="001C50E6" w:rsidRDefault="001C50E6" w:rsidP="001C50E6">
      <w:pPr>
        <w:ind w:left="360"/>
        <w:jc w:val="both"/>
        <w:rPr>
          <w:rFonts w:ascii="Verdana" w:hAnsi="Verdana"/>
          <w:bCs/>
          <w:sz w:val="22"/>
          <w:szCs w:val="22"/>
        </w:rPr>
      </w:pPr>
      <w:r>
        <w:rPr>
          <w:rFonts w:ascii="Verdana" w:hAnsi="Verdana"/>
          <w:bCs/>
          <w:sz w:val="22"/>
          <w:szCs w:val="22"/>
        </w:rPr>
        <w:t>14.</w:t>
      </w:r>
      <w:r w:rsidR="000C5A39" w:rsidRPr="001C50E6">
        <w:rPr>
          <w:rFonts w:ascii="Verdana" w:hAnsi="Verdana"/>
          <w:bCs/>
          <w:sz w:val="22"/>
          <w:szCs w:val="22"/>
        </w:rPr>
        <w:t>Teniendo en cuenta los errores identificados previamente por el Subcomité de Recursos Energéticos Renovables-SURER en la Resolución CREG 201 de 2017</w:t>
      </w:r>
      <w:r w:rsidR="00D928DB" w:rsidRPr="001C50E6">
        <w:rPr>
          <w:rFonts w:ascii="Verdana" w:hAnsi="Verdana"/>
          <w:bCs/>
          <w:sz w:val="22"/>
          <w:szCs w:val="22"/>
        </w:rPr>
        <w:t xml:space="preserve"> sobre el cálculo de la ENFICC solar fotovoltaica</w:t>
      </w:r>
      <w:r w:rsidR="000C5A39" w:rsidRPr="001C50E6">
        <w:rPr>
          <w:rFonts w:ascii="Verdana" w:hAnsi="Verdana"/>
          <w:bCs/>
          <w:sz w:val="22"/>
          <w:szCs w:val="22"/>
        </w:rPr>
        <w:t>, por solicitud de MINENERGÍA</w:t>
      </w:r>
      <w:r w:rsidR="00D928DB" w:rsidRPr="001C50E6">
        <w:rPr>
          <w:rFonts w:ascii="Verdana" w:hAnsi="Verdana"/>
          <w:bCs/>
          <w:sz w:val="22"/>
          <w:szCs w:val="22"/>
        </w:rPr>
        <w:t>,</w:t>
      </w:r>
      <w:r w:rsidR="000C5A39" w:rsidRPr="001C50E6">
        <w:rPr>
          <w:rFonts w:ascii="Verdana" w:hAnsi="Verdana"/>
          <w:bCs/>
          <w:sz w:val="22"/>
          <w:szCs w:val="22"/>
        </w:rPr>
        <w:t xml:space="preserve"> se envió comunicación </w:t>
      </w:r>
      <w:r w:rsidR="00D928DB" w:rsidRPr="001C50E6">
        <w:rPr>
          <w:rFonts w:ascii="Verdana" w:hAnsi="Verdana"/>
          <w:bCs/>
          <w:sz w:val="22"/>
          <w:szCs w:val="22"/>
        </w:rPr>
        <w:t xml:space="preserve">recomendando </w:t>
      </w:r>
      <w:r w:rsidR="000C5A39" w:rsidRPr="001C50E6">
        <w:rPr>
          <w:rFonts w:ascii="Verdana" w:hAnsi="Verdana"/>
          <w:bCs/>
          <w:sz w:val="22"/>
          <w:szCs w:val="22"/>
        </w:rPr>
        <w:t xml:space="preserve">nuevamente a la CREG y al mismo Ministerio de Minas y Energía, estudiar la posibilidad de migrar </w:t>
      </w:r>
      <w:r w:rsidR="00D928DB" w:rsidRPr="001C50E6">
        <w:rPr>
          <w:rFonts w:ascii="Verdana" w:hAnsi="Verdana"/>
          <w:bCs/>
          <w:sz w:val="22"/>
          <w:szCs w:val="22"/>
        </w:rPr>
        <w:t>a un</w:t>
      </w:r>
      <w:r w:rsidR="000C5A39" w:rsidRPr="001C50E6">
        <w:rPr>
          <w:rFonts w:ascii="Verdana" w:hAnsi="Verdana"/>
          <w:bCs/>
          <w:sz w:val="22"/>
          <w:szCs w:val="22"/>
        </w:rPr>
        <w:t xml:space="preserve"> enfoque de modelación para el cálculo de la Energía en Firme de las plantas solares fotovoltaicas, con</w:t>
      </w:r>
      <w:r w:rsidR="00D928DB" w:rsidRPr="001C50E6">
        <w:rPr>
          <w:rFonts w:ascii="Verdana" w:hAnsi="Verdana"/>
          <w:bCs/>
          <w:sz w:val="22"/>
          <w:szCs w:val="22"/>
        </w:rPr>
        <w:t>templando también</w:t>
      </w:r>
      <w:r w:rsidR="000C5A39" w:rsidRPr="001C50E6">
        <w:rPr>
          <w:rFonts w:ascii="Verdana" w:hAnsi="Verdana"/>
          <w:bCs/>
          <w:sz w:val="22"/>
          <w:szCs w:val="22"/>
        </w:rPr>
        <w:t xml:space="preserve"> el desarrollo de un modelo que se viene </w:t>
      </w:r>
      <w:r w:rsidR="000C5A39" w:rsidRPr="001C50E6">
        <w:rPr>
          <w:rFonts w:ascii="Verdana" w:hAnsi="Verdana"/>
          <w:bCs/>
          <w:sz w:val="22"/>
          <w:szCs w:val="22"/>
        </w:rPr>
        <w:lastRenderedPageBreak/>
        <w:t>construyendo junto con la Universidad de los Andes.</w:t>
      </w:r>
      <w:r w:rsidR="00D928DB" w:rsidRPr="001C50E6">
        <w:rPr>
          <w:rFonts w:ascii="Verdana" w:hAnsi="Verdana"/>
          <w:bCs/>
          <w:sz w:val="22"/>
          <w:szCs w:val="22"/>
        </w:rPr>
        <w:t xml:space="preserve"> La comunicación puede ser consultada en la página web del CNO.</w:t>
      </w:r>
    </w:p>
    <w:p w14:paraId="4A2C77DC" w14:textId="77777777" w:rsidR="00D928DB" w:rsidRPr="001C4A97" w:rsidRDefault="00D928DB" w:rsidP="001C4A97">
      <w:pPr>
        <w:pStyle w:val="Prrafodelista"/>
        <w:rPr>
          <w:rFonts w:ascii="Verdana" w:hAnsi="Verdana"/>
          <w:bCs/>
          <w:sz w:val="22"/>
          <w:szCs w:val="22"/>
        </w:rPr>
      </w:pPr>
    </w:p>
    <w:p w14:paraId="472DF375" w14:textId="798661B0" w:rsidR="00F57913" w:rsidRPr="001C50E6" w:rsidRDefault="001C50E6" w:rsidP="001C50E6">
      <w:pPr>
        <w:ind w:left="360"/>
        <w:jc w:val="both"/>
        <w:rPr>
          <w:rFonts w:ascii="Verdana" w:hAnsi="Verdana"/>
          <w:bCs/>
          <w:sz w:val="22"/>
          <w:szCs w:val="22"/>
        </w:rPr>
      </w:pPr>
      <w:r>
        <w:rPr>
          <w:rFonts w:ascii="Verdana" w:hAnsi="Verdana"/>
          <w:bCs/>
          <w:sz w:val="22"/>
          <w:szCs w:val="22"/>
        </w:rPr>
        <w:t>15.</w:t>
      </w:r>
      <w:r w:rsidR="00C5692A" w:rsidRPr="001C50E6">
        <w:rPr>
          <w:rFonts w:ascii="Verdana" w:hAnsi="Verdana"/>
          <w:bCs/>
          <w:sz w:val="22"/>
          <w:szCs w:val="22"/>
        </w:rPr>
        <w:t>Considerando los resultados de la pasada subasta de reconfiguración de compra</w:t>
      </w:r>
      <w:r w:rsidR="00F57913" w:rsidRPr="001C50E6">
        <w:rPr>
          <w:rFonts w:ascii="Verdana" w:hAnsi="Verdana"/>
          <w:bCs/>
          <w:sz w:val="22"/>
          <w:szCs w:val="22"/>
        </w:rPr>
        <w:t xml:space="preserve"> de energía en firme</w:t>
      </w:r>
      <w:r w:rsidR="00C5692A" w:rsidRPr="001C50E6">
        <w:rPr>
          <w:rFonts w:ascii="Verdana" w:hAnsi="Verdana"/>
          <w:bCs/>
          <w:sz w:val="22"/>
          <w:szCs w:val="22"/>
        </w:rPr>
        <w:t xml:space="preserve"> y la nueva fecha reportada para la entrada en servicio de Ituango, sugerimos al CND actualizar el ejercicio</w:t>
      </w:r>
      <w:r w:rsidR="00F57913" w:rsidRPr="001C50E6">
        <w:rPr>
          <w:rFonts w:ascii="Verdana" w:hAnsi="Verdana"/>
          <w:bCs/>
          <w:sz w:val="22"/>
          <w:szCs w:val="22"/>
        </w:rPr>
        <w:t xml:space="preserve"> de balance</w:t>
      </w:r>
      <w:r w:rsidR="00C5692A" w:rsidRPr="001C50E6">
        <w:rPr>
          <w:rFonts w:ascii="Verdana" w:hAnsi="Verdana"/>
          <w:bCs/>
          <w:sz w:val="22"/>
          <w:szCs w:val="22"/>
        </w:rPr>
        <w:t xml:space="preserve"> ENFICC </w:t>
      </w:r>
      <w:r w:rsidR="00F57913" w:rsidRPr="001C50E6">
        <w:rPr>
          <w:rFonts w:ascii="Verdana" w:hAnsi="Verdana"/>
          <w:bCs/>
          <w:sz w:val="22"/>
          <w:szCs w:val="22"/>
        </w:rPr>
        <w:t xml:space="preserve">vs </w:t>
      </w:r>
      <w:r w:rsidR="00C5692A" w:rsidRPr="001C50E6">
        <w:rPr>
          <w:rFonts w:ascii="Verdana" w:hAnsi="Verdana"/>
          <w:bCs/>
          <w:sz w:val="22"/>
          <w:szCs w:val="22"/>
        </w:rPr>
        <w:t>demanda</w:t>
      </w:r>
      <w:r w:rsidR="00F57913" w:rsidRPr="001C50E6">
        <w:rPr>
          <w:rFonts w:ascii="Verdana" w:hAnsi="Verdana"/>
          <w:bCs/>
          <w:sz w:val="22"/>
          <w:szCs w:val="22"/>
        </w:rPr>
        <w:t xml:space="preserve">, contemplando también un escenario de </w:t>
      </w:r>
      <w:r w:rsidR="001C4A97" w:rsidRPr="001C50E6">
        <w:rPr>
          <w:rFonts w:ascii="Verdana" w:hAnsi="Verdana"/>
          <w:bCs/>
          <w:sz w:val="22"/>
          <w:szCs w:val="22"/>
        </w:rPr>
        <w:t>sensibilidades a algunos de los supuestos.</w:t>
      </w:r>
    </w:p>
    <w:p w14:paraId="53A34721" w14:textId="77777777" w:rsidR="001C4A97" w:rsidRPr="001C4A97" w:rsidRDefault="001C4A97" w:rsidP="001C4A97">
      <w:pPr>
        <w:jc w:val="both"/>
        <w:rPr>
          <w:rFonts w:ascii="Verdana" w:hAnsi="Verdana"/>
          <w:bCs/>
          <w:sz w:val="22"/>
          <w:szCs w:val="22"/>
        </w:rPr>
      </w:pPr>
    </w:p>
    <w:p w14:paraId="4C6B7AD9" w14:textId="77777777" w:rsidR="00C5692A" w:rsidRPr="001C4A97" w:rsidRDefault="00C5692A" w:rsidP="001C4A97">
      <w:pPr>
        <w:pStyle w:val="Prrafodelista"/>
        <w:rPr>
          <w:rFonts w:ascii="Verdana" w:hAnsi="Verdana"/>
          <w:bCs/>
          <w:sz w:val="22"/>
          <w:szCs w:val="22"/>
        </w:rPr>
      </w:pPr>
    </w:p>
    <w:p w14:paraId="744352A0" w14:textId="77777777" w:rsidR="00C5692A" w:rsidRPr="001C4A97" w:rsidRDefault="00C5692A" w:rsidP="001C4A97">
      <w:pPr>
        <w:pStyle w:val="Prrafodelista"/>
        <w:rPr>
          <w:rFonts w:ascii="Verdana" w:hAnsi="Verdana"/>
          <w:bCs/>
          <w:sz w:val="22"/>
          <w:szCs w:val="22"/>
        </w:rPr>
      </w:pPr>
    </w:p>
    <w:p w14:paraId="69120B2B" w14:textId="77777777" w:rsidR="00C5692A" w:rsidRPr="001C4A97" w:rsidRDefault="00C5692A" w:rsidP="001C4A97">
      <w:pPr>
        <w:pStyle w:val="Prrafodelista"/>
        <w:ind w:left="360"/>
        <w:jc w:val="both"/>
        <w:rPr>
          <w:rFonts w:ascii="Verdana" w:hAnsi="Verdana"/>
          <w:bCs/>
          <w:sz w:val="22"/>
          <w:szCs w:val="22"/>
        </w:rPr>
      </w:pPr>
    </w:p>
    <w:p w14:paraId="40A3FFAE" w14:textId="77777777" w:rsidR="0026220B" w:rsidRPr="00024171" w:rsidRDefault="0026220B" w:rsidP="00024171">
      <w:pPr>
        <w:pStyle w:val="Prrafodelista"/>
        <w:jc w:val="both"/>
        <w:rPr>
          <w:rFonts w:ascii="Verdana" w:hAnsi="Verdana"/>
          <w:bCs/>
          <w:sz w:val="22"/>
          <w:szCs w:val="22"/>
        </w:rPr>
      </w:pPr>
    </w:p>
    <w:p w14:paraId="0130D9DA" w14:textId="77777777" w:rsidR="00052450" w:rsidRPr="00024171" w:rsidRDefault="00052450" w:rsidP="00024171">
      <w:pPr>
        <w:pStyle w:val="Prrafodelista"/>
        <w:rPr>
          <w:rFonts w:ascii="Verdana" w:hAnsi="Verdana"/>
          <w:bCs/>
          <w:sz w:val="22"/>
          <w:szCs w:val="22"/>
        </w:rPr>
      </w:pPr>
    </w:p>
    <w:p w14:paraId="39584B77" w14:textId="77777777" w:rsidR="001B6888" w:rsidRPr="00024171" w:rsidRDefault="001B6888" w:rsidP="00024171">
      <w:pPr>
        <w:pStyle w:val="Prrafodelista"/>
        <w:rPr>
          <w:rFonts w:ascii="Verdana" w:hAnsi="Verdana"/>
          <w:bCs/>
          <w:sz w:val="22"/>
          <w:szCs w:val="22"/>
        </w:rPr>
      </w:pPr>
    </w:p>
    <w:p w14:paraId="6B9DEE73" w14:textId="77777777" w:rsidR="00052450" w:rsidRPr="00024171" w:rsidRDefault="00052450" w:rsidP="00024171">
      <w:pPr>
        <w:pStyle w:val="Prrafodelista"/>
        <w:rPr>
          <w:rFonts w:ascii="Verdana" w:hAnsi="Verdana"/>
          <w:bCs/>
          <w:sz w:val="22"/>
          <w:szCs w:val="22"/>
        </w:rPr>
      </w:pPr>
    </w:p>
    <w:p w14:paraId="14698D27" w14:textId="77777777" w:rsidR="00052450" w:rsidRPr="00024171" w:rsidRDefault="00052450" w:rsidP="00024171">
      <w:pPr>
        <w:pStyle w:val="Prrafodelista"/>
        <w:rPr>
          <w:rFonts w:ascii="Verdana" w:hAnsi="Verdana"/>
          <w:bCs/>
          <w:sz w:val="22"/>
          <w:szCs w:val="22"/>
        </w:rPr>
      </w:pPr>
    </w:p>
    <w:p w14:paraId="3EEE31DE" w14:textId="52FBECE9" w:rsidR="00E704EC" w:rsidRPr="00052450" w:rsidRDefault="00E704EC">
      <w:pPr>
        <w:jc w:val="both"/>
        <w:rPr>
          <w:rFonts w:ascii="Verdana" w:hAnsi="Verdana"/>
          <w:bCs/>
          <w:sz w:val="22"/>
          <w:szCs w:val="22"/>
        </w:rPr>
      </w:pPr>
    </w:p>
    <w:p w14:paraId="64FA72EB" w14:textId="60DADA20" w:rsidR="00E57880" w:rsidRPr="00052450" w:rsidRDefault="00B12E49" w:rsidP="001C4A97">
      <w:pPr>
        <w:tabs>
          <w:tab w:val="left" w:pos="4089"/>
        </w:tabs>
        <w:jc w:val="both"/>
        <w:rPr>
          <w:rFonts w:ascii="Verdana" w:hAnsi="Verdana"/>
          <w:bCs/>
          <w:sz w:val="22"/>
          <w:szCs w:val="22"/>
        </w:rPr>
      </w:pPr>
      <w:r>
        <w:rPr>
          <w:rFonts w:ascii="Verdana" w:hAnsi="Verdana"/>
          <w:bCs/>
          <w:sz w:val="22"/>
          <w:szCs w:val="22"/>
        </w:rPr>
        <w:tab/>
      </w:r>
    </w:p>
    <w:p w14:paraId="5EE969BB" w14:textId="4AC8790D" w:rsidR="00E57880" w:rsidRPr="00024171" w:rsidRDefault="00E57880" w:rsidP="00024171">
      <w:pPr>
        <w:jc w:val="center"/>
        <w:rPr>
          <w:rFonts w:ascii="Verdana" w:hAnsi="Verdana"/>
          <w:bCs/>
          <w:sz w:val="22"/>
          <w:szCs w:val="22"/>
        </w:rPr>
      </w:pPr>
    </w:p>
    <w:p w14:paraId="5F6EB50E" w14:textId="77777777" w:rsidR="009B29ED" w:rsidRPr="009B29ED" w:rsidRDefault="009B29ED" w:rsidP="00024171">
      <w:pPr>
        <w:pStyle w:val="Prrafodelista"/>
        <w:jc w:val="both"/>
        <w:rPr>
          <w:rFonts w:ascii="Verdana" w:hAnsi="Verdana"/>
          <w:bCs/>
          <w:sz w:val="22"/>
          <w:szCs w:val="22"/>
        </w:rPr>
      </w:pPr>
    </w:p>
    <w:p w14:paraId="0685B97F" w14:textId="28CF4DE6" w:rsidR="00223CA5" w:rsidRPr="009B29ED" w:rsidRDefault="00223CA5">
      <w:pPr>
        <w:jc w:val="both"/>
      </w:pPr>
    </w:p>
    <w:p w14:paraId="75D4FEC0" w14:textId="77777777" w:rsidR="009B29ED" w:rsidRDefault="009B29ED" w:rsidP="00024171">
      <w:pPr>
        <w:pStyle w:val="Prrafodelista"/>
        <w:jc w:val="both"/>
      </w:pPr>
    </w:p>
    <w:p w14:paraId="01C175E8" w14:textId="77777777" w:rsidR="009B29ED" w:rsidRPr="00286A3A" w:rsidRDefault="009B29ED">
      <w:pPr>
        <w:jc w:val="both"/>
      </w:pPr>
    </w:p>
    <w:p w14:paraId="0DE2DBF0" w14:textId="77777777" w:rsidR="00FE3017" w:rsidRDefault="00FE3017">
      <w:pPr>
        <w:pStyle w:val="Prrafodelista"/>
        <w:ind w:left="360"/>
        <w:jc w:val="both"/>
        <w:rPr>
          <w:rFonts w:ascii="Verdana" w:hAnsi="Verdana"/>
          <w:bCs/>
          <w:sz w:val="22"/>
          <w:szCs w:val="22"/>
        </w:rPr>
      </w:pPr>
    </w:p>
    <w:p w14:paraId="3C972572" w14:textId="77777777" w:rsidR="00FE3017" w:rsidRPr="00FE3017" w:rsidRDefault="00FE3017" w:rsidP="00024171">
      <w:pPr>
        <w:pStyle w:val="Prrafodelista"/>
        <w:jc w:val="both"/>
        <w:rPr>
          <w:rFonts w:ascii="Verdana" w:hAnsi="Verdana"/>
          <w:bCs/>
          <w:sz w:val="22"/>
          <w:szCs w:val="22"/>
        </w:rPr>
      </w:pPr>
    </w:p>
    <w:p w14:paraId="5136C101" w14:textId="77777777" w:rsidR="00FE3017" w:rsidRPr="00424C05" w:rsidRDefault="00FE3017">
      <w:pPr>
        <w:pStyle w:val="Prrafodelista"/>
        <w:ind w:left="360"/>
        <w:jc w:val="both"/>
        <w:rPr>
          <w:rFonts w:ascii="Verdana" w:hAnsi="Verdana"/>
          <w:bCs/>
          <w:sz w:val="22"/>
          <w:szCs w:val="22"/>
        </w:rPr>
      </w:pPr>
    </w:p>
    <w:sectPr w:rsidR="00FE3017" w:rsidRPr="00424C05">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72DFE" w14:textId="77777777" w:rsidR="008C2BE0" w:rsidRDefault="008C2BE0">
      <w:r>
        <w:separator/>
      </w:r>
    </w:p>
  </w:endnote>
  <w:endnote w:type="continuationSeparator" w:id="0">
    <w:p w14:paraId="54CDE2AF" w14:textId="77777777" w:rsidR="008C2BE0" w:rsidRDefault="008C2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6705" w14:textId="3E12927B" w:rsidR="000D0FE5" w:rsidRPr="005F56D1" w:rsidRDefault="005F56D1">
    <w:pPr>
      <w:pBdr>
        <w:top w:val="nil"/>
        <w:left w:val="nil"/>
        <w:bottom w:val="nil"/>
        <w:right w:val="nil"/>
        <w:between w:val="nil"/>
      </w:pBdr>
      <w:tabs>
        <w:tab w:val="center" w:pos="4252"/>
        <w:tab w:val="right" w:pos="8504"/>
      </w:tabs>
      <w:rPr>
        <w:rFonts w:ascii="Verdana" w:eastAsia="Verdana" w:hAnsi="Verdana" w:cs="Verdana"/>
        <w:i/>
        <w:iCs/>
        <w:color w:val="000000"/>
        <w:sz w:val="16"/>
        <w:szCs w:val="16"/>
      </w:rPr>
    </w:pPr>
    <w:r w:rsidRPr="005F56D1">
      <w:rPr>
        <w:rFonts w:ascii="Verdana" w:eastAsia="Verdana" w:hAnsi="Verdana" w:cs="Verdana"/>
        <w:i/>
        <w:iCs/>
        <w:color w:val="000000"/>
        <w:sz w:val="16"/>
        <w:szCs w:val="16"/>
      </w:rPr>
      <w:t>I</w:t>
    </w:r>
    <w:r w:rsidR="00506CC8">
      <w:rPr>
        <w:rFonts w:ascii="Verdana" w:eastAsia="Verdana" w:hAnsi="Verdana" w:cs="Verdana"/>
        <w:i/>
        <w:iCs/>
        <w:color w:val="000000"/>
        <w:sz w:val="16"/>
        <w:szCs w:val="16"/>
      </w:rPr>
      <w:t xml:space="preserve">nforme </w:t>
    </w:r>
    <w:r w:rsidRPr="005F56D1">
      <w:rPr>
        <w:rFonts w:ascii="Verdana" w:eastAsia="Verdana" w:hAnsi="Verdana" w:cs="Verdana"/>
        <w:i/>
        <w:iCs/>
        <w:color w:val="000000"/>
        <w:sz w:val="16"/>
        <w:szCs w:val="16"/>
      </w:rPr>
      <w:t>CNO 583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62527" w14:textId="77777777" w:rsidR="008C2BE0" w:rsidRDefault="008C2BE0">
      <w:r>
        <w:separator/>
      </w:r>
    </w:p>
  </w:footnote>
  <w:footnote w:type="continuationSeparator" w:id="0">
    <w:p w14:paraId="4F8EDEC4" w14:textId="77777777" w:rsidR="008C2BE0" w:rsidRDefault="008C2BE0">
      <w:r>
        <w:continuationSeparator/>
      </w:r>
    </w:p>
  </w:footnote>
  <w:footnote w:id="1">
    <w:p w14:paraId="160838A8" w14:textId="77777777" w:rsidR="00ED124F" w:rsidRPr="001C4A97" w:rsidRDefault="00ED124F" w:rsidP="00ED124F">
      <w:pPr>
        <w:pStyle w:val="Prrafodelista"/>
        <w:numPr>
          <w:ilvl w:val="0"/>
          <w:numId w:val="17"/>
        </w:numPr>
        <w:jc w:val="both"/>
        <w:rPr>
          <w:rFonts w:ascii="Verdana" w:hAnsi="Verdana"/>
          <w:bCs/>
          <w:sz w:val="16"/>
          <w:szCs w:val="16"/>
        </w:rPr>
      </w:pPr>
      <w:r w:rsidRPr="001C4A97">
        <w:rPr>
          <w:rStyle w:val="Refdenotaalpie"/>
          <w:sz w:val="16"/>
          <w:szCs w:val="16"/>
        </w:rPr>
        <w:footnoteRef/>
      </w:r>
      <w:r w:rsidRPr="001C4A97">
        <w:rPr>
          <w:sz w:val="16"/>
          <w:szCs w:val="16"/>
        </w:rPr>
        <w:t xml:space="preserve"> </w:t>
      </w:r>
      <w:r w:rsidRPr="001C4A97">
        <w:rPr>
          <w:rFonts w:ascii="Verdana" w:hAnsi="Verdana"/>
          <w:bCs/>
          <w:sz w:val="16"/>
          <w:szCs w:val="16"/>
        </w:rPr>
        <w:t>Las obras propuestas son:</w:t>
      </w:r>
    </w:p>
    <w:p w14:paraId="5472391B" w14:textId="77777777" w:rsidR="00ED124F" w:rsidRPr="001C4A97" w:rsidRDefault="00ED124F" w:rsidP="00ED124F">
      <w:pPr>
        <w:pStyle w:val="Prrafodelista"/>
        <w:rPr>
          <w:rFonts w:ascii="Verdana" w:hAnsi="Verdana"/>
          <w:bCs/>
          <w:sz w:val="16"/>
          <w:szCs w:val="16"/>
        </w:rPr>
      </w:pPr>
    </w:p>
    <w:p w14:paraId="3D05A3DD" w14:textId="77777777" w:rsidR="00ED124F" w:rsidRPr="001C4A97" w:rsidRDefault="00ED124F" w:rsidP="00ED124F">
      <w:pPr>
        <w:pStyle w:val="Prrafodelista"/>
        <w:numPr>
          <w:ilvl w:val="0"/>
          <w:numId w:val="32"/>
        </w:numPr>
        <w:jc w:val="both"/>
        <w:rPr>
          <w:rFonts w:ascii="Verdana" w:hAnsi="Verdana"/>
          <w:bCs/>
          <w:sz w:val="16"/>
          <w:szCs w:val="16"/>
        </w:rPr>
      </w:pPr>
      <w:r w:rsidRPr="001C4A97">
        <w:rPr>
          <w:rFonts w:ascii="Verdana" w:hAnsi="Verdana"/>
          <w:bCs/>
          <w:sz w:val="16"/>
          <w:szCs w:val="16"/>
        </w:rPr>
        <w:t>Planta de Almacenamiento (170.000 m</w:t>
      </w:r>
      <w:r w:rsidRPr="001C4A97">
        <w:rPr>
          <w:rFonts w:ascii="Verdana" w:hAnsi="Verdana"/>
          <w:bCs/>
          <w:sz w:val="16"/>
          <w:szCs w:val="16"/>
          <w:vertAlign w:val="superscript"/>
        </w:rPr>
        <w:t>3</w:t>
      </w:r>
      <w:r w:rsidRPr="001C4A97">
        <w:rPr>
          <w:rFonts w:ascii="Verdana" w:hAnsi="Verdana"/>
          <w:bCs/>
          <w:sz w:val="16"/>
          <w:szCs w:val="16"/>
        </w:rPr>
        <w:t>) y Regasificación (400 MPCD) en la Bahía de Buenaventura. Fecha de entrada en Operación FPO: septiembre 2023.</w:t>
      </w:r>
    </w:p>
    <w:p w14:paraId="1C6C3412" w14:textId="77777777" w:rsidR="00ED124F" w:rsidRPr="001C4A97" w:rsidRDefault="00ED124F" w:rsidP="00ED124F">
      <w:pPr>
        <w:pStyle w:val="Prrafodelista"/>
        <w:ind w:left="720"/>
        <w:jc w:val="both"/>
        <w:rPr>
          <w:rFonts w:ascii="Verdana" w:hAnsi="Verdana"/>
          <w:bCs/>
          <w:sz w:val="16"/>
          <w:szCs w:val="16"/>
        </w:rPr>
      </w:pPr>
    </w:p>
    <w:p w14:paraId="7E1667C2" w14:textId="77777777" w:rsidR="00ED124F" w:rsidRPr="001C4A97" w:rsidRDefault="00ED124F" w:rsidP="00ED124F">
      <w:pPr>
        <w:pStyle w:val="Prrafodelista"/>
        <w:numPr>
          <w:ilvl w:val="0"/>
          <w:numId w:val="32"/>
        </w:numPr>
        <w:jc w:val="both"/>
        <w:rPr>
          <w:rFonts w:ascii="Verdana" w:hAnsi="Verdana"/>
          <w:bCs/>
          <w:sz w:val="16"/>
          <w:szCs w:val="16"/>
        </w:rPr>
      </w:pPr>
      <w:r w:rsidRPr="001C4A97">
        <w:rPr>
          <w:rFonts w:ascii="Verdana" w:hAnsi="Verdana"/>
          <w:bCs/>
          <w:sz w:val="16"/>
          <w:szCs w:val="16"/>
        </w:rPr>
        <w:t>Gasoducto Buenaventura/Yumbo con una capacidad de transporte de 400 MPCD. FPO: enero 2024.</w:t>
      </w:r>
    </w:p>
    <w:p w14:paraId="3C9779C8" w14:textId="77777777" w:rsidR="00ED124F" w:rsidRPr="001C4A97" w:rsidRDefault="00ED124F" w:rsidP="00ED124F">
      <w:pPr>
        <w:pStyle w:val="Prrafodelista"/>
        <w:ind w:left="720"/>
        <w:jc w:val="both"/>
        <w:rPr>
          <w:rFonts w:ascii="Verdana" w:hAnsi="Verdana"/>
          <w:bCs/>
          <w:sz w:val="16"/>
          <w:szCs w:val="16"/>
        </w:rPr>
      </w:pPr>
    </w:p>
    <w:p w14:paraId="1A27D4AF" w14:textId="77777777" w:rsidR="00ED124F" w:rsidRPr="001C4A97" w:rsidRDefault="00ED124F" w:rsidP="00ED124F">
      <w:pPr>
        <w:pStyle w:val="Prrafodelista"/>
        <w:numPr>
          <w:ilvl w:val="0"/>
          <w:numId w:val="32"/>
        </w:numPr>
        <w:jc w:val="both"/>
        <w:rPr>
          <w:rFonts w:ascii="Verdana" w:hAnsi="Verdana"/>
          <w:bCs/>
          <w:sz w:val="16"/>
          <w:szCs w:val="16"/>
        </w:rPr>
      </w:pPr>
      <w:r w:rsidRPr="001C4A97">
        <w:rPr>
          <w:rFonts w:ascii="Verdana" w:hAnsi="Verdana"/>
          <w:bCs/>
          <w:sz w:val="16"/>
          <w:szCs w:val="16"/>
        </w:rPr>
        <w:t>Adecuación y montaje de infraestructura necesaria para garantizar una capacidad de transporte bidireccional en el tramo Yumbo–Mariquita de 250 MPCD. FPO: enero 2024.</w:t>
      </w:r>
    </w:p>
    <w:p w14:paraId="05170E0D" w14:textId="77777777" w:rsidR="00ED124F" w:rsidRPr="001C4A97" w:rsidRDefault="00ED124F" w:rsidP="00ED124F">
      <w:pPr>
        <w:pStyle w:val="Prrafodelista"/>
        <w:ind w:left="720"/>
        <w:jc w:val="both"/>
        <w:rPr>
          <w:rFonts w:ascii="Verdana" w:hAnsi="Verdana"/>
          <w:bCs/>
          <w:sz w:val="16"/>
          <w:szCs w:val="16"/>
        </w:rPr>
      </w:pPr>
    </w:p>
    <w:p w14:paraId="6082BF58" w14:textId="77777777" w:rsidR="00ED124F" w:rsidRPr="001C4A97" w:rsidRDefault="00ED124F" w:rsidP="00ED124F">
      <w:pPr>
        <w:pStyle w:val="Prrafodelista"/>
        <w:numPr>
          <w:ilvl w:val="0"/>
          <w:numId w:val="32"/>
        </w:numPr>
        <w:jc w:val="both"/>
        <w:rPr>
          <w:rFonts w:ascii="Verdana" w:hAnsi="Verdana"/>
          <w:bCs/>
          <w:sz w:val="16"/>
          <w:szCs w:val="16"/>
        </w:rPr>
      </w:pPr>
      <w:r w:rsidRPr="001C4A97">
        <w:rPr>
          <w:rFonts w:ascii="Verdana" w:hAnsi="Verdana"/>
          <w:bCs/>
          <w:sz w:val="16"/>
          <w:szCs w:val="16"/>
        </w:rPr>
        <w:t>Adecuación y montaje de la infraestructura necesaria para garantizar una capacidad de transporte bidireccional en el tramo Barranquilla-Ballena de 170 MPCD. FPO: diciembre 2021.</w:t>
      </w:r>
    </w:p>
    <w:p w14:paraId="12F37CC5" w14:textId="77777777" w:rsidR="00ED124F" w:rsidRPr="001C4A97" w:rsidRDefault="00ED124F" w:rsidP="00ED124F">
      <w:pPr>
        <w:pStyle w:val="Prrafodelista"/>
        <w:ind w:left="720"/>
        <w:jc w:val="both"/>
        <w:rPr>
          <w:rFonts w:ascii="Verdana" w:hAnsi="Verdana"/>
          <w:bCs/>
          <w:sz w:val="16"/>
          <w:szCs w:val="16"/>
        </w:rPr>
      </w:pPr>
    </w:p>
    <w:p w14:paraId="22065754" w14:textId="77777777" w:rsidR="00ED124F" w:rsidRPr="001C4A97" w:rsidRDefault="00ED124F" w:rsidP="00ED124F">
      <w:pPr>
        <w:pStyle w:val="Prrafodelista"/>
        <w:numPr>
          <w:ilvl w:val="0"/>
          <w:numId w:val="32"/>
        </w:numPr>
        <w:jc w:val="both"/>
        <w:rPr>
          <w:rFonts w:ascii="Verdana" w:hAnsi="Verdana"/>
          <w:bCs/>
          <w:sz w:val="16"/>
          <w:szCs w:val="16"/>
        </w:rPr>
      </w:pPr>
      <w:r w:rsidRPr="001C4A97">
        <w:rPr>
          <w:rFonts w:ascii="Verdana" w:hAnsi="Verdana"/>
          <w:bCs/>
          <w:sz w:val="16"/>
          <w:szCs w:val="16"/>
        </w:rPr>
        <w:t>Adecuación y montaje de la infraestructura necesaria para la interconexión del tramo Barranquilla–Ballena y el tramo Ballena–Barrancabermeja con una capacidad Bidireccional de 170 MPCD. FPO: enero 2021.</w:t>
      </w:r>
    </w:p>
    <w:p w14:paraId="6850E91C" w14:textId="77777777" w:rsidR="00ED124F" w:rsidRPr="001C4A97" w:rsidRDefault="00ED124F" w:rsidP="00ED124F">
      <w:pPr>
        <w:pStyle w:val="Prrafodelista"/>
        <w:ind w:left="720"/>
        <w:jc w:val="both"/>
        <w:rPr>
          <w:rFonts w:ascii="Verdana" w:hAnsi="Verdana"/>
          <w:bCs/>
          <w:sz w:val="16"/>
          <w:szCs w:val="16"/>
        </w:rPr>
      </w:pPr>
    </w:p>
    <w:p w14:paraId="030BCED6" w14:textId="77777777" w:rsidR="00ED124F" w:rsidRPr="001C4A97" w:rsidRDefault="00ED124F" w:rsidP="00ED124F">
      <w:pPr>
        <w:pStyle w:val="Prrafodelista"/>
        <w:numPr>
          <w:ilvl w:val="0"/>
          <w:numId w:val="32"/>
        </w:numPr>
        <w:jc w:val="both"/>
        <w:rPr>
          <w:rFonts w:ascii="Verdana" w:hAnsi="Verdana"/>
          <w:bCs/>
          <w:sz w:val="16"/>
          <w:szCs w:val="16"/>
        </w:rPr>
      </w:pPr>
      <w:r w:rsidRPr="001C4A97">
        <w:rPr>
          <w:rFonts w:ascii="Verdana" w:hAnsi="Verdana"/>
          <w:bCs/>
          <w:sz w:val="16"/>
          <w:szCs w:val="16"/>
        </w:rPr>
        <w:t>Adecuación y montaje de la infraestructura necesaria para garantizar una capacidad de transporte bidireccional en el tramo Barranca-Ballena de 100 MPCD. FPO: enero 2021.</w:t>
      </w:r>
    </w:p>
    <w:p w14:paraId="770A9E49" w14:textId="77777777" w:rsidR="00ED124F" w:rsidRPr="001C4A97" w:rsidRDefault="00ED124F" w:rsidP="00ED124F">
      <w:pPr>
        <w:pStyle w:val="Prrafodelista"/>
        <w:numPr>
          <w:ilvl w:val="0"/>
          <w:numId w:val="32"/>
        </w:numPr>
        <w:jc w:val="both"/>
        <w:rPr>
          <w:rFonts w:ascii="Verdana" w:hAnsi="Verdana"/>
          <w:bCs/>
          <w:sz w:val="16"/>
          <w:szCs w:val="16"/>
        </w:rPr>
      </w:pPr>
      <w:r w:rsidRPr="001C4A97">
        <w:rPr>
          <w:rFonts w:ascii="Verdana" w:hAnsi="Verdana"/>
          <w:bCs/>
          <w:sz w:val="16"/>
          <w:szCs w:val="16"/>
        </w:rPr>
        <w:t xml:space="preserve">Adecuación y montaje de la infraestructura necesaria en el ramal Jamundí que garantice la atención de la demanda en el nodo Popayán de 3 MPCD. FPO: marzo 2022. </w:t>
      </w:r>
    </w:p>
    <w:p w14:paraId="6D675FB7" w14:textId="77777777" w:rsidR="00ED124F" w:rsidRPr="001C4A97" w:rsidRDefault="00ED124F" w:rsidP="00ED124F">
      <w:pPr>
        <w:pStyle w:val="Prrafodelista"/>
        <w:ind w:left="720"/>
        <w:jc w:val="both"/>
        <w:rPr>
          <w:rFonts w:ascii="Verdana" w:hAnsi="Verdana"/>
          <w:bCs/>
          <w:sz w:val="16"/>
          <w:szCs w:val="16"/>
        </w:rPr>
      </w:pPr>
    </w:p>
    <w:p w14:paraId="31CFD05D" w14:textId="77777777" w:rsidR="00ED124F" w:rsidRPr="001C4A97" w:rsidRDefault="00ED124F" w:rsidP="00ED124F">
      <w:pPr>
        <w:pStyle w:val="Prrafodelista"/>
        <w:numPr>
          <w:ilvl w:val="0"/>
          <w:numId w:val="32"/>
        </w:numPr>
        <w:jc w:val="both"/>
        <w:rPr>
          <w:rFonts w:ascii="Verdana" w:hAnsi="Verdana"/>
          <w:bCs/>
          <w:sz w:val="16"/>
          <w:szCs w:val="16"/>
        </w:rPr>
      </w:pPr>
      <w:r w:rsidRPr="001C4A97">
        <w:rPr>
          <w:rFonts w:ascii="Verdana" w:hAnsi="Verdana"/>
          <w:bCs/>
          <w:sz w:val="16"/>
          <w:szCs w:val="16"/>
        </w:rPr>
        <w:t>Adecuación y montaje de la infraestructura necesaria para garantizar una capacidad de transporte en el tramo Mariquita - Gualanday 20 MPCD. FPO: marzo 2022.</w:t>
      </w:r>
    </w:p>
    <w:p w14:paraId="28E613CA" w14:textId="0C795462" w:rsidR="00ED124F" w:rsidRDefault="00ED124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4407" w14:textId="77777777" w:rsidR="000D0FE5" w:rsidRDefault="000D0FE5">
    <w:pPr>
      <w:pBdr>
        <w:top w:val="nil"/>
        <w:left w:val="nil"/>
        <w:bottom w:val="nil"/>
        <w:right w:val="nil"/>
        <w:between w:val="nil"/>
      </w:pBdr>
      <w:tabs>
        <w:tab w:val="center" w:pos="4419"/>
        <w:tab w:val="left" w:pos="7180"/>
      </w:tabs>
      <w:rPr>
        <w:b/>
        <w:color w:val="000000"/>
        <w:sz w:val="40"/>
        <w:szCs w:val="40"/>
      </w:rPr>
    </w:pPr>
  </w:p>
  <w:p w14:paraId="35C99D28" w14:textId="77777777" w:rsidR="000D0FE5" w:rsidRDefault="000D0FE5">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B2D"/>
    <w:multiLevelType w:val="hybridMultilevel"/>
    <w:tmpl w:val="DC180C0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83339A"/>
    <w:multiLevelType w:val="hybridMultilevel"/>
    <w:tmpl w:val="391E9AA8"/>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2953CD"/>
    <w:multiLevelType w:val="hybridMultilevel"/>
    <w:tmpl w:val="3398B3A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D936180"/>
    <w:multiLevelType w:val="hybridMultilevel"/>
    <w:tmpl w:val="79089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C74B52"/>
    <w:multiLevelType w:val="hybridMultilevel"/>
    <w:tmpl w:val="992A5A1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07B6718"/>
    <w:multiLevelType w:val="hybridMultilevel"/>
    <w:tmpl w:val="B0A2C2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FC36F0"/>
    <w:multiLevelType w:val="hybridMultilevel"/>
    <w:tmpl w:val="81CE3D74"/>
    <w:lvl w:ilvl="0" w:tplc="B8A65B28">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94A6A03"/>
    <w:multiLevelType w:val="hybridMultilevel"/>
    <w:tmpl w:val="90745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8E7E3E"/>
    <w:multiLevelType w:val="hybridMultilevel"/>
    <w:tmpl w:val="D16218AA"/>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B1E0E9E"/>
    <w:multiLevelType w:val="hybridMultilevel"/>
    <w:tmpl w:val="51DCFEF8"/>
    <w:lvl w:ilvl="0" w:tplc="47920EF0">
      <w:start w:val="14"/>
      <w:numFmt w:val="bullet"/>
      <w:lvlText w:val="-"/>
      <w:lvlJc w:val="left"/>
      <w:pPr>
        <w:ind w:left="720" w:hanging="360"/>
      </w:pPr>
      <w:rPr>
        <w:rFonts w:ascii="Verdana" w:eastAsia="Verdana" w:hAnsi="Verdana" w:cs="Verdana"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BB35078"/>
    <w:multiLevelType w:val="hybridMultilevel"/>
    <w:tmpl w:val="9E62B12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7E4F1F"/>
    <w:multiLevelType w:val="hybridMultilevel"/>
    <w:tmpl w:val="1CD09A6C"/>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E541471"/>
    <w:multiLevelType w:val="hybridMultilevel"/>
    <w:tmpl w:val="BD4696C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380B47C9"/>
    <w:multiLevelType w:val="hybridMultilevel"/>
    <w:tmpl w:val="4D342F5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297D63"/>
    <w:multiLevelType w:val="hybridMultilevel"/>
    <w:tmpl w:val="86D62C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A94038"/>
    <w:multiLevelType w:val="hybridMultilevel"/>
    <w:tmpl w:val="CCBCCE94"/>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3E853D13"/>
    <w:multiLevelType w:val="hybridMultilevel"/>
    <w:tmpl w:val="7ACC7C8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120FF5"/>
    <w:multiLevelType w:val="hybridMultilevel"/>
    <w:tmpl w:val="C51C65C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281233E"/>
    <w:multiLevelType w:val="hybridMultilevel"/>
    <w:tmpl w:val="71E4A7C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462F4353"/>
    <w:multiLevelType w:val="hybridMultilevel"/>
    <w:tmpl w:val="FD681EB0"/>
    <w:lvl w:ilvl="0" w:tplc="8EE69300">
      <w:start w:val="1"/>
      <w:numFmt w:val="bullet"/>
      <w:lvlText w:val=""/>
      <w:lvlJc w:val="left"/>
      <w:pPr>
        <w:tabs>
          <w:tab w:val="num" w:pos="720"/>
        </w:tabs>
        <w:ind w:left="720" w:hanging="360"/>
      </w:pPr>
      <w:rPr>
        <w:rFonts w:ascii="Wingdings" w:hAnsi="Wingdings" w:hint="default"/>
      </w:rPr>
    </w:lvl>
    <w:lvl w:ilvl="1" w:tplc="D892EA8C" w:tentative="1">
      <w:start w:val="1"/>
      <w:numFmt w:val="bullet"/>
      <w:lvlText w:val=""/>
      <w:lvlJc w:val="left"/>
      <w:pPr>
        <w:tabs>
          <w:tab w:val="num" w:pos="1440"/>
        </w:tabs>
        <w:ind w:left="1440" w:hanging="360"/>
      </w:pPr>
      <w:rPr>
        <w:rFonts w:ascii="Wingdings" w:hAnsi="Wingdings" w:hint="default"/>
      </w:rPr>
    </w:lvl>
    <w:lvl w:ilvl="2" w:tplc="A85AF0A2" w:tentative="1">
      <w:start w:val="1"/>
      <w:numFmt w:val="bullet"/>
      <w:lvlText w:val=""/>
      <w:lvlJc w:val="left"/>
      <w:pPr>
        <w:tabs>
          <w:tab w:val="num" w:pos="2160"/>
        </w:tabs>
        <w:ind w:left="2160" w:hanging="360"/>
      </w:pPr>
      <w:rPr>
        <w:rFonts w:ascii="Wingdings" w:hAnsi="Wingdings" w:hint="default"/>
      </w:rPr>
    </w:lvl>
    <w:lvl w:ilvl="3" w:tplc="276CB88A" w:tentative="1">
      <w:start w:val="1"/>
      <w:numFmt w:val="bullet"/>
      <w:lvlText w:val=""/>
      <w:lvlJc w:val="left"/>
      <w:pPr>
        <w:tabs>
          <w:tab w:val="num" w:pos="2880"/>
        </w:tabs>
        <w:ind w:left="2880" w:hanging="360"/>
      </w:pPr>
      <w:rPr>
        <w:rFonts w:ascii="Wingdings" w:hAnsi="Wingdings" w:hint="default"/>
      </w:rPr>
    </w:lvl>
    <w:lvl w:ilvl="4" w:tplc="130884D0" w:tentative="1">
      <w:start w:val="1"/>
      <w:numFmt w:val="bullet"/>
      <w:lvlText w:val=""/>
      <w:lvlJc w:val="left"/>
      <w:pPr>
        <w:tabs>
          <w:tab w:val="num" w:pos="3600"/>
        </w:tabs>
        <w:ind w:left="3600" w:hanging="360"/>
      </w:pPr>
      <w:rPr>
        <w:rFonts w:ascii="Wingdings" w:hAnsi="Wingdings" w:hint="default"/>
      </w:rPr>
    </w:lvl>
    <w:lvl w:ilvl="5" w:tplc="B4F0EEAA" w:tentative="1">
      <w:start w:val="1"/>
      <w:numFmt w:val="bullet"/>
      <w:lvlText w:val=""/>
      <w:lvlJc w:val="left"/>
      <w:pPr>
        <w:tabs>
          <w:tab w:val="num" w:pos="4320"/>
        </w:tabs>
        <w:ind w:left="4320" w:hanging="360"/>
      </w:pPr>
      <w:rPr>
        <w:rFonts w:ascii="Wingdings" w:hAnsi="Wingdings" w:hint="default"/>
      </w:rPr>
    </w:lvl>
    <w:lvl w:ilvl="6" w:tplc="8F4CBE2E" w:tentative="1">
      <w:start w:val="1"/>
      <w:numFmt w:val="bullet"/>
      <w:lvlText w:val=""/>
      <w:lvlJc w:val="left"/>
      <w:pPr>
        <w:tabs>
          <w:tab w:val="num" w:pos="5040"/>
        </w:tabs>
        <w:ind w:left="5040" w:hanging="360"/>
      </w:pPr>
      <w:rPr>
        <w:rFonts w:ascii="Wingdings" w:hAnsi="Wingdings" w:hint="default"/>
      </w:rPr>
    </w:lvl>
    <w:lvl w:ilvl="7" w:tplc="9B00C736" w:tentative="1">
      <w:start w:val="1"/>
      <w:numFmt w:val="bullet"/>
      <w:lvlText w:val=""/>
      <w:lvlJc w:val="left"/>
      <w:pPr>
        <w:tabs>
          <w:tab w:val="num" w:pos="5760"/>
        </w:tabs>
        <w:ind w:left="5760" w:hanging="360"/>
      </w:pPr>
      <w:rPr>
        <w:rFonts w:ascii="Wingdings" w:hAnsi="Wingdings" w:hint="default"/>
      </w:rPr>
    </w:lvl>
    <w:lvl w:ilvl="8" w:tplc="F38873E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DF1F17"/>
    <w:multiLevelType w:val="hybridMultilevel"/>
    <w:tmpl w:val="4482A41A"/>
    <w:lvl w:ilvl="0" w:tplc="6AD84D24">
      <w:start w:val="1"/>
      <w:numFmt w:val="decimal"/>
      <w:lvlText w:val="%1."/>
      <w:lvlJc w:val="left"/>
      <w:pPr>
        <w:ind w:left="360" w:hanging="360"/>
      </w:pPr>
      <w:rPr>
        <w:sz w:val="22"/>
        <w:szCs w:val="22"/>
      </w:rPr>
    </w:lvl>
    <w:lvl w:ilvl="1" w:tplc="23D64D92">
      <w:start w:val="1"/>
      <w:numFmt w:val="lowerLetter"/>
      <w:lvlText w:val="%2."/>
      <w:lvlJc w:val="left"/>
      <w:pPr>
        <w:ind w:left="1080" w:hanging="360"/>
      </w:pPr>
      <w:rPr>
        <w:rFonts w:ascii="Verdana" w:hAnsi="Verdana" w:hint="default"/>
        <w:sz w:val="22"/>
        <w:szCs w:val="22"/>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9B61035"/>
    <w:multiLevelType w:val="hybridMultilevel"/>
    <w:tmpl w:val="DBCE10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1542CA"/>
    <w:multiLevelType w:val="hybridMultilevel"/>
    <w:tmpl w:val="1316A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AA1033"/>
    <w:multiLevelType w:val="hybridMultilevel"/>
    <w:tmpl w:val="6898E7B4"/>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C38563E"/>
    <w:multiLevelType w:val="multilevel"/>
    <w:tmpl w:val="9B02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691F94"/>
    <w:multiLevelType w:val="hybridMultilevel"/>
    <w:tmpl w:val="39304E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EB331F3"/>
    <w:multiLevelType w:val="hybridMultilevel"/>
    <w:tmpl w:val="F7FAE896"/>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541DC8"/>
    <w:multiLevelType w:val="hybridMultilevel"/>
    <w:tmpl w:val="9BAEDF2E"/>
    <w:lvl w:ilvl="0" w:tplc="F92A4AF8">
      <w:start w:val="1"/>
      <w:numFmt w:val="decimal"/>
      <w:lvlText w:val="%1."/>
      <w:lvlJc w:val="left"/>
      <w:pPr>
        <w:ind w:left="360" w:hanging="360"/>
      </w:pPr>
      <w:rPr>
        <w:rFonts w:hint="default"/>
        <w:sz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2412363"/>
    <w:multiLevelType w:val="hybridMultilevel"/>
    <w:tmpl w:val="779AEF24"/>
    <w:lvl w:ilvl="0" w:tplc="240A0005">
      <w:start w:val="1"/>
      <w:numFmt w:val="bullet"/>
      <w:lvlText w:val=""/>
      <w:lvlJc w:val="left"/>
      <w:pPr>
        <w:ind w:left="1080" w:hanging="360"/>
      </w:pPr>
      <w:rPr>
        <w:rFonts w:ascii="Wingdings" w:hAnsi="Wingding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0" w15:restartNumberingAfterBreak="0">
    <w:nsid w:val="6374223C"/>
    <w:multiLevelType w:val="hybridMultilevel"/>
    <w:tmpl w:val="0B6207D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641261A3"/>
    <w:multiLevelType w:val="hybridMultilevel"/>
    <w:tmpl w:val="C570D26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4F41F5E"/>
    <w:multiLevelType w:val="hybridMultilevel"/>
    <w:tmpl w:val="5ECE66F4"/>
    <w:lvl w:ilvl="0" w:tplc="37226612">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5C3668"/>
    <w:multiLevelType w:val="hybridMultilevel"/>
    <w:tmpl w:val="D5000924"/>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15:restartNumberingAfterBreak="0">
    <w:nsid w:val="71935471"/>
    <w:multiLevelType w:val="hybridMultilevel"/>
    <w:tmpl w:val="8A347032"/>
    <w:lvl w:ilvl="0" w:tplc="EA3A35DC">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B147E7"/>
    <w:multiLevelType w:val="hybridMultilevel"/>
    <w:tmpl w:val="7C4CDC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6F250C"/>
    <w:multiLevelType w:val="hybridMultilevel"/>
    <w:tmpl w:val="FB98B5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57E2339"/>
    <w:multiLevelType w:val="hybridMultilevel"/>
    <w:tmpl w:val="F538EF20"/>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24"/>
  </w:num>
  <w:num w:numId="2">
    <w:abstractNumId w:val="25"/>
  </w:num>
  <w:num w:numId="3">
    <w:abstractNumId w:val="36"/>
  </w:num>
  <w:num w:numId="4">
    <w:abstractNumId w:val="13"/>
  </w:num>
  <w:num w:numId="5">
    <w:abstractNumId w:val="26"/>
  </w:num>
  <w:num w:numId="6">
    <w:abstractNumId w:val="35"/>
  </w:num>
  <w:num w:numId="7">
    <w:abstractNumId w:val="6"/>
  </w:num>
  <w:num w:numId="8">
    <w:abstractNumId w:val="22"/>
  </w:num>
  <w:num w:numId="9">
    <w:abstractNumId w:val="4"/>
  </w:num>
  <w:num w:numId="10">
    <w:abstractNumId w:val="7"/>
  </w:num>
  <w:num w:numId="11">
    <w:abstractNumId w:val="17"/>
  </w:num>
  <w:num w:numId="12">
    <w:abstractNumId w:val="37"/>
  </w:num>
  <w:num w:numId="13">
    <w:abstractNumId w:val="29"/>
  </w:num>
  <w:num w:numId="14">
    <w:abstractNumId w:val="19"/>
  </w:num>
  <w:num w:numId="15">
    <w:abstractNumId w:val="32"/>
  </w:num>
  <w:num w:numId="16">
    <w:abstractNumId w:val="33"/>
  </w:num>
  <w:num w:numId="17">
    <w:abstractNumId w:val="20"/>
  </w:num>
  <w:num w:numId="18">
    <w:abstractNumId w:val="34"/>
  </w:num>
  <w:num w:numId="19">
    <w:abstractNumId w:val="8"/>
  </w:num>
  <w:num w:numId="20">
    <w:abstractNumId w:val="2"/>
  </w:num>
  <w:num w:numId="21">
    <w:abstractNumId w:val="10"/>
  </w:num>
  <w:num w:numId="22">
    <w:abstractNumId w:val="16"/>
  </w:num>
  <w:num w:numId="23">
    <w:abstractNumId w:val="0"/>
  </w:num>
  <w:num w:numId="24">
    <w:abstractNumId w:val="2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9"/>
  </w:num>
  <w:num w:numId="28">
    <w:abstractNumId w:val="30"/>
  </w:num>
  <w:num w:numId="29">
    <w:abstractNumId w:val="15"/>
  </w:num>
  <w:num w:numId="30">
    <w:abstractNumId w:val="23"/>
  </w:num>
  <w:num w:numId="31">
    <w:abstractNumId w:val="12"/>
  </w:num>
  <w:num w:numId="32">
    <w:abstractNumId w:val="27"/>
  </w:num>
  <w:num w:numId="33">
    <w:abstractNumId w:val="11"/>
  </w:num>
  <w:num w:numId="34">
    <w:abstractNumId w:val="1"/>
  </w:num>
  <w:num w:numId="35">
    <w:abstractNumId w:val="14"/>
  </w:num>
  <w:num w:numId="36">
    <w:abstractNumId w:val="21"/>
  </w:num>
  <w:num w:numId="37">
    <w:abstractNumId w:val="31"/>
  </w:num>
  <w:num w:numId="38">
    <w:abstractNumId w:val="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24171"/>
    <w:rsid w:val="000378FB"/>
    <w:rsid w:val="00051257"/>
    <w:rsid w:val="00052450"/>
    <w:rsid w:val="00076B3C"/>
    <w:rsid w:val="0008210D"/>
    <w:rsid w:val="0008226B"/>
    <w:rsid w:val="00084002"/>
    <w:rsid w:val="000A2032"/>
    <w:rsid w:val="000C5A39"/>
    <w:rsid w:val="000D0FE5"/>
    <w:rsid w:val="000D2F11"/>
    <w:rsid w:val="000F099A"/>
    <w:rsid w:val="000F403F"/>
    <w:rsid w:val="000F525F"/>
    <w:rsid w:val="000F7D73"/>
    <w:rsid w:val="001113E5"/>
    <w:rsid w:val="001116E9"/>
    <w:rsid w:val="00112C06"/>
    <w:rsid w:val="001208BF"/>
    <w:rsid w:val="001313A0"/>
    <w:rsid w:val="001375A7"/>
    <w:rsid w:val="00137792"/>
    <w:rsid w:val="0014233E"/>
    <w:rsid w:val="00142CB9"/>
    <w:rsid w:val="0014580B"/>
    <w:rsid w:val="00150974"/>
    <w:rsid w:val="00185CE1"/>
    <w:rsid w:val="001939BB"/>
    <w:rsid w:val="0019552B"/>
    <w:rsid w:val="001B528C"/>
    <w:rsid w:val="001B5848"/>
    <w:rsid w:val="001B6888"/>
    <w:rsid w:val="001C4A97"/>
    <w:rsid w:val="001C50E6"/>
    <w:rsid w:val="001D1DF8"/>
    <w:rsid w:val="001E75B0"/>
    <w:rsid w:val="0020013A"/>
    <w:rsid w:val="00201D31"/>
    <w:rsid w:val="0021167D"/>
    <w:rsid w:val="00213180"/>
    <w:rsid w:val="0022132E"/>
    <w:rsid w:val="0022257E"/>
    <w:rsid w:val="00223CA5"/>
    <w:rsid w:val="0023663C"/>
    <w:rsid w:val="0025017B"/>
    <w:rsid w:val="00251A8B"/>
    <w:rsid w:val="002600C9"/>
    <w:rsid w:val="0026220B"/>
    <w:rsid w:val="00262AAF"/>
    <w:rsid w:val="00267C1D"/>
    <w:rsid w:val="002703C3"/>
    <w:rsid w:val="00275415"/>
    <w:rsid w:val="002758D8"/>
    <w:rsid w:val="00280F9A"/>
    <w:rsid w:val="00282C44"/>
    <w:rsid w:val="002906DE"/>
    <w:rsid w:val="00292DBE"/>
    <w:rsid w:val="002A4CED"/>
    <w:rsid w:val="002C23F3"/>
    <w:rsid w:val="002C4C15"/>
    <w:rsid w:val="002C66AB"/>
    <w:rsid w:val="002E67EE"/>
    <w:rsid w:val="002F6519"/>
    <w:rsid w:val="00313043"/>
    <w:rsid w:val="003202B4"/>
    <w:rsid w:val="00321268"/>
    <w:rsid w:val="00323968"/>
    <w:rsid w:val="00326F04"/>
    <w:rsid w:val="00327EE9"/>
    <w:rsid w:val="0034727B"/>
    <w:rsid w:val="00350364"/>
    <w:rsid w:val="003561F1"/>
    <w:rsid w:val="003611EF"/>
    <w:rsid w:val="0036314B"/>
    <w:rsid w:val="003639CF"/>
    <w:rsid w:val="00366091"/>
    <w:rsid w:val="00381BE0"/>
    <w:rsid w:val="00387DDA"/>
    <w:rsid w:val="0039082B"/>
    <w:rsid w:val="003A093D"/>
    <w:rsid w:val="003A7EEB"/>
    <w:rsid w:val="003B499D"/>
    <w:rsid w:val="003B4ED7"/>
    <w:rsid w:val="003B759E"/>
    <w:rsid w:val="003D61F5"/>
    <w:rsid w:val="003D7626"/>
    <w:rsid w:val="003E2065"/>
    <w:rsid w:val="003E2D64"/>
    <w:rsid w:val="003F28E4"/>
    <w:rsid w:val="00402555"/>
    <w:rsid w:val="0041139D"/>
    <w:rsid w:val="00412969"/>
    <w:rsid w:val="00412FC8"/>
    <w:rsid w:val="004156BC"/>
    <w:rsid w:val="00442F08"/>
    <w:rsid w:val="00450862"/>
    <w:rsid w:val="00462EA8"/>
    <w:rsid w:val="00466B8F"/>
    <w:rsid w:val="0046776D"/>
    <w:rsid w:val="00473DC0"/>
    <w:rsid w:val="0048478B"/>
    <w:rsid w:val="00495975"/>
    <w:rsid w:val="004B0855"/>
    <w:rsid w:val="004B3AB5"/>
    <w:rsid w:val="004C4342"/>
    <w:rsid w:val="004D046F"/>
    <w:rsid w:val="00500734"/>
    <w:rsid w:val="00506CC8"/>
    <w:rsid w:val="00524F3C"/>
    <w:rsid w:val="00530852"/>
    <w:rsid w:val="00530A9F"/>
    <w:rsid w:val="005452DF"/>
    <w:rsid w:val="005675E9"/>
    <w:rsid w:val="005771B0"/>
    <w:rsid w:val="005814CA"/>
    <w:rsid w:val="005817B8"/>
    <w:rsid w:val="0058226B"/>
    <w:rsid w:val="005B53E6"/>
    <w:rsid w:val="005C379E"/>
    <w:rsid w:val="005D0B2D"/>
    <w:rsid w:val="005D48D3"/>
    <w:rsid w:val="005D7C4C"/>
    <w:rsid w:val="005F56D1"/>
    <w:rsid w:val="0060078E"/>
    <w:rsid w:val="00605D71"/>
    <w:rsid w:val="00611156"/>
    <w:rsid w:val="006152C2"/>
    <w:rsid w:val="006308DA"/>
    <w:rsid w:val="00631932"/>
    <w:rsid w:val="00643788"/>
    <w:rsid w:val="00650D27"/>
    <w:rsid w:val="0067256F"/>
    <w:rsid w:val="0067477E"/>
    <w:rsid w:val="00680231"/>
    <w:rsid w:val="006A41B8"/>
    <w:rsid w:val="006A69FE"/>
    <w:rsid w:val="006B580F"/>
    <w:rsid w:val="006D363D"/>
    <w:rsid w:val="006D3835"/>
    <w:rsid w:val="006D63B8"/>
    <w:rsid w:val="006E2A9D"/>
    <w:rsid w:val="006E56A5"/>
    <w:rsid w:val="006F4547"/>
    <w:rsid w:val="00701B04"/>
    <w:rsid w:val="00711503"/>
    <w:rsid w:val="0071532A"/>
    <w:rsid w:val="00723CA5"/>
    <w:rsid w:val="00723FDC"/>
    <w:rsid w:val="00735928"/>
    <w:rsid w:val="00765481"/>
    <w:rsid w:val="00767508"/>
    <w:rsid w:val="0078188C"/>
    <w:rsid w:val="0078212B"/>
    <w:rsid w:val="007849E0"/>
    <w:rsid w:val="0078530C"/>
    <w:rsid w:val="007864B2"/>
    <w:rsid w:val="00790902"/>
    <w:rsid w:val="00790928"/>
    <w:rsid w:val="007A0ABB"/>
    <w:rsid w:val="007A0C35"/>
    <w:rsid w:val="007A77AF"/>
    <w:rsid w:val="007A78F9"/>
    <w:rsid w:val="007B6024"/>
    <w:rsid w:val="007C4EA0"/>
    <w:rsid w:val="007F2F35"/>
    <w:rsid w:val="0081003D"/>
    <w:rsid w:val="008175FB"/>
    <w:rsid w:val="00820C6F"/>
    <w:rsid w:val="0082756F"/>
    <w:rsid w:val="00863B90"/>
    <w:rsid w:val="00865EB8"/>
    <w:rsid w:val="00867A24"/>
    <w:rsid w:val="008714D9"/>
    <w:rsid w:val="008C128A"/>
    <w:rsid w:val="008C2BE0"/>
    <w:rsid w:val="008C3C1E"/>
    <w:rsid w:val="008C6D48"/>
    <w:rsid w:val="008C7333"/>
    <w:rsid w:val="008E1DB6"/>
    <w:rsid w:val="008F3C55"/>
    <w:rsid w:val="00901E60"/>
    <w:rsid w:val="00911F7E"/>
    <w:rsid w:val="0091312F"/>
    <w:rsid w:val="009132D1"/>
    <w:rsid w:val="009242BD"/>
    <w:rsid w:val="00962848"/>
    <w:rsid w:val="00963173"/>
    <w:rsid w:val="00964F40"/>
    <w:rsid w:val="00981638"/>
    <w:rsid w:val="00990F21"/>
    <w:rsid w:val="0099745F"/>
    <w:rsid w:val="00997849"/>
    <w:rsid w:val="009A1F17"/>
    <w:rsid w:val="009A55CA"/>
    <w:rsid w:val="009A5E50"/>
    <w:rsid w:val="009B1AB3"/>
    <w:rsid w:val="009B29ED"/>
    <w:rsid w:val="009C1EA8"/>
    <w:rsid w:val="009D4ADE"/>
    <w:rsid w:val="009F0674"/>
    <w:rsid w:val="009F1A46"/>
    <w:rsid w:val="009F262D"/>
    <w:rsid w:val="009F6B24"/>
    <w:rsid w:val="00A0325F"/>
    <w:rsid w:val="00A2427B"/>
    <w:rsid w:val="00A42AF2"/>
    <w:rsid w:val="00A4446A"/>
    <w:rsid w:val="00A546EF"/>
    <w:rsid w:val="00A642A5"/>
    <w:rsid w:val="00A6722F"/>
    <w:rsid w:val="00A67727"/>
    <w:rsid w:val="00A748CA"/>
    <w:rsid w:val="00A87384"/>
    <w:rsid w:val="00AB4B88"/>
    <w:rsid w:val="00AC0053"/>
    <w:rsid w:val="00AC01D9"/>
    <w:rsid w:val="00AE01B5"/>
    <w:rsid w:val="00AE2AAD"/>
    <w:rsid w:val="00AE535E"/>
    <w:rsid w:val="00AE56DF"/>
    <w:rsid w:val="00AF1041"/>
    <w:rsid w:val="00B0226C"/>
    <w:rsid w:val="00B11334"/>
    <w:rsid w:val="00B12E49"/>
    <w:rsid w:val="00B27F5F"/>
    <w:rsid w:val="00B34C7C"/>
    <w:rsid w:val="00B36B33"/>
    <w:rsid w:val="00B40AC1"/>
    <w:rsid w:val="00B45738"/>
    <w:rsid w:val="00B45C59"/>
    <w:rsid w:val="00B5406F"/>
    <w:rsid w:val="00B56FFD"/>
    <w:rsid w:val="00B57A69"/>
    <w:rsid w:val="00B77070"/>
    <w:rsid w:val="00B854F1"/>
    <w:rsid w:val="00BA5E98"/>
    <w:rsid w:val="00BB23ED"/>
    <w:rsid w:val="00BB4A11"/>
    <w:rsid w:val="00BC0C10"/>
    <w:rsid w:val="00BC22BB"/>
    <w:rsid w:val="00BC4864"/>
    <w:rsid w:val="00BD3534"/>
    <w:rsid w:val="00BD3DBF"/>
    <w:rsid w:val="00BD6169"/>
    <w:rsid w:val="00BD6618"/>
    <w:rsid w:val="00BE37CB"/>
    <w:rsid w:val="00BF09DE"/>
    <w:rsid w:val="00BF69B5"/>
    <w:rsid w:val="00C040FE"/>
    <w:rsid w:val="00C10998"/>
    <w:rsid w:val="00C215AD"/>
    <w:rsid w:val="00C33FB4"/>
    <w:rsid w:val="00C35356"/>
    <w:rsid w:val="00C3645A"/>
    <w:rsid w:val="00C36BCB"/>
    <w:rsid w:val="00C41CE0"/>
    <w:rsid w:val="00C43EDE"/>
    <w:rsid w:val="00C4496B"/>
    <w:rsid w:val="00C5159A"/>
    <w:rsid w:val="00C5293B"/>
    <w:rsid w:val="00C5692A"/>
    <w:rsid w:val="00C62691"/>
    <w:rsid w:val="00C62F34"/>
    <w:rsid w:val="00C65253"/>
    <w:rsid w:val="00C71C46"/>
    <w:rsid w:val="00C74C51"/>
    <w:rsid w:val="00C81BC0"/>
    <w:rsid w:val="00C859E5"/>
    <w:rsid w:val="00C85C7F"/>
    <w:rsid w:val="00CA3DFD"/>
    <w:rsid w:val="00CB3A0E"/>
    <w:rsid w:val="00CB657A"/>
    <w:rsid w:val="00CC4529"/>
    <w:rsid w:val="00CC6CEF"/>
    <w:rsid w:val="00CD1779"/>
    <w:rsid w:val="00CE6393"/>
    <w:rsid w:val="00CF6FB0"/>
    <w:rsid w:val="00D0320F"/>
    <w:rsid w:val="00D0429B"/>
    <w:rsid w:val="00D05BA1"/>
    <w:rsid w:val="00D13566"/>
    <w:rsid w:val="00D15C4E"/>
    <w:rsid w:val="00D37EBB"/>
    <w:rsid w:val="00D43B4D"/>
    <w:rsid w:val="00D43F30"/>
    <w:rsid w:val="00D472EA"/>
    <w:rsid w:val="00D64834"/>
    <w:rsid w:val="00D72C94"/>
    <w:rsid w:val="00D83B78"/>
    <w:rsid w:val="00D86AB0"/>
    <w:rsid w:val="00D928DB"/>
    <w:rsid w:val="00DA291A"/>
    <w:rsid w:val="00DC5EFA"/>
    <w:rsid w:val="00DD1303"/>
    <w:rsid w:val="00DD1D85"/>
    <w:rsid w:val="00DF5B06"/>
    <w:rsid w:val="00E03594"/>
    <w:rsid w:val="00E07F30"/>
    <w:rsid w:val="00E133A3"/>
    <w:rsid w:val="00E17F87"/>
    <w:rsid w:val="00E2022B"/>
    <w:rsid w:val="00E232DB"/>
    <w:rsid w:val="00E358A5"/>
    <w:rsid w:val="00E41C44"/>
    <w:rsid w:val="00E451B5"/>
    <w:rsid w:val="00E55983"/>
    <w:rsid w:val="00E56EF7"/>
    <w:rsid w:val="00E57880"/>
    <w:rsid w:val="00E66F02"/>
    <w:rsid w:val="00E704EC"/>
    <w:rsid w:val="00E713B7"/>
    <w:rsid w:val="00E76C9F"/>
    <w:rsid w:val="00E77BDF"/>
    <w:rsid w:val="00E81EE7"/>
    <w:rsid w:val="00E85331"/>
    <w:rsid w:val="00E872C5"/>
    <w:rsid w:val="00E9127D"/>
    <w:rsid w:val="00E9224A"/>
    <w:rsid w:val="00E935ED"/>
    <w:rsid w:val="00EA02F6"/>
    <w:rsid w:val="00EA128F"/>
    <w:rsid w:val="00EA41A5"/>
    <w:rsid w:val="00EA64A8"/>
    <w:rsid w:val="00EB5468"/>
    <w:rsid w:val="00EC6CE5"/>
    <w:rsid w:val="00ED0285"/>
    <w:rsid w:val="00ED124F"/>
    <w:rsid w:val="00EE27F8"/>
    <w:rsid w:val="00EF045E"/>
    <w:rsid w:val="00EF0B32"/>
    <w:rsid w:val="00F108A3"/>
    <w:rsid w:val="00F14958"/>
    <w:rsid w:val="00F15031"/>
    <w:rsid w:val="00F23F6A"/>
    <w:rsid w:val="00F33F97"/>
    <w:rsid w:val="00F3476A"/>
    <w:rsid w:val="00F52177"/>
    <w:rsid w:val="00F52872"/>
    <w:rsid w:val="00F54A62"/>
    <w:rsid w:val="00F56E6C"/>
    <w:rsid w:val="00F57913"/>
    <w:rsid w:val="00F62B4B"/>
    <w:rsid w:val="00F653A0"/>
    <w:rsid w:val="00F93213"/>
    <w:rsid w:val="00F935AA"/>
    <w:rsid w:val="00FA3EC6"/>
    <w:rsid w:val="00FB19C8"/>
    <w:rsid w:val="00FB33B0"/>
    <w:rsid w:val="00FE3017"/>
    <w:rsid w:val="00FF2108"/>
    <w:rsid w:val="00FF29AB"/>
    <w:rsid w:val="00FF6F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cinsinresolver">
    <w:name w:val="Unresolved Mention"/>
    <w:basedOn w:val="Fuentedeprrafopredeter"/>
    <w:uiPriority w:val="99"/>
    <w:semiHidden/>
    <w:unhideWhenUsed/>
    <w:rsid w:val="003B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4672-0CCC-4E31-AE4B-97451A20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1689</Words>
  <Characters>9295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2020-01-16T02:04:00Z</dcterms:created>
  <dcterms:modified xsi:type="dcterms:W3CDTF">2020-01-16T02:04:00Z</dcterms:modified>
</cp:coreProperties>
</file>