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A202C" w14:textId="77777777" w:rsidR="00112C06" w:rsidRPr="00424C05" w:rsidRDefault="00112C06" w:rsidP="00112C06">
      <w:pPr>
        <w:pStyle w:val="Ttulo"/>
        <w:jc w:val="center"/>
        <w:rPr>
          <w:rFonts w:ascii="Verdana" w:eastAsia="Verdana" w:hAnsi="Verdana" w:cs="Verdana"/>
          <w:b/>
          <w:sz w:val="32"/>
          <w:szCs w:val="32"/>
        </w:rPr>
      </w:pPr>
      <w:r w:rsidRPr="00424C05">
        <w:rPr>
          <w:rFonts w:ascii="Verdana" w:eastAsia="Verdana" w:hAnsi="Verdana" w:cs="Verdana"/>
          <w:b/>
          <w:sz w:val="32"/>
          <w:szCs w:val="32"/>
        </w:rPr>
        <w:t>INFORME CNO 565</w:t>
      </w:r>
    </w:p>
    <w:p w14:paraId="63311C03" w14:textId="77777777" w:rsidR="00112C06" w:rsidRPr="00424C05" w:rsidRDefault="00112C06" w:rsidP="00112C06">
      <w:pPr>
        <w:jc w:val="both"/>
        <w:rPr>
          <w:rFonts w:ascii="Verdana" w:eastAsia="Verdana" w:hAnsi="Verdana" w:cs="Verdana"/>
          <w:sz w:val="22"/>
          <w:szCs w:val="22"/>
        </w:rPr>
      </w:pPr>
    </w:p>
    <w:p w14:paraId="6E0C8BBC" w14:textId="77777777" w:rsidR="00112C06" w:rsidRPr="00424C05" w:rsidRDefault="00112C06" w:rsidP="00112C06">
      <w:pPr>
        <w:jc w:val="both"/>
        <w:rPr>
          <w:rFonts w:ascii="Verdana" w:eastAsia="Verdana" w:hAnsi="Verdana" w:cs="Verdana"/>
          <w:sz w:val="22"/>
          <w:szCs w:val="22"/>
        </w:rPr>
      </w:pPr>
      <w:r w:rsidRPr="00424C05">
        <w:rPr>
          <w:rFonts w:ascii="Verdana" w:eastAsia="Verdana" w:hAnsi="Verdana" w:cs="Verdana"/>
          <w:sz w:val="22"/>
          <w:szCs w:val="22"/>
        </w:rPr>
        <w:t>Fecha: agosto 1 de 2019.</w:t>
      </w:r>
    </w:p>
    <w:p w14:paraId="725993AB" w14:textId="77777777" w:rsidR="00112C06" w:rsidRPr="00424C05" w:rsidRDefault="00112C06" w:rsidP="00112C06">
      <w:pPr>
        <w:jc w:val="both"/>
        <w:rPr>
          <w:rFonts w:ascii="Verdana" w:hAnsi="Verdana"/>
          <w:sz w:val="22"/>
          <w:szCs w:val="22"/>
        </w:rPr>
      </w:pPr>
    </w:p>
    <w:p w14:paraId="7183085F" w14:textId="77777777" w:rsidR="00112C06" w:rsidRPr="00424C05" w:rsidRDefault="00112C06" w:rsidP="00112C06">
      <w:pPr>
        <w:jc w:val="both"/>
        <w:rPr>
          <w:rFonts w:ascii="Verdana" w:eastAsia="Verdana" w:hAnsi="Verdana" w:cs="Verdana"/>
          <w:b/>
          <w:sz w:val="22"/>
          <w:szCs w:val="22"/>
          <w:u w:val="single"/>
        </w:rPr>
      </w:pPr>
      <w:r w:rsidRPr="00424C05">
        <w:rPr>
          <w:rFonts w:ascii="Verdana" w:eastAsia="Verdana" w:hAnsi="Verdana" w:cs="Verdana"/>
          <w:b/>
          <w:sz w:val="22"/>
          <w:szCs w:val="22"/>
          <w:u w:val="single"/>
        </w:rPr>
        <w:t>ASPECTOS ADMINISTRATIVOS:</w:t>
      </w:r>
    </w:p>
    <w:p w14:paraId="4AE50B17" w14:textId="77777777" w:rsidR="00112C06" w:rsidRPr="00424C05" w:rsidRDefault="00112C06" w:rsidP="00112C06">
      <w:pPr>
        <w:jc w:val="both"/>
        <w:rPr>
          <w:rFonts w:ascii="Verdana" w:eastAsia="Verdana" w:hAnsi="Verdana" w:cs="Verdana"/>
          <w:sz w:val="22"/>
          <w:szCs w:val="22"/>
        </w:rPr>
      </w:pPr>
    </w:p>
    <w:p w14:paraId="4FE73E75" w14:textId="77777777" w:rsidR="00112C06" w:rsidRPr="00424C05" w:rsidRDefault="00112C06" w:rsidP="00112C06">
      <w:pPr>
        <w:numPr>
          <w:ilvl w:val="0"/>
          <w:numId w:val="7"/>
        </w:numPr>
        <w:pBdr>
          <w:top w:val="nil"/>
          <w:left w:val="nil"/>
          <w:bottom w:val="nil"/>
          <w:right w:val="nil"/>
          <w:between w:val="nil"/>
        </w:pBdr>
        <w:jc w:val="both"/>
        <w:rPr>
          <w:rFonts w:ascii="Verdana" w:eastAsia="Verdana" w:hAnsi="Verdana" w:cs="Verdana"/>
          <w:sz w:val="22"/>
          <w:szCs w:val="22"/>
        </w:rPr>
      </w:pPr>
      <w:r w:rsidRPr="00424C05">
        <w:rPr>
          <w:rFonts w:ascii="Verdana" w:eastAsia="Verdana" w:hAnsi="Verdana" w:cs="Verdana"/>
          <w:sz w:val="22"/>
          <w:szCs w:val="22"/>
        </w:rPr>
        <w:t xml:space="preserve">Se avanza en las actividades del contrato de obra civil de la nueva oficina con la instalación de perfilería y vidrios. El mobiliario llegará este fin de semana (03 de agosto de 2019). </w:t>
      </w:r>
    </w:p>
    <w:p w14:paraId="7553E4D2" w14:textId="77777777" w:rsidR="00112C06" w:rsidRPr="00424C05" w:rsidRDefault="00112C06" w:rsidP="00112C06">
      <w:pPr>
        <w:pBdr>
          <w:top w:val="nil"/>
          <w:left w:val="nil"/>
          <w:bottom w:val="nil"/>
          <w:right w:val="nil"/>
          <w:between w:val="nil"/>
        </w:pBdr>
        <w:jc w:val="both"/>
        <w:rPr>
          <w:rFonts w:ascii="Verdana" w:eastAsia="Verdana" w:hAnsi="Verdana" w:cs="Verdana"/>
          <w:sz w:val="22"/>
          <w:szCs w:val="22"/>
        </w:rPr>
      </w:pPr>
    </w:p>
    <w:p w14:paraId="2E7E2FB8" w14:textId="135A707D" w:rsidR="00112C06" w:rsidRPr="00424C05" w:rsidRDefault="00112C06" w:rsidP="00112C06">
      <w:pPr>
        <w:numPr>
          <w:ilvl w:val="0"/>
          <w:numId w:val="7"/>
        </w:numPr>
        <w:pBdr>
          <w:top w:val="nil"/>
          <w:left w:val="nil"/>
          <w:bottom w:val="nil"/>
          <w:right w:val="nil"/>
          <w:between w:val="nil"/>
        </w:pBdr>
        <w:jc w:val="both"/>
        <w:rPr>
          <w:rFonts w:ascii="Verdana" w:eastAsia="Verdana" w:hAnsi="Verdana" w:cs="Verdana"/>
          <w:sz w:val="22"/>
          <w:szCs w:val="22"/>
        </w:rPr>
      </w:pPr>
      <w:r w:rsidRPr="00424C05">
        <w:rPr>
          <w:rFonts w:ascii="Verdana" w:eastAsia="Verdana" w:hAnsi="Verdana" w:cs="Verdana"/>
          <w:sz w:val="22"/>
          <w:szCs w:val="22"/>
        </w:rPr>
        <w:t>La quinta jornada técnica de Distribución se celebró los días 30 y 31 de julio con la participación de 1</w:t>
      </w:r>
      <w:r w:rsidR="00C85C7F">
        <w:rPr>
          <w:rFonts w:ascii="Verdana" w:eastAsia="Verdana" w:hAnsi="Verdana" w:cs="Verdana"/>
          <w:sz w:val="22"/>
          <w:szCs w:val="22"/>
        </w:rPr>
        <w:t>0</w:t>
      </w:r>
      <w:r w:rsidRPr="00424C05">
        <w:rPr>
          <w:rFonts w:ascii="Verdana" w:eastAsia="Verdana" w:hAnsi="Verdana" w:cs="Verdana"/>
          <w:sz w:val="22"/>
          <w:szCs w:val="22"/>
        </w:rPr>
        <w:t xml:space="preserve">0 funcionarios </w:t>
      </w:r>
      <w:r w:rsidR="00C85C7F">
        <w:rPr>
          <w:rFonts w:ascii="Verdana" w:eastAsia="Verdana" w:hAnsi="Verdana" w:cs="Verdana"/>
          <w:sz w:val="22"/>
          <w:szCs w:val="22"/>
        </w:rPr>
        <w:t xml:space="preserve">de los 140 inscritos </w:t>
      </w:r>
      <w:r w:rsidRPr="00424C05">
        <w:rPr>
          <w:rFonts w:ascii="Verdana" w:eastAsia="Verdana" w:hAnsi="Verdana" w:cs="Verdana"/>
          <w:sz w:val="22"/>
          <w:szCs w:val="22"/>
        </w:rPr>
        <w:t>de las empresas, consultores y organismos.</w:t>
      </w:r>
    </w:p>
    <w:p w14:paraId="39F9812F" w14:textId="77777777" w:rsidR="00112C06" w:rsidRPr="00424C05" w:rsidRDefault="00112C06" w:rsidP="00112C06">
      <w:pPr>
        <w:pBdr>
          <w:top w:val="nil"/>
          <w:left w:val="nil"/>
          <w:bottom w:val="nil"/>
          <w:right w:val="nil"/>
          <w:between w:val="nil"/>
        </w:pBdr>
        <w:jc w:val="both"/>
        <w:rPr>
          <w:rFonts w:ascii="Verdana" w:eastAsia="Verdana" w:hAnsi="Verdana" w:cs="Verdana"/>
          <w:sz w:val="22"/>
          <w:szCs w:val="22"/>
        </w:rPr>
      </w:pPr>
    </w:p>
    <w:p w14:paraId="33DDABA9" w14:textId="77777777" w:rsidR="00112C06" w:rsidRPr="00424C05" w:rsidRDefault="00112C06" w:rsidP="00112C06">
      <w:pPr>
        <w:numPr>
          <w:ilvl w:val="0"/>
          <w:numId w:val="7"/>
        </w:numPr>
        <w:pBdr>
          <w:top w:val="nil"/>
          <w:left w:val="nil"/>
          <w:bottom w:val="nil"/>
          <w:right w:val="nil"/>
          <w:between w:val="nil"/>
        </w:pBdr>
        <w:jc w:val="both"/>
        <w:rPr>
          <w:rFonts w:ascii="Verdana" w:eastAsia="Verdana" w:hAnsi="Verdana" w:cs="Verdana"/>
          <w:sz w:val="22"/>
          <w:szCs w:val="22"/>
        </w:rPr>
      </w:pPr>
      <w:r w:rsidRPr="00424C05">
        <w:rPr>
          <w:rFonts w:ascii="Verdana" w:eastAsia="Verdana" w:hAnsi="Verdana" w:cs="Verdana"/>
          <w:sz w:val="22"/>
          <w:szCs w:val="22"/>
        </w:rPr>
        <w:t>Las jornadas técnicas del mes son las siguientes:</w:t>
      </w:r>
    </w:p>
    <w:p w14:paraId="5A0F4617" w14:textId="77777777" w:rsidR="00112C06" w:rsidRPr="00424C05" w:rsidRDefault="00112C06" w:rsidP="00112C06">
      <w:pPr>
        <w:pStyle w:val="Prrafodelista"/>
        <w:rPr>
          <w:rFonts w:ascii="Verdana" w:eastAsia="Verdana" w:hAnsi="Verdana" w:cs="Verdana"/>
          <w:sz w:val="22"/>
          <w:szCs w:val="22"/>
        </w:rPr>
      </w:pPr>
    </w:p>
    <w:p w14:paraId="1700B614" w14:textId="77777777" w:rsidR="00112C06" w:rsidRPr="00424C05" w:rsidRDefault="00112C06" w:rsidP="00112C06">
      <w:pPr>
        <w:pStyle w:val="Prrafodelista"/>
        <w:numPr>
          <w:ilvl w:val="0"/>
          <w:numId w:val="8"/>
        </w:numPr>
        <w:pBdr>
          <w:top w:val="nil"/>
          <w:left w:val="nil"/>
          <w:bottom w:val="nil"/>
          <w:right w:val="nil"/>
          <w:between w:val="nil"/>
        </w:pBdr>
        <w:jc w:val="both"/>
        <w:rPr>
          <w:rFonts w:ascii="Verdana" w:eastAsia="Verdana" w:hAnsi="Verdana" w:cs="Verdana"/>
          <w:sz w:val="22"/>
          <w:szCs w:val="22"/>
        </w:rPr>
      </w:pPr>
      <w:r w:rsidRPr="00424C05">
        <w:rPr>
          <w:rFonts w:ascii="Verdana" w:eastAsia="Verdana" w:hAnsi="Verdana" w:cs="Verdana"/>
          <w:sz w:val="22"/>
          <w:szCs w:val="22"/>
        </w:rPr>
        <w:t xml:space="preserve">PLANTAS: </w:t>
      </w:r>
      <w:r w:rsidRPr="00424C05">
        <w:rPr>
          <w:rFonts w:ascii="Verdana" w:eastAsia="Verdana" w:hAnsi="Verdana" w:cs="Verdana"/>
          <w:sz w:val="22"/>
          <w:szCs w:val="22"/>
        </w:rPr>
        <w:tab/>
      </w:r>
      <w:r w:rsidRPr="00424C05">
        <w:rPr>
          <w:rFonts w:ascii="Verdana" w:eastAsia="Verdana" w:hAnsi="Verdana" w:cs="Verdana"/>
          <w:sz w:val="22"/>
          <w:szCs w:val="22"/>
        </w:rPr>
        <w:tab/>
        <w:t>21 de agosto.</w:t>
      </w:r>
    </w:p>
    <w:p w14:paraId="1155C8F4" w14:textId="77777777" w:rsidR="00112C06" w:rsidRPr="00424C05" w:rsidRDefault="00112C06" w:rsidP="00112C06">
      <w:pPr>
        <w:pStyle w:val="Prrafodelista"/>
        <w:numPr>
          <w:ilvl w:val="0"/>
          <w:numId w:val="8"/>
        </w:numPr>
        <w:pBdr>
          <w:top w:val="nil"/>
          <w:left w:val="nil"/>
          <w:bottom w:val="nil"/>
          <w:right w:val="nil"/>
          <w:between w:val="nil"/>
        </w:pBdr>
        <w:jc w:val="both"/>
        <w:rPr>
          <w:rFonts w:ascii="Verdana" w:eastAsia="Verdana" w:hAnsi="Verdana" w:cs="Verdana"/>
          <w:sz w:val="22"/>
          <w:szCs w:val="22"/>
        </w:rPr>
      </w:pPr>
      <w:r w:rsidRPr="00424C05">
        <w:rPr>
          <w:rFonts w:ascii="Verdana" w:eastAsia="Verdana" w:hAnsi="Verdana" w:cs="Verdana"/>
          <w:sz w:val="22"/>
          <w:szCs w:val="22"/>
        </w:rPr>
        <w:t xml:space="preserve">TRANSMISIÓN: </w:t>
      </w:r>
      <w:r w:rsidRPr="00424C05">
        <w:rPr>
          <w:rFonts w:ascii="Verdana" w:eastAsia="Verdana" w:hAnsi="Verdana" w:cs="Verdana"/>
          <w:sz w:val="22"/>
          <w:szCs w:val="22"/>
        </w:rPr>
        <w:tab/>
        <w:t>22 y 23 de agosto.</w:t>
      </w:r>
    </w:p>
    <w:p w14:paraId="230AE826" w14:textId="77777777" w:rsidR="00112C06" w:rsidRPr="00424C05" w:rsidRDefault="00112C06" w:rsidP="00112C06">
      <w:pPr>
        <w:pBdr>
          <w:top w:val="nil"/>
          <w:left w:val="nil"/>
          <w:bottom w:val="nil"/>
          <w:right w:val="nil"/>
          <w:between w:val="nil"/>
        </w:pBdr>
        <w:ind w:left="360"/>
        <w:jc w:val="both"/>
        <w:rPr>
          <w:rFonts w:ascii="Verdana" w:eastAsia="Verdana" w:hAnsi="Verdana" w:cs="Verdana"/>
          <w:sz w:val="22"/>
          <w:szCs w:val="22"/>
        </w:rPr>
      </w:pPr>
    </w:p>
    <w:p w14:paraId="7478B36C" w14:textId="77777777" w:rsidR="00112C06" w:rsidRPr="00424C05" w:rsidRDefault="00112C06" w:rsidP="00112C06">
      <w:pPr>
        <w:pBdr>
          <w:top w:val="nil"/>
          <w:left w:val="nil"/>
          <w:bottom w:val="nil"/>
          <w:right w:val="nil"/>
          <w:between w:val="nil"/>
        </w:pBdr>
        <w:ind w:left="720"/>
        <w:jc w:val="both"/>
        <w:rPr>
          <w:rFonts w:ascii="Verdana" w:eastAsia="Verdana" w:hAnsi="Verdana" w:cs="Verdana"/>
          <w:sz w:val="22"/>
          <w:szCs w:val="22"/>
        </w:rPr>
      </w:pPr>
      <w:r w:rsidRPr="00424C05">
        <w:rPr>
          <w:rFonts w:ascii="Verdana" w:eastAsia="Verdana" w:hAnsi="Verdana" w:cs="Verdana"/>
          <w:sz w:val="22"/>
          <w:szCs w:val="22"/>
        </w:rPr>
        <w:t xml:space="preserve">Las agendas pueden ser consultadas en la página web del Consejo. </w:t>
      </w:r>
    </w:p>
    <w:p w14:paraId="55882A39" w14:textId="77777777" w:rsidR="00112C06" w:rsidRPr="00424C05" w:rsidRDefault="00112C06" w:rsidP="00112C06">
      <w:pPr>
        <w:pBdr>
          <w:top w:val="nil"/>
          <w:left w:val="nil"/>
          <w:bottom w:val="nil"/>
          <w:right w:val="nil"/>
          <w:between w:val="nil"/>
        </w:pBdr>
        <w:ind w:left="720"/>
        <w:jc w:val="both"/>
        <w:rPr>
          <w:rFonts w:ascii="Verdana" w:eastAsia="Verdana" w:hAnsi="Verdana" w:cs="Verdana"/>
          <w:sz w:val="22"/>
          <w:szCs w:val="22"/>
        </w:rPr>
      </w:pPr>
    </w:p>
    <w:p w14:paraId="63C8AD70" w14:textId="77777777" w:rsidR="00112C06" w:rsidRPr="00424C05" w:rsidRDefault="00112C06" w:rsidP="00112C06">
      <w:pPr>
        <w:pStyle w:val="Prrafodelista"/>
        <w:numPr>
          <w:ilvl w:val="0"/>
          <w:numId w:val="7"/>
        </w:numPr>
        <w:pBdr>
          <w:top w:val="nil"/>
          <w:left w:val="nil"/>
          <w:bottom w:val="nil"/>
          <w:right w:val="nil"/>
          <w:between w:val="nil"/>
        </w:pBdr>
        <w:jc w:val="both"/>
        <w:rPr>
          <w:rFonts w:ascii="Verdana" w:eastAsia="Verdana" w:hAnsi="Verdana" w:cs="Verdana"/>
          <w:sz w:val="22"/>
          <w:szCs w:val="22"/>
        </w:rPr>
      </w:pPr>
      <w:r w:rsidRPr="00424C05">
        <w:rPr>
          <w:rFonts w:ascii="Verdana" w:eastAsia="Verdana" w:hAnsi="Verdana" w:cs="Verdana"/>
          <w:sz w:val="22"/>
          <w:szCs w:val="22"/>
        </w:rPr>
        <w:t>Se expidi</w:t>
      </w:r>
      <w:r w:rsidRPr="00424C05">
        <w:rPr>
          <w:rFonts w:ascii="Verdana" w:eastAsia="Verdana" w:hAnsi="Verdana" w:cs="Cambria"/>
          <w:sz w:val="22"/>
          <w:szCs w:val="22"/>
        </w:rPr>
        <w:t>ó</w:t>
      </w:r>
      <w:r w:rsidRPr="00424C05">
        <w:rPr>
          <w:rFonts w:ascii="Verdana" w:eastAsia="Verdana" w:hAnsi="Verdana" w:cs="Verdana"/>
          <w:sz w:val="22"/>
          <w:szCs w:val="22"/>
        </w:rPr>
        <w:t xml:space="preserve"> la</w:t>
      </w:r>
      <w:r w:rsidRPr="00424C05">
        <w:rPr>
          <w:rFonts w:ascii="Verdana" w:hAnsi="Verdana"/>
          <w:sz w:val="22"/>
          <w:szCs w:val="22"/>
          <w:shd w:val="clear" w:color="auto" w:fill="FFFFFF"/>
        </w:rPr>
        <w:t xml:space="preserve"> Circular 35 “Solicitud de informaci</w:t>
      </w:r>
      <w:r w:rsidRPr="00424C05">
        <w:rPr>
          <w:rFonts w:ascii="Verdana" w:hAnsi="Verdana" w:cs="Cambria"/>
          <w:sz w:val="22"/>
          <w:szCs w:val="22"/>
          <w:shd w:val="clear" w:color="auto" w:fill="FFFFFF"/>
        </w:rPr>
        <w:t>ó</w:t>
      </w:r>
      <w:r w:rsidRPr="00424C05">
        <w:rPr>
          <w:rFonts w:ascii="Verdana" w:hAnsi="Verdana"/>
          <w:sz w:val="22"/>
          <w:szCs w:val="22"/>
          <w:shd w:val="clear" w:color="auto" w:fill="FFFFFF"/>
        </w:rPr>
        <w:t>n de la capacidad de corto circuito de las subestaciones del STN y del STR”</w:t>
      </w:r>
      <w:r>
        <w:rPr>
          <w:rFonts w:ascii="Verdana" w:hAnsi="Verdana"/>
          <w:sz w:val="22"/>
          <w:szCs w:val="22"/>
          <w:shd w:val="clear" w:color="auto" w:fill="FFFFFF"/>
        </w:rPr>
        <w:t>. El plazo para el envío de la información vence el 1 de agosto.</w:t>
      </w:r>
    </w:p>
    <w:p w14:paraId="24B28EA3" w14:textId="77777777" w:rsidR="00112C06" w:rsidRPr="00424C05" w:rsidRDefault="00112C06" w:rsidP="00112C06">
      <w:pPr>
        <w:pBdr>
          <w:top w:val="nil"/>
          <w:left w:val="nil"/>
          <w:bottom w:val="nil"/>
          <w:right w:val="nil"/>
          <w:between w:val="nil"/>
        </w:pBdr>
        <w:jc w:val="both"/>
        <w:rPr>
          <w:rFonts w:ascii="Verdana" w:eastAsia="Verdana" w:hAnsi="Verdana" w:cs="Verdana"/>
          <w:sz w:val="22"/>
          <w:szCs w:val="22"/>
        </w:rPr>
      </w:pPr>
    </w:p>
    <w:p w14:paraId="7116BABC" w14:textId="77777777" w:rsidR="00112C06" w:rsidRDefault="00112C06" w:rsidP="00112C06">
      <w:pPr>
        <w:pStyle w:val="Prrafodelista"/>
        <w:numPr>
          <w:ilvl w:val="0"/>
          <w:numId w:val="7"/>
        </w:numPr>
        <w:pBdr>
          <w:top w:val="nil"/>
          <w:left w:val="nil"/>
          <w:bottom w:val="nil"/>
          <w:right w:val="nil"/>
          <w:between w:val="nil"/>
        </w:pBdr>
        <w:jc w:val="both"/>
        <w:rPr>
          <w:rFonts w:ascii="Verdana" w:eastAsia="Verdana" w:hAnsi="Verdana" w:cs="Verdana"/>
          <w:sz w:val="22"/>
          <w:szCs w:val="22"/>
        </w:rPr>
      </w:pPr>
      <w:r w:rsidRPr="00424C05">
        <w:rPr>
          <w:rFonts w:ascii="Verdana" w:eastAsia="Verdana" w:hAnsi="Verdana" w:cs="Verdana"/>
          <w:sz w:val="22"/>
          <w:szCs w:val="22"/>
        </w:rPr>
        <w:t xml:space="preserve">Con el fin de cumplir con las tareas de la </w:t>
      </w:r>
      <w:r>
        <w:rPr>
          <w:rFonts w:ascii="Verdana" w:eastAsia="Verdana" w:hAnsi="Verdana" w:cs="Verdana"/>
          <w:sz w:val="22"/>
          <w:szCs w:val="22"/>
        </w:rPr>
        <w:t>R</w:t>
      </w:r>
      <w:r w:rsidRPr="00424C05">
        <w:rPr>
          <w:rFonts w:ascii="Verdana" w:eastAsia="Verdana" w:hAnsi="Verdana" w:cs="Verdana"/>
          <w:sz w:val="22"/>
          <w:szCs w:val="22"/>
        </w:rPr>
        <w:t>esolución CREG 60</w:t>
      </w:r>
      <w:r>
        <w:rPr>
          <w:rFonts w:ascii="Verdana" w:eastAsia="Verdana" w:hAnsi="Verdana" w:cs="Verdana"/>
          <w:sz w:val="22"/>
          <w:szCs w:val="22"/>
        </w:rPr>
        <w:t xml:space="preserve"> de 2019</w:t>
      </w:r>
      <w:r w:rsidRPr="00424C05">
        <w:rPr>
          <w:rFonts w:ascii="Verdana" w:eastAsia="Verdana" w:hAnsi="Verdana" w:cs="Verdana"/>
          <w:sz w:val="22"/>
          <w:szCs w:val="22"/>
        </w:rPr>
        <w:t>, los Subcomités de Controles, Recursos Energéticos Renovables y Plantas</w:t>
      </w:r>
      <w:r>
        <w:rPr>
          <w:rFonts w:ascii="Verdana" w:eastAsia="Verdana" w:hAnsi="Verdana" w:cs="Verdana"/>
          <w:sz w:val="22"/>
          <w:szCs w:val="22"/>
        </w:rPr>
        <w:t xml:space="preserve"> y </w:t>
      </w:r>
      <w:r w:rsidRPr="00424C05">
        <w:rPr>
          <w:rFonts w:ascii="Verdana" w:eastAsia="Verdana" w:hAnsi="Verdana" w:cs="Verdana"/>
          <w:sz w:val="22"/>
          <w:szCs w:val="22"/>
        </w:rPr>
        <w:t xml:space="preserve">el Comité de </w:t>
      </w:r>
      <w:r>
        <w:rPr>
          <w:rFonts w:ascii="Verdana" w:eastAsia="Verdana" w:hAnsi="Verdana" w:cs="Verdana"/>
          <w:sz w:val="22"/>
          <w:szCs w:val="22"/>
        </w:rPr>
        <w:t>S</w:t>
      </w:r>
      <w:r w:rsidRPr="00424C05">
        <w:rPr>
          <w:rFonts w:ascii="Verdana" w:eastAsia="Verdana" w:hAnsi="Verdana" w:cs="Verdana"/>
          <w:sz w:val="22"/>
          <w:szCs w:val="22"/>
        </w:rPr>
        <w:t xml:space="preserve">upervisión y </w:t>
      </w:r>
      <w:r>
        <w:rPr>
          <w:rFonts w:ascii="Verdana" w:eastAsia="Verdana" w:hAnsi="Verdana" w:cs="Verdana"/>
          <w:sz w:val="22"/>
          <w:szCs w:val="22"/>
        </w:rPr>
        <w:t>C</w:t>
      </w:r>
      <w:r w:rsidRPr="00424C05">
        <w:rPr>
          <w:rFonts w:ascii="Verdana" w:eastAsia="Verdana" w:hAnsi="Verdana" w:cs="Verdana"/>
          <w:sz w:val="22"/>
          <w:szCs w:val="22"/>
        </w:rPr>
        <w:t>iberseguridad programa</w:t>
      </w:r>
      <w:r>
        <w:rPr>
          <w:rFonts w:ascii="Verdana" w:eastAsia="Verdana" w:hAnsi="Verdana" w:cs="Verdana"/>
          <w:sz w:val="22"/>
          <w:szCs w:val="22"/>
        </w:rPr>
        <w:t>ron</w:t>
      </w:r>
      <w:r w:rsidRPr="00424C05">
        <w:rPr>
          <w:rFonts w:ascii="Verdana" w:eastAsia="Verdana" w:hAnsi="Verdana" w:cs="Verdana"/>
          <w:sz w:val="22"/>
          <w:szCs w:val="22"/>
        </w:rPr>
        <w:t xml:space="preserve"> reuniones extraordinarias en estos dos meses, por lo </w:t>
      </w:r>
      <w:r>
        <w:rPr>
          <w:rFonts w:ascii="Verdana" w:eastAsia="Verdana" w:hAnsi="Verdana" w:cs="Verdana"/>
          <w:sz w:val="22"/>
          <w:szCs w:val="22"/>
        </w:rPr>
        <w:t>que</w:t>
      </w:r>
      <w:r w:rsidRPr="00424C05">
        <w:rPr>
          <w:rFonts w:ascii="Verdana" w:eastAsia="Verdana" w:hAnsi="Verdana" w:cs="Verdana"/>
          <w:sz w:val="22"/>
          <w:szCs w:val="22"/>
        </w:rPr>
        <w:t xml:space="preserve"> se solicita tener en cuenta esta dedicación de los funcionarios de las empresas que asisten a estos comités y subcomités. Las tareas</w:t>
      </w:r>
      <w:r>
        <w:rPr>
          <w:rFonts w:ascii="Verdana" w:eastAsia="Verdana" w:hAnsi="Verdana" w:cs="Verdana"/>
          <w:sz w:val="22"/>
          <w:szCs w:val="22"/>
        </w:rPr>
        <w:t xml:space="preserve"> asignadas al CNO</w:t>
      </w:r>
      <w:r w:rsidRPr="00424C05">
        <w:rPr>
          <w:rFonts w:ascii="Verdana" w:eastAsia="Verdana" w:hAnsi="Verdana" w:cs="Verdana"/>
          <w:sz w:val="22"/>
          <w:szCs w:val="22"/>
        </w:rPr>
        <w:t xml:space="preserve"> </w:t>
      </w:r>
      <w:r>
        <w:rPr>
          <w:rFonts w:ascii="Verdana" w:eastAsia="Verdana" w:hAnsi="Verdana" w:cs="Verdana"/>
          <w:sz w:val="22"/>
          <w:szCs w:val="22"/>
        </w:rPr>
        <w:t xml:space="preserve">y los plazos regulatorios </w:t>
      </w:r>
      <w:r w:rsidRPr="00424C05">
        <w:rPr>
          <w:rFonts w:ascii="Verdana" w:eastAsia="Verdana" w:hAnsi="Verdana" w:cs="Verdana"/>
          <w:sz w:val="22"/>
          <w:szCs w:val="22"/>
        </w:rPr>
        <w:t xml:space="preserve">se presentan más adelante. </w:t>
      </w:r>
    </w:p>
    <w:p w14:paraId="1006AEFE" w14:textId="77777777" w:rsidR="00112C06" w:rsidRPr="00F948F3" w:rsidRDefault="00112C06" w:rsidP="00112C06">
      <w:pPr>
        <w:pStyle w:val="Prrafodelista"/>
        <w:rPr>
          <w:rFonts w:ascii="Verdana" w:eastAsia="Verdana" w:hAnsi="Verdana" w:cs="Verdana"/>
          <w:sz w:val="22"/>
          <w:szCs w:val="22"/>
        </w:rPr>
      </w:pPr>
    </w:p>
    <w:p w14:paraId="6B7400F1" w14:textId="77777777" w:rsidR="00112C06" w:rsidRPr="00424C05" w:rsidRDefault="00112C06" w:rsidP="00112C06">
      <w:pPr>
        <w:pStyle w:val="Prrafodelista"/>
        <w:numPr>
          <w:ilvl w:val="0"/>
          <w:numId w:val="7"/>
        </w:numPr>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En el considerando 5 del Acuerdo 1197, p</w:t>
      </w:r>
      <w:r w:rsidRPr="00B555AA">
        <w:rPr>
          <w:rFonts w:ascii="Verdana" w:eastAsia="Verdana" w:hAnsi="Verdana" w:cs="Verdana"/>
          <w:sz w:val="22"/>
          <w:szCs w:val="22"/>
        </w:rPr>
        <w:t>or el cual se apr</w:t>
      </w:r>
      <w:r>
        <w:rPr>
          <w:rFonts w:ascii="Verdana" w:eastAsia="Verdana" w:hAnsi="Verdana" w:cs="Verdana"/>
          <w:sz w:val="22"/>
          <w:szCs w:val="22"/>
        </w:rPr>
        <w:t>obó</w:t>
      </w:r>
      <w:r w:rsidRPr="00B555AA">
        <w:rPr>
          <w:rFonts w:ascii="Verdana" w:eastAsia="Verdana" w:hAnsi="Verdana" w:cs="Verdana"/>
          <w:sz w:val="22"/>
          <w:szCs w:val="22"/>
        </w:rPr>
        <w:t xml:space="preserve"> la incorporación de un cambio en el factor de conversión de la planta de generación Carlos Lleras</w:t>
      </w:r>
      <w:r>
        <w:rPr>
          <w:rFonts w:ascii="Verdana" w:eastAsia="Verdana" w:hAnsi="Verdana" w:cs="Verdana"/>
          <w:sz w:val="22"/>
          <w:szCs w:val="22"/>
        </w:rPr>
        <w:t xml:space="preserve">, se encuentra la mención a los conceptos favorables que el SURER y el Subcomité de Plantas dieron a este cambio </w:t>
      </w:r>
      <w:r w:rsidRPr="00CA70EF">
        <w:rPr>
          <w:rFonts w:ascii="Verdana" w:eastAsia="Verdana" w:hAnsi="Verdana" w:cs="Verdana"/>
          <w:sz w:val="22"/>
          <w:szCs w:val="22"/>
        </w:rPr>
        <w:t>en las reuniones 360 y 291 del 13 y 19 de junio de 2019 respectivamente</w:t>
      </w:r>
      <w:r>
        <w:rPr>
          <w:rFonts w:ascii="Verdana" w:eastAsia="Verdana" w:hAnsi="Verdana" w:cs="Verdana"/>
          <w:sz w:val="22"/>
          <w:szCs w:val="22"/>
        </w:rPr>
        <w:t>. Verificada el acta de reunión 360 del 13 de junio de 2019 del SURER, se encontró que este cambio no se presentó en dicha reunión, sino en la 365 del 11 de julio de 2019, en la que el SURER dio concepto favorable. Por lo anterior, y dado que el Acuerdo cuando fue expedido contaba con el concepto favorable del Subcomité de Plantas, el cual fue ratificado por el SURER en el mes de julio, y que el error se presentó en un considerando del acuerdo y no en la parte resolutiva, se solicita al Consejo dejar constancia de esta circunstancia en el acta de la presente reunión.</w:t>
      </w:r>
    </w:p>
    <w:p w14:paraId="5C550001" w14:textId="77777777" w:rsidR="00112C06" w:rsidRPr="00424C05" w:rsidRDefault="00112C06" w:rsidP="00112C06">
      <w:pPr>
        <w:pStyle w:val="Prrafodelista"/>
        <w:rPr>
          <w:rFonts w:ascii="Verdana" w:eastAsia="Verdana" w:hAnsi="Verdana" w:cs="Verdana"/>
          <w:sz w:val="22"/>
          <w:szCs w:val="22"/>
        </w:rPr>
      </w:pPr>
    </w:p>
    <w:p w14:paraId="43EE1A47" w14:textId="77777777" w:rsidR="00112C06" w:rsidRPr="00424C05" w:rsidRDefault="00112C06" w:rsidP="00112C06">
      <w:pPr>
        <w:jc w:val="both"/>
        <w:rPr>
          <w:rFonts w:ascii="Verdana" w:eastAsia="Verdana" w:hAnsi="Verdana" w:cs="Verdana"/>
          <w:b/>
          <w:sz w:val="22"/>
          <w:szCs w:val="22"/>
          <w:u w:val="single"/>
        </w:rPr>
      </w:pPr>
      <w:r w:rsidRPr="00424C05">
        <w:rPr>
          <w:rFonts w:ascii="Verdana" w:eastAsia="Verdana" w:hAnsi="Verdana" w:cs="Verdana"/>
          <w:b/>
          <w:sz w:val="22"/>
          <w:szCs w:val="22"/>
          <w:u w:val="single"/>
        </w:rPr>
        <w:t>ASPECTOS TÉCNICOS:</w:t>
      </w:r>
    </w:p>
    <w:p w14:paraId="2072EF8F" w14:textId="77777777" w:rsidR="00112C06" w:rsidRPr="00424C05" w:rsidRDefault="00112C06" w:rsidP="00112C06">
      <w:pPr>
        <w:jc w:val="both"/>
        <w:rPr>
          <w:rFonts w:ascii="Verdana" w:hAnsi="Verdana"/>
          <w:sz w:val="22"/>
          <w:szCs w:val="22"/>
        </w:rPr>
      </w:pPr>
    </w:p>
    <w:p w14:paraId="745D0BA6" w14:textId="77777777" w:rsidR="00112C06" w:rsidRPr="00424C05" w:rsidRDefault="00112C06" w:rsidP="00C85C7F">
      <w:pPr>
        <w:pStyle w:val="Prrafodelista"/>
        <w:numPr>
          <w:ilvl w:val="0"/>
          <w:numId w:val="17"/>
        </w:numPr>
        <w:jc w:val="both"/>
        <w:rPr>
          <w:rFonts w:ascii="Verdana" w:hAnsi="Verdana"/>
          <w:bCs/>
          <w:sz w:val="22"/>
          <w:szCs w:val="22"/>
        </w:rPr>
      </w:pPr>
      <w:r w:rsidRPr="00424C05">
        <w:rPr>
          <w:rFonts w:ascii="Verdana" w:hAnsi="Verdana"/>
          <w:bCs/>
          <w:sz w:val="22"/>
          <w:szCs w:val="22"/>
        </w:rPr>
        <w:lastRenderedPageBreak/>
        <w:t xml:space="preserve">El pasado 19 de julio se llevó a cabo una reunión CREG-CNO-CND/XM-UPME para hablar sobre las modificaciones propuestas a las metodologías actuales de evaluación de la confiabilidad en los Sistemas de Transmisión Nacional y Regional (STN-STR), en el marco de la actualización del Código de Redes. A partir de las presentaciones de XM y CNO, esta última adjunta al Acta de la </w:t>
      </w:r>
      <w:r>
        <w:rPr>
          <w:rFonts w:ascii="Verdana" w:hAnsi="Verdana"/>
          <w:bCs/>
          <w:sz w:val="22"/>
          <w:szCs w:val="22"/>
        </w:rPr>
        <w:t xml:space="preserve">presente </w:t>
      </w:r>
      <w:r w:rsidRPr="00424C05">
        <w:rPr>
          <w:rFonts w:ascii="Verdana" w:hAnsi="Verdana"/>
          <w:bCs/>
          <w:sz w:val="22"/>
          <w:szCs w:val="22"/>
        </w:rPr>
        <w:t>reunión, se definieron los siguientes productos a desarrollar por parte de las citadas instituciones:</w:t>
      </w:r>
    </w:p>
    <w:p w14:paraId="3094E32E" w14:textId="77777777" w:rsidR="00112C06" w:rsidRPr="00424C05" w:rsidRDefault="00112C06" w:rsidP="00112C06">
      <w:pPr>
        <w:pStyle w:val="Prrafodelista"/>
        <w:ind w:left="720"/>
        <w:jc w:val="both"/>
        <w:rPr>
          <w:rFonts w:ascii="Verdana" w:hAnsi="Verdana"/>
          <w:bCs/>
          <w:sz w:val="22"/>
          <w:szCs w:val="22"/>
        </w:rPr>
      </w:pPr>
    </w:p>
    <w:p w14:paraId="5ADC298F" w14:textId="77777777" w:rsidR="00112C06" w:rsidRPr="007864B2" w:rsidRDefault="00112C06" w:rsidP="007864B2">
      <w:pPr>
        <w:ind w:left="1080"/>
        <w:jc w:val="center"/>
        <w:rPr>
          <w:rFonts w:ascii="Verdana" w:hAnsi="Verdana"/>
          <w:bCs/>
          <w:sz w:val="22"/>
          <w:szCs w:val="22"/>
        </w:rPr>
      </w:pPr>
      <w:r w:rsidRPr="00424C05">
        <w:rPr>
          <w:noProof/>
        </w:rPr>
        <w:drawing>
          <wp:inline distT="0" distB="0" distL="0" distR="0" wp14:anchorId="367D56B4" wp14:editId="3C6AF4E6">
            <wp:extent cx="5308600" cy="18224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2538" cy="1823802"/>
                    </a:xfrm>
                    <a:prstGeom prst="rect">
                      <a:avLst/>
                    </a:prstGeom>
                  </pic:spPr>
                </pic:pic>
              </a:graphicData>
            </a:graphic>
          </wp:inline>
        </w:drawing>
      </w:r>
    </w:p>
    <w:p w14:paraId="4B334896" w14:textId="77777777" w:rsidR="00112C06" w:rsidRPr="00424C05" w:rsidRDefault="00112C06" w:rsidP="00112C06">
      <w:pPr>
        <w:rPr>
          <w:rFonts w:ascii="Verdana" w:hAnsi="Verdana"/>
          <w:bCs/>
          <w:sz w:val="22"/>
          <w:szCs w:val="22"/>
        </w:rPr>
      </w:pPr>
    </w:p>
    <w:p w14:paraId="09748314"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 xml:space="preserve">El primer producto, que deberá ser entregado por el CNO a la CREG el 2 de agosto de 2019, está asociado a los elementos que deben ser integrados en el Código de Redes para la evaluación de la confiabilidad del STN y STR. </w:t>
      </w:r>
    </w:p>
    <w:p w14:paraId="55D54EE9" w14:textId="77777777" w:rsidR="00112C06" w:rsidRPr="00424C05" w:rsidRDefault="00112C06" w:rsidP="007864B2">
      <w:pPr>
        <w:pStyle w:val="Prrafodelista"/>
        <w:ind w:left="720"/>
        <w:jc w:val="both"/>
        <w:rPr>
          <w:rFonts w:ascii="Verdana" w:hAnsi="Verdana"/>
          <w:bCs/>
          <w:sz w:val="22"/>
          <w:szCs w:val="22"/>
        </w:rPr>
      </w:pPr>
    </w:p>
    <w:p w14:paraId="734126C5"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XM ya envió a la CREG su propuesta de requerimientos mínimos para la incorporación de los Recursos Energéticos Distribuidos-DER en el SIN. Teniendo en cuenta la importancia del tema, el Consejo solicita al CND socializar el documento en los Comités de Distribución y Operación del CNO.</w:t>
      </w:r>
    </w:p>
    <w:p w14:paraId="25794383" w14:textId="77777777" w:rsidR="00112C06" w:rsidRPr="00424C05" w:rsidRDefault="00112C06" w:rsidP="007864B2">
      <w:pPr>
        <w:pStyle w:val="Prrafodelista"/>
        <w:ind w:left="720"/>
        <w:jc w:val="both"/>
        <w:rPr>
          <w:rFonts w:ascii="Verdana" w:hAnsi="Verdana"/>
          <w:bCs/>
          <w:sz w:val="22"/>
          <w:szCs w:val="22"/>
        </w:rPr>
      </w:pPr>
    </w:p>
    <w:p w14:paraId="381FBA74" w14:textId="77777777" w:rsidR="00112C06" w:rsidRPr="00424C05" w:rsidRDefault="00112C06" w:rsidP="00C85C7F">
      <w:pPr>
        <w:pStyle w:val="Prrafodelista"/>
        <w:numPr>
          <w:ilvl w:val="0"/>
          <w:numId w:val="17"/>
        </w:numPr>
        <w:jc w:val="both"/>
        <w:rPr>
          <w:rFonts w:ascii="Verdana" w:hAnsi="Verdana"/>
          <w:bCs/>
          <w:sz w:val="22"/>
          <w:szCs w:val="22"/>
        </w:rPr>
      </w:pPr>
      <w:r w:rsidRPr="00424C05">
        <w:rPr>
          <w:rFonts w:ascii="Verdana" w:hAnsi="Verdana"/>
          <w:bCs/>
          <w:sz w:val="22"/>
          <w:szCs w:val="22"/>
        </w:rPr>
        <w:t>Se envió comunicación a la CREG solicitando su concepto sobre la aplicación de la Resolución CREG 119 de 1998</w:t>
      </w:r>
      <w:r>
        <w:rPr>
          <w:rFonts w:ascii="Verdana" w:hAnsi="Verdana"/>
          <w:bCs/>
          <w:sz w:val="22"/>
          <w:szCs w:val="22"/>
        </w:rPr>
        <w:t xml:space="preserve"> (</w:t>
      </w:r>
      <w:r w:rsidRPr="00424C05">
        <w:rPr>
          <w:rFonts w:ascii="Verdana" w:hAnsi="Verdana"/>
          <w:bCs/>
          <w:sz w:val="22"/>
          <w:szCs w:val="22"/>
        </w:rPr>
        <w:t>Estatuto de Racionamiento</w:t>
      </w:r>
      <w:r>
        <w:rPr>
          <w:rFonts w:ascii="Verdana" w:hAnsi="Verdana"/>
          <w:bCs/>
          <w:sz w:val="22"/>
          <w:szCs w:val="22"/>
        </w:rPr>
        <w:t>)</w:t>
      </w:r>
      <w:r w:rsidRPr="00424C05">
        <w:rPr>
          <w:rFonts w:ascii="Verdana" w:hAnsi="Verdana"/>
          <w:bCs/>
          <w:sz w:val="22"/>
          <w:szCs w:val="22"/>
        </w:rPr>
        <w:t>. Lo anterior</w:t>
      </w:r>
      <w:r>
        <w:rPr>
          <w:rFonts w:ascii="Verdana" w:hAnsi="Verdana"/>
          <w:bCs/>
          <w:sz w:val="22"/>
          <w:szCs w:val="22"/>
        </w:rPr>
        <w:t>,</w:t>
      </w:r>
      <w:r w:rsidRPr="00424C05">
        <w:rPr>
          <w:rFonts w:ascii="Verdana" w:hAnsi="Verdana"/>
          <w:bCs/>
          <w:sz w:val="22"/>
          <w:szCs w:val="22"/>
        </w:rPr>
        <w:t xml:space="preserve"> teniendo en cuenta la programación desde el despacho económico de Demanda No Atendida-DNA en las subáreas Guajira-Cesar-Magdalena (GCM) y Bolívar por agotamiento de la red, y las diferencias de entendimiento del CNO y el CND/XM de</w:t>
      </w:r>
      <w:r>
        <w:rPr>
          <w:rFonts w:ascii="Verdana" w:hAnsi="Verdana"/>
          <w:bCs/>
          <w:sz w:val="22"/>
          <w:szCs w:val="22"/>
        </w:rPr>
        <w:t xml:space="preserve"> </w:t>
      </w:r>
      <w:r w:rsidRPr="00424C05">
        <w:rPr>
          <w:rFonts w:ascii="Verdana" w:hAnsi="Verdana"/>
          <w:bCs/>
          <w:sz w:val="22"/>
          <w:szCs w:val="22"/>
        </w:rPr>
        <w:t>l</w:t>
      </w:r>
      <w:r>
        <w:rPr>
          <w:rFonts w:ascii="Verdana" w:hAnsi="Verdana"/>
          <w:bCs/>
          <w:sz w:val="22"/>
          <w:szCs w:val="22"/>
        </w:rPr>
        <w:t>as causales previstas en el</w:t>
      </w:r>
      <w:r w:rsidRPr="00424C05">
        <w:rPr>
          <w:rFonts w:ascii="Verdana" w:hAnsi="Verdana"/>
          <w:bCs/>
          <w:sz w:val="22"/>
          <w:szCs w:val="22"/>
        </w:rPr>
        <w:t xml:space="preserve"> estatuto. Se espera la respuesta de la Comisión. La comunicación puede ser consultada en la página web del Consejo.  </w:t>
      </w:r>
    </w:p>
    <w:p w14:paraId="3440C105" w14:textId="77777777" w:rsidR="00112C06" w:rsidRPr="00424C05" w:rsidRDefault="00112C06" w:rsidP="00112C06">
      <w:pPr>
        <w:pStyle w:val="Prrafodelista"/>
        <w:ind w:left="720"/>
        <w:jc w:val="both"/>
        <w:rPr>
          <w:rFonts w:ascii="Verdana" w:hAnsi="Verdana"/>
          <w:bCs/>
          <w:sz w:val="22"/>
          <w:szCs w:val="22"/>
        </w:rPr>
      </w:pPr>
    </w:p>
    <w:p w14:paraId="33399E3B" w14:textId="77777777" w:rsidR="00112C06" w:rsidRDefault="00112C06" w:rsidP="00C85C7F">
      <w:pPr>
        <w:pStyle w:val="Prrafodelista"/>
        <w:numPr>
          <w:ilvl w:val="0"/>
          <w:numId w:val="17"/>
        </w:numPr>
        <w:jc w:val="both"/>
        <w:rPr>
          <w:rFonts w:ascii="Verdana" w:hAnsi="Verdana"/>
          <w:bCs/>
          <w:sz w:val="22"/>
          <w:szCs w:val="22"/>
        </w:rPr>
      </w:pPr>
      <w:r w:rsidRPr="00F948F3">
        <w:rPr>
          <w:rFonts w:ascii="Verdana" w:hAnsi="Verdana"/>
          <w:bCs/>
          <w:sz w:val="22"/>
          <w:szCs w:val="22"/>
        </w:rPr>
        <w:t>Teniendo en cuenta i) la situación de las subáreas GCM, Bolívar y Córdoba-Sucre, ii) el riesgo de desatención de demanda que actualmente experimenta el área Caribe cuando está indisponible cualquiera de las líneas a nivel de 500 kV que la interconectan (principalmente el corredor Ocaña-La Loma-Copey) se propone una reunión del CNO-CND/XM-ITCO-TRANSELCA – ELECTRICARIBE – TEBSA – CELSIA – PROELECTRICA – ENEL – GECELCA -URRA - TERMONORTE, de análisis de la condición actual y esperada de esta zona del Sistema Interconectado Nacional-SIN</w:t>
      </w:r>
      <w:r>
        <w:rPr>
          <w:rFonts w:ascii="Verdana" w:hAnsi="Verdana"/>
          <w:bCs/>
          <w:sz w:val="22"/>
          <w:szCs w:val="22"/>
        </w:rPr>
        <w:t>.</w:t>
      </w:r>
    </w:p>
    <w:p w14:paraId="447806DD" w14:textId="77777777" w:rsidR="00112C06" w:rsidRPr="00F948F3" w:rsidRDefault="00112C06" w:rsidP="00112C06">
      <w:pPr>
        <w:pStyle w:val="Prrafodelista"/>
        <w:rPr>
          <w:rFonts w:ascii="Verdana" w:hAnsi="Verdana"/>
          <w:bCs/>
          <w:sz w:val="22"/>
          <w:szCs w:val="22"/>
        </w:rPr>
      </w:pPr>
    </w:p>
    <w:p w14:paraId="4BAC266C" w14:textId="5CF7C359" w:rsidR="00112C06" w:rsidRPr="00F948F3" w:rsidRDefault="00112C06" w:rsidP="00C85C7F">
      <w:pPr>
        <w:ind w:firstLine="80"/>
      </w:pPr>
    </w:p>
    <w:p w14:paraId="264AEAC8" w14:textId="77777777" w:rsidR="00112C06" w:rsidRPr="00424C05" w:rsidRDefault="00112C06" w:rsidP="00C85C7F">
      <w:pPr>
        <w:pStyle w:val="Prrafodelista"/>
        <w:numPr>
          <w:ilvl w:val="0"/>
          <w:numId w:val="17"/>
        </w:numPr>
        <w:jc w:val="both"/>
        <w:rPr>
          <w:rFonts w:ascii="Verdana" w:hAnsi="Verdana"/>
          <w:bCs/>
          <w:sz w:val="22"/>
          <w:szCs w:val="22"/>
        </w:rPr>
      </w:pPr>
      <w:r w:rsidRPr="00424C05">
        <w:rPr>
          <w:rFonts w:ascii="Verdana" w:hAnsi="Verdana"/>
          <w:bCs/>
          <w:sz w:val="22"/>
          <w:szCs w:val="22"/>
        </w:rPr>
        <w:lastRenderedPageBreak/>
        <w:t>En el Subcomité de Análisis y Planeamiento Eléctrico-SAPE se presentó por parte del CND/XM el segundo Informe de Planeamiento Operativo Eléctrico de Mediano plazo-IPOEMP.  A partir de la información presentada vale la pena destacar:</w:t>
      </w:r>
    </w:p>
    <w:p w14:paraId="231DC390" w14:textId="77777777" w:rsidR="00112C06" w:rsidRPr="00424C05" w:rsidRDefault="00112C06" w:rsidP="00112C06">
      <w:pPr>
        <w:pStyle w:val="Prrafodelista"/>
        <w:rPr>
          <w:rFonts w:ascii="Verdana" w:hAnsi="Verdana"/>
          <w:bCs/>
          <w:sz w:val="22"/>
          <w:szCs w:val="22"/>
        </w:rPr>
      </w:pPr>
    </w:p>
    <w:p w14:paraId="47E43B09" w14:textId="77777777" w:rsidR="00112C06" w:rsidRPr="007864B2" w:rsidRDefault="00112C06" w:rsidP="00605D71">
      <w:pPr>
        <w:ind w:left="720"/>
        <w:jc w:val="both"/>
        <w:rPr>
          <w:rFonts w:ascii="Verdana" w:hAnsi="Verdana"/>
          <w:bCs/>
          <w:sz w:val="22"/>
          <w:szCs w:val="22"/>
        </w:rPr>
      </w:pPr>
      <w:r w:rsidRPr="007864B2">
        <w:rPr>
          <w:rFonts w:ascii="Verdana" w:hAnsi="Verdana"/>
          <w:bCs/>
          <w:sz w:val="22"/>
          <w:szCs w:val="22"/>
        </w:rPr>
        <w:t>En el SIN existen 165 restricciones, de las cuales 91 son categorizadas como “cortes” de alerta y 74 como “cortes” de emergencia. Las subáreas más críticas son: Córdoba-Sucre, GCM, Bolívar, Atlántico, Santander y Caquetá.</w:t>
      </w:r>
    </w:p>
    <w:p w14:paraId="19B9AC4D" w14:textId="77777777" w:rsidR="00112C06" w:rsidRPr="00424C05" w:rsidRDefault="00112C06" w:rsidP="00605D71">
      <w:pPr>
        <w:pStyle w:val="Prrafodelista"/>
        <w:ind w:left="1800"/>
        <w:jc w:val="both"/>
        <w:rPr>
          <w:rFonts w:ascii="Verdana" w:hAnsi="Verdana"/>
          <w:bCs/>
          <w:sz w:val="22"/>
          <w:szCs w:val="22"/>
        </w:rPr>
      </w:pPr>
    </w:p>
    <w:p w14:paraId="0313CC42" w14:textId="77777777" w:rsidR="00112C06" w:rsidRPr="007864B2" w:rsidRDefault="00112C06" w:rsidP="00605D71">
      <w:pPr>
        <w:ind w:left="720"/>
        <w:jc w:val="both"/>
        <w:rPr>
          <w:rFonts w:ascii="Verdana" w:hAnsi="Verdana"/>
          <w:bCs/>
          <w:sz w:val="22"/>
          <w:szCs w:val="22"/>
        </w:rPr>
      </w:pPr>
      <w:r w:rsidRPr="007864B2">
        <w:rPr>
          <w:rFonts w:ascii="Verdana" w:hAnsi="Verdana"/>
          <w:bCs/>
          <w:sz w:val="22"/>
          <w:szCs w:val="22"/>
        </w:rPr>
        <w:t>La Demanda No Atendida-DNA en el área Caribe, programada y no programada, se ha incrementado respecto al año anterior. En la subárea Córdoba-Sucre dicho crecimiento ha sido cercano al 300 % y en GCM del orden del 230 %. Esto se debe a la situación actual de la red y la saturación de los límites de importación bajo diferentes condiciones de despacho.</w:t>
      </w:r>
    </w:p>
    <w:p w14:paraId="298FC1FD" w14:textId="77777777" w:rsidR="00112C06" w:rsidRPr="00424C05" w:rsidRDefault="00112C06" w:rsidP="00605D71">
      <w:pPr>
        <w:pStyle w:val="Prrafodelista"/>
        <w:ind w:left="1068"/>
        <w:rPr>
          <w:rFonts w:ascii="Verdana" w:hAnsi="Verdana"/>
          <w:bCs/>
          <w:sz w:val="22"/>
          <w:szCs w:val="22"/>
        </w:rPr>
      </w:pPr>
    </w:p>
    <w:p w14:paraId="0B11E1BB" w14:textId="77777777" w:rsidR="00112C06" w:rsidRPr="007864B2" w:rsidRDefault="00112C06" w:rsidP="00605D71">
      <w:pPr>
        <w:ind w:left="720"/>
        <w:jc w:val="both"/>
        <w:rPr>
          <w:rFonts w:ascii="Verdana" w:hAnsi="Verdana"/>
          <w:bCs/>
          <w:sz w:val="22"/>
          <w:szCs w:val="22"/>
        </w:rPr>
      </w:pPr>
      <w:r w:rsidRPr="007864B2">
        <w:rPr>
          <w:rFonts w:ascii="Verdana" w:hAnsi="Verdana"/>
          <w:bCs/>
          <w:sz w:val="22"/>
          <w:szCs w:val="22"/>
        </w:rPr>
        <w:t>Se analizó el impacto del mantenimiento de las unidades 5, 6, 7 y 8 de la central Chivor, el cual se llevará a cabo entre el 21 de diciembre de 2019 y el 19 de mayo de 2020. Si bien desde el punto de vista de la seguridad del área Oriental dicho mantenimiento implica la pérdida de 4 unidades equivalentes, la probabilidad de contar con 12 unidades, necesarias para atender la demanda máxima de potencia durante este horizonte, es del 100 %. Al margen de lo anterior, esta indisponibilidad de unidades limita el margen operativo para la realización de mantenimientos a nivel de generación y transmisión.</w:t>
      </w:r>
    </w:p>
    <w:p w14:paraId="480D6CBE" w14:textId="77777777" w:rsidR="00112C06" w:rsidRPr="00424C05" w:rsidRDefault="00112C06" w:rsidP="00605D71">
      <w:pPr>
        <w:pStyle w:val="Prrafodelista"/>
        <w:ind w:left="1068"/>
        <w:rPr>
          <w:rFonts w:ascii="Verdana" w:hAnsi="Verdana"/>
          <w:bCs/>
          <w:sz w:val="22"/>
          <w:szCs w:val="22"/>
        </w:rPr>
      </w:pPr>
    </w:p>
    <w:p w14:paraId="46119C80" w14:textId="77777777" w:rsidR="00112C06" w:rsidRPr="007864B2" w:rsidRDefault="00112C06" w:rsidP="00605D71">
      <w:pPr>
        <w:ind w:left="720"/>
        <w:jc w:val="both"/>
        <w:rPr>
          <w:rFonts w:ascii="Verdana" w:hAnsi="Verdana"/>
          <w:bCs/>
          <w:sz w:val="22"/>
          <w:szCs w:val="22"/>
        </w:rPr>
      </w:pPr>
      <w:r w:rsidRPr="007864B2">
        <w:rPr>
          <w:rFonts w:ascii="Verdana" w:hAnsi="Verdana"/>
          <w:bCs/>
          <w:sz w:val="22"/>
          <w:szCs w:val="22"/>
        </w:rPr>
        <w:t xml:space="preserve">Por otro lado, si en el horizonte del mantenimiento de Chivor se aplica la guía de cálculo del caudal ambiental a PAGUA, se perderían 7.6 unidades equivalentes para el control de tensión, incrementándose el riego de desatención de demanda en el área Oriental. Por este motivo es necesario realizar seguimiento a los proyectos Virginia Nueva Esperanza 500 kV y Sogamoso-Norte-Nueva Esperanza 500 kV, los cuales mitigan esta situación.  </w:t>
      </w:r>
    </w:p>
    <w:p w14:paraId="2CADAE6C" w14:textId="77777777" w:rsidR="00112C06" w:rsidRPr="00424C05" w:rsidRDefault="00112C06" w:rsidP="00605D71">
      <w:pPr>
        <w:pStyle w:val="Prrafodelista"/>
        <w:ind w:left="1800"/>
        <w:jc w:val="both"/>
        <w:rPr>
          <w:rFonts w:ascii="Verdana" w:hAnsi="Verdana"/>
          <w:bCs/>
          <w:sz w:val="22"/>
          <w:szCs w:val="22"/>
        </w:rPr>
      </w:pPr>
    </w:p>
    <w:p w14:paraId="1E09297F" w14:textId="77777777" w:rsidR="00112C06" w:rsidRPr="007864B2" w:rsidRDefault="00112C06" w:rsidP="00605D71">
      <w:pPr>
        <w:ind w:left="720"/>
        <w:jc w:val="both"/>
        <w:rPr>
          <w:rFonts w:ascii="Verdana" w:hAnsi="Verdana"/>
          <w:bCs/>
          <w:sz w:val="22"/>
          <w:szCs w:val="22"/>
        </w:rPr>
      </w:pPr>
      <w:r w:rsidRPr="007864B2">
        <w:rPr>
          <w:rFonts w:ascii="Verdana" w:hAnsi="Verdana"/>
          <w:bCs/>
          <w:sz w:val="22"/>
          <w:szCs w:val="22"/>
        </w:rPr>
        <w:t>Con relación al nivel de corto circuito de las subestaciones del STN y STR, las áreas y subáreas más críticas son las siguientes:</w:t>
      </w:r>
    </w:p>
    <w:p w14:paraId="6089B2D2" w14:textId="77777777" w:rsidR="00112C06" w:rsidRPr="00F948F3" w:rsidRDefault="00112C06" w:rsidP="00605D71">
      <w:pPr>
        <w:ind w:left="1440"/>
        <w:jc w:val="both"/>
        <w:rPr>
          <w:rFonts w:ascii="Verdana" w:hAnsi="Verdana"/>
          <w:bCs/>
          <w:sz w:val="22"/>
          <w:szCs w:val="22"/>
        </w:rPr>
      </w:pPr>
    </w:p>
    <w:p w14:paraId="1D9DF949" w14:textId="77777777" w:rsidR="00112C06" w:rsidRPr="007864B2" w:rsidRDefault="00112C06" w:rsidP="00605D71">
      <w:pPr>
        <w:ind w:left="1440"/>
        <w:jc w:val="both"/>
        <w:rPr>
          <w:rFonts w:ascii="Verdana" w:hAnsi="Verdana"/>
          <w:bCs/>
          <w:sz w:val="22"/>
          <w:szCs w:val="22"/>
        </w:rPr>
      </w:pPr>
      <w:r w:rsidRPr="007864B2">
        <w:rPr>
          <w:rFonts w:ascii="Verdana" w:hAnsi="Verdana"/>
          <w:bCs/>
          <w:sz w:val="22"/>
          <w:szCs w:val="22"/>
        </w:rPr>
        <w:t>Oriental-Bogotá.</w:t>
      </w:r>
    </w:p>
    <w:p w14:paraId="50711493" w14:textId="77777777" w:rsidR="00112C06" w:rsidRPr="007864B2" w:rsidRDefault="00112C06" w:rsidP="00605D71">
      <w:pPr>
        <w:ind w:left="1440"/>
        <w:jc w:val="both"/>
        <w:rPr>
          <w:rFonts w:ascii="Verdana" w:hAnsi="Verdana"/>
          <w:bCs/>
          <w:sz w:val="22"/>
          <w:szCs w:val="22"/>
        </w:rPr>
      </w:pPr>
      <w:r w:rsidRPr="007864B2">
        <w:rPr>
          <w:rFonts w:ascii="Verdana" w:hAnsi="Verdana"/>
          <w:bCs/>
          <w:sz w:val="22"/>
          <w:szCs w:val="22"/>
        </w:rPr>
        <w:t>Antioquia.</w:t>
      </w:r>
    </w:p>
    <w:p w14:paraId="1D2F27F1" w14:textId="77777777" w:rsidR="00112C06" w:rsidRPr="007864B2" w:rsidRDefault="00112C06" w:rsidP="00605D71">
      <w:pPr>
        <w:ind w:left="1440"/>
        <w:jc w:val="both"/>
        <w:rPr>
          <w:rFonts w:ascii="Verdana" w:hAnsi="Verdana"/>
          <w:bCs/>
          <w:sz w:val="22"/>
          <w:szCs w:val="22"/>
        </w:rPr>
      </w:pPr>
      <w:r w:rsidRPr="007864B2">
        <w:rPr>
          <w:rFonts w:ascii="Verdana" w:hAnsi="Verdana"/>
          <w:bCs/>
          <w:sz w:val="22"/>
          <w:szCs w:val="22"/>
        </w:rPr>
        <w:t>Atlántico.</w:t>
      </w:r>
    </w:p>
    <w:p w14:paraId="351C088A" w14:textId="77777777" w:rsidR="00112C06" w:rsidRPr="007864B2" w:rsidRDefault="00112C06" w:rsidP="00605D71">
      <w:pPr>
        <w:ind w:left="1440"/>
        <w:jc w:val="both"/>
        <w:rPr>
          <w:rFonts w:ascii="Verdana" w:hAnsi="Verdana"/>
          <w:bCs/>
          <w:sz w:val="22"/>
          <w:szCs w:val="22"/>
        </w:rPr>
      </w:pPr>
      <w:r w:rsidRPr="007864B2">
        <w:rPr>
          <w:rFonts w:ascii="Verdana" w:hAnsi="Verdana"/>
          <w:bCs/>
          <w:sz w:val="22"/>
          <w:szCs w:val="22"/>
        </w:rPr>
        <w:t>Bolívar.</w:t>
      </w:r>
    </w:p>
    <w:p w14:paraId="0F80749F" w14:textId="77777777" w:rsidR="00112C06" w:rsidRPr="00424C05" w:rsidRDefault="00112C06" w:rsidP="00605D71">
      <w:pPr>
        <w:ind w:left="360"/>
        <w:jc w:val="both"/>
        <w:rPr>
          <w:rFonts w:ascii="Verdana" w:hAnsi="Verdana"/>
          <w:bCs/>
          <w:sz w:val="22"/>
          <w:szCs w:val="22"/>
        </w:rPr>
      </w:pPr>
    </w:p>
    <w:p w14:paraId="4E06AD1C" w14:textId="1AF853E0" w:rsidR="00112C06" w:rsidRPr="007864B2" w:rsidRDefault="00112C06" w:rsidP="00605D71">
      <w:pPr>
        <w:ind w:left="720"/>
        <w:jc w:val="both"/>
        <w:rPr>
          <w:rFonts w:ascii="Verdana" w:hAnsi="Verdana"/>
          <w:bCs/>
          <w:sz w:val="22"/>
          <w:szCs w:val="22"/>
        </w:rPr>
      </w:pPr>
      <w:r w:rsidRPr="007864B2">
        <w:rPr>
          <w:rFonts w:ascii="Verdana" w:hAnsi="Verdana"/>
          <w:bCs/>
          <w:sz w:val="22"/>
          <w:szCs w:val="22"/>
        </w:rPr>
        <w:t xml:space="preserve">Es importante mencionar que, en Atlántico, el cambio de la conexión de las unidades de generación de Termobarranquilla directamente a 220 kV, si bien redujo el nivel de corto circuito en la zona, incrementó el flujo de potencia por los transformadores 220/110 kV de las </w:t>
      </w:r>
      <w:r w:rsidR="007864B2" w:rsidRPr="007864B2">
        <w:rPr>
          <w:rFonts w:ascii="Verdana" w:hAnsi="Verdana"/>
          <w:bCs/>
          <w:sz w:val="22"/>
          <w:szCs w:val="22"/>
        </w:rPr>
        <w:t>subestaciones</w:t>
      </w:r>
      <w:r w:rsidRPr="007864B2">
        <w:rPr>
          <w:rFonts w:ascii="Verdana" w:hAnsi="Verdana"/>
          <w:bCs/>
          <w:sz w:val="22"/>
          <w:szCs w:val="22"/>
        </w:rPr>
        <w:t xml:space="preserve"> </w:t>
      </w:r>
      <w:r w:rsidR="007864B2" w:rsidRPr="007864B2">
        <w:rPr>
          <w:rFonts w:ascii="Verdana" w:hAnsi="Verdana"/>
          <w:bCs/>
          <w:sz w:val="22"/>
          <w:szCs w:val="22"/>
        </w:rPr>
        <w:t>TEBSA</w:t>
      </w:r>
      <w:r w:rsidRPr="007864B2">
        <w:rPr>
          <w:rFonts w:ascii="Verdana" w:hAnsi="Verdana"/>
          <w:bCs/>
          <w:sz w:val="22"/>
          <w:szCs w:val="22"/>
        </w:rPr>
        <w:t xml:space="preserve"> y Flores, a pesar del nuevo punto de conexión en Caracolí.</w:t>
      </w:r>
    </w:p>
    <w:p w14:paraId="712BF199" w14:textId="77777777" w:rsidR="00112C06" w:rsidRPr="00424C05" w:rsidRDefault="00112C06" w:rsidP="00605D71">
      <w:pPr>
        <w:pStyle w:val="Prrafodelista"/>
        <w:ind w:left="1800"/>
        <w:jc w:val="both"/>
        <w:rPr>
          <w:rFonts w:ascii="Verdana" w:hAnsi="Verdana"/>
          <w:bCs/>
          <w:sz w:val="22"/>
          <w:szCs w:val="22"/>
        </w:rPr>
      </w:pPr>
    </w:p>
    <w:p w14:paraId="336313CE" w14:textId="77777777" w:rsidR="007864B2" w:rsidRDefault="00112C06" w:rsidP="00605D71">
      <w:pPr>
        <w:ind w:left="720"/>
        <w:jc w:val="both"/>
        <w:rPr>
          <w:rFonts w:ascii="Verdana" w:hAnsi="Verdana"/>
          <w:bCs/>
          <w:sz w:val="22"/>
          <w:szCs w:val="22"/>
        </w:rPr>
      </w:pPr>
      <w:r w:rsidRPr="007864B2">
        <w:rPr>
          <w:rFonts w:ascii="Verdana" w:hAnsi="Verdana"/>
          <w:bCs/>
          <w:sz w:val="22"/>
          <w:szCs w:val="22"/>
        </w:rPr>
        <w:t>Se citará a los Comités de Operación, Transmisión y Distribución y al Subcomité de Protecciones, para presentar nuevamente el IPOEMP.</w:t>
      </w:r>
    </w:p>
    <w:p w14:paraId="3DE06009" w14:textId="7AFB8E23" w:rsidR="00112C06" w:rsidRPr="007864B2" w:rsidRDefault="00112C06" w:rsidP="00605D71">
      <w:pPr>
        <w:ind w:left="720"/>
        <w:jc w:val="both"/>
        <w:rPr>
          <w:rFonts w:ascii="Verdana" w:hAnsi="Verdana"/>
          <w:bCs/>
          <w:sz w:val="22"/>
          <w:szCs w:val="22"/>
        </w:rPr>
      </w:pPr>
      <w:r w:rsidRPr="007864B2">
        <w:rPr>
          <w:rFonts w:ascii="Verdana" w:hAnsi="Verdana"/>
          <w:bCs/>
          <w:sz w:val="22"/>
          <w:szCs w:val="22"/>
        </w:rPr>
        <w:lastRenderedPageBreak/>
        <w:t xml:space="preserve">Finalmente, la CREG solicitó al CND un documento técnico en el que se justifique el cálculo del valor de 15 COL$/Kwh, como la base de las restricciones que actualmente no se pueden mitigar. </w:t>
      </w:r>
    </w:p>
    <w:p w14:paraId="63D11102" w14:textId="280E023A" w:rsidR="00112C06" w:rsidRPr="00424C05" w:rsidRDefault="00112C06" w:rsidP="00C85C7F">
      <w:pPr>
        <w:pStyle w:val="Prrafodelista"/>
        <w:ind w:left="1440" w:firstLine="60"/>
        <w:jc w:val="both"/>
        <w:rPr>
          <w:rFonts w:ascii="Verdana" w:hAnsi="Verdana"/>
          <w:bCs/>
          <w:sz w:val="22"/>
          <w:szCs w:val="22"/>
        </w:rPr>
      </w:pPr>
    </w:p>
    <w:p w14:paraId="66866E76" w14:textId="77777777" w:rsidR="00112C06" w:rsidRPr="00424C05" w:rsidRDefault="00112C06" w:rsidP="00C85C7F">
      <w:pPr>
        <w:pStyle w:val="Prrafodelista"/>
        <w:numPr>
          <w:ilvl w:val="0"/>
          <w:numId w:val="17"/>
        </w:numPr>
        <w:jc w:val="both"/>
        <w:rPr>
          <w:rFonts w:ascii="Verdana" w:hAnsi="Verdana"/>
          <w:bCs/>
          <w:sz w:val="22"/>
          <w:szCs w:val="22"/>
        </w:rPr>
      </w:pPr>
      <w:r w:rsidRPr="00424C05">
        <w:rPr>
          <w:rFonts w:ascii="Verdana" w:hAnsi="Verdana"/>
          <w:bCs/>
          <w:sz w:val="22"/>
          <w:szCs w:val="22"/>
        </w:rPr>
        <w:t xml:space="preserve">En el Comité de Operación el CND/XM presentó un adelanto de las modificaciones al cálculo de los desbalances energéticos, teniendo en cuenta alguna de las recomendaciones del estudio de la Universidad Nacional (restricciones físicas de generación, inclusión de descargas </w:t>
      </w:r>
      <w:bookmarkStart w:id="0" w:name="_GoBack"/>
      <w:bookmarkEnd w:id="0"/>
      <w:r w:rsidRPr="00424C05">
        <w:rPr>
          <w:rFonts w:ascii="Verdana" w:hAnsi="Verdana"/>
          <w:bCs/>
          <w:sz w:val="22"/>
          <w:szCs w:val="22"/>
        </w:rPr>
        <w:t>no turbinadas, y detección y tratamiento de outliers). Si bien los resultados muestran un desbalance promedio mensual de 12.2 GWh/día, considerando información histórica del periodo 2004-2019, el Consejo recomienda a XM presentar y discutir los resultados en los subcomités correspondientes, es decir, Recursos Energéticos Renovables, Plantas y Planeamiento Operativo.</w:t>
      </w:r>
    </w:p>
    <w:p w14:paraId="4E48A4EB" w14:textId="77777777" w:rsidR="00112C06" w:rsidRPr="00424C05" w:rsidRDefault="00112C06" w:rsidP="00112C06">
      <w:pPr>
        <w:pStyle w:val="Prrafodelista"/>
        <w:ind w:left="720"/>
        <w:jc w:val="both"/>
        <w:rPr>
          <w:rFonts w:ascii="Verdana" w:hAnsi="Verdana"/>
          <w:bCs/>
          <w:sz w:val="22"/>
          <w:szCs w:val="22"/>
        </w:rPr>
      </w:pPr>
    </w:p>
    <w:p w14:paraId="53EBB578" w14:textId="77777777" w:rsidR="00112C06" w:rsidRPr="00424C05" w:rsidRDefault="00112C06" w:rsidP="00112C06">
      <w:pPr>
        <w:pStyle w:val="Prrafodelista"/>
        <w:ind w:left="720"/>
        <w:jc w:val="both"/>
        <w:rPr>
          <w:rFonts w:ascii="Verdana" w:hAnsi="Verdana"/>
          <w:bCs/>
          <w:sz w:val="22"/>
          <w:szCs w:val="22"/>
        </w:rPr>
      </w:pPr>
    </w:p>
    <w:p w14:paraId="149D9E3A" w14:textId="77777777" w:rsidR="00112C06" w:rsidRPr="00424C05" w:rsidRDefault="00112C06" w:rsidP="00C85C7F">
      <w:pPr>
        <w:pStyle w:val="Prrafodelista"/>
        <w:numPr>
          <w:ilvl w:val="0"/>
          <w:numId w:val="17"/>
        </w:numPr>
        <w:jc w:val="both"/>
        <w:rPr>
          <w:rFonts w:ascii="Verdana" w:hAnsi="Verdana"/>
          <w:bCs/>
          <w:sz w:val="22"/>
          <w:szCs w:val="22"/>
        </w:rPr>
      </w:pPr>
      <w:r w:rsidRPr="00424C05">
        <w:rPr>
          <w:rFonts w:ascii="Verdana" w:hAnsi="Verdana"/>
          <w:bCs/>
          <w:sz w:val="22"/>
          <w:szCs w:val="22"/>
        </w:rPr>
        <w:t xml:space="preserve">En los </w:t>
      </w:r>
      <w:r>
        <w:rPr>
          <w:rFonts w:ascii="Verdana" w:hAnsi="Verdana"/>
          <w:bCs/>
          <w:sz w:val="22"/>
          <w:szCs w:val="22"/>
        </w:rPr>
        <w:t>S</w:t>
      </w:r>
      <w:r w:rsidRPr="00424C05">
        <w:rPr>
          <w:rFonts w:ascii="Verdana" w:hAnsi="Verdana"/>
          <w:bCs/>
          <w:sz w:val="22"/>
          <w:szCs w:val="22"/>
        </w:rPr>
        <w:t>ubcomités de Recursos Energéticos Renovables y Plantas, la Universidad de los Andes presentó el documento de respuesta a las observaciones de EPM y XM al protocolo propuesto para el cálculo de la Capacidad Efectiva Neta-CEN de las plantas solares fotovoltaicas</w:t>
      </w:r>
      <w:r>
        <w:rPr>
          <w:rFonts w:ascii="Verdana" w:hAnsi="Verdana"/>
          <w:bCs/>
          <w:sz w:val="22"/>
          <w:szCs w:val="22"/>
        </w:rPr>
        <w:t xml:space="preserve"> y se </w:t>
      </w:r>
      <w:r w:rsidRPr="00424C05">
        <w:rPr>
          <w:rFonts w:ascii="Verdana" w:hAnsi="Verdana"/>
          <w:bCs/>
          <w:sz w:val="22"/>
          <w:szCs w:val="22"/>
        </w:rPr>
        <w:t>socializ</w:t>
      </w:r>
      <w:r>
        <w:rPr>
          <w:rFonts w:ascii="Verdana" w:hAnsi="Verdana"/>
          <w:bCs/>
          <w:sz w:val="22"/>
          <w:szCs w:val="22"/>
        </w:rPr>
        <w:t>ó</w:t>
      </w:r>
      <w:r w:rsidRPr="00424C05">
        <w:rPr>
          <w:rFonts w:ascii="Verdana" w:hAnsi="Verdana"/>
          <w:bCs/>
          <w:sz w:val="22"/>
          <w:szCs w:val="22"/>
        </w:rPr>
        <w:t xml:space="preserve"> la versión final de dicho protocolo. Se dio plazo hasta el viernes 02 de agosto para enviar los comentarios finales.</w:t>
      </w:r>
    </w:p>
    <w:p w14:paraId="7DCBE48B" w14:textId="77777777" w:rsidR="00112C06" w:rsidRPr="00424C05" w:rsidRDefault="00112C06" w:rsidP="00112C06">
      <w:pPr>
        <w:pStyle w:val="Prrafodelista"/>
        <w:ind w:left="720"/>
        <w:jc w:val="both"/>
        <w:rPr>
          <w:rFonts w:ascii="Verdana" w:hAnsi="Verdana"/>
          <w:bCs/>
          <w:sz w:val="22"/>
          <w:szCs w:val="22"/>
        </w:rPr>
      </w:pPr>
    </w:p>
    <w:p w14:paraId="120BA1A9" w14:textId="77777777" w:rsidR="00112C06" w:rsidRPr="00424C05" w:rsidRDefault="00112C06" w:rsidP="00C85C7F">
      <w:pPr>
        <w:pStyle w:val="Prrafodelista"/>
        <w:numPr>
          <w:ilvl w:val="0"/>
          <w:numId w:val="17"/>
        </w:numPr>
        <w:jc w:val="both"/>
        <w:rPr>
          <w:rFonts w:ascii="Verdana" w:hAnsi="Verdana"/>
          <w:bCs/>
          <w:sz w:val="22"/>
          <w:szCs w:val="22"/>
        </w:rPr>
      </w:pPr>
      <w:r w:rsidRPr="00424C05">
        <w:rPr>
          <w:rFonts w:ascii="Verdana" w:hAnsi="Verdana"/>
          <w:bCs/>
          <w:sz w:val="22"/>
          <w:szCs w:val="22"/>
        </w:rPr>
        <w:t>La Comisión de Regulación de Energía y Gas-CREG expidió la Resolución 060 de 2019, “</w:t>
      </w:r>
      <w:r>
        <w:rPr>
          <w:rFonts w:ascii="Verdana" w:hAnsi="Verdana"/>
          <w:bCs/>
          <w:sz w:val="22"/>
          <w:szCs w:val="22"/>
        </w:rPr>
        <w:t>P</w:t>
      </w:r>
      <w:r w:rsidRPr="00424C05">
        <w:rPr>
          <w:rFonts w:ascii="Verdana" w:hAnsi="Verdana"/>
          <w:bCs/>
          <w:sz w:val="22"/>
          <w:szCs w:val="22"/>
        </w:rPr>
        <w:t xml:space="preserve">or la cual se hacen modificaciones y adiciones transitorias al Reglamento de Operación para permitir la conexión y operación de plantas solares fotovoltaicas y eólicas en el SIN, y se dictan otras disposiciones”. </w:t>
      </w:r>
      <w:r>
        <w:rPr>
          <w:rFonts w:ascii="Verdana" w:hAnsi="Verdana"/>
          <w:bCs/>
          <w:sz w:val="22"/>
          <w:szCs w:val="22"/>
        </w:rPr>
        <w:t>L</w:t>
      </w:r>
      <w:r w:rsidRPr="00424C05">
        <w:rPr>
          <w:rFonts w:ascii="Verdana" w:hAnsi="Verdana"/>
          <w:bCs/>
          <w:sz w:val="22"/>
          <w:szCs w:val="22"/>
        </w:rPr>
        <w:t xml:space="preserve">as tareas asignadas por parte de la CREG </w:t>
      </w:r>
      <w:r>
        <w:rPr>
          <w:rFonts w:ascii="Verdana" w:hAnsi="Verdana"/>
          <w:bCs/>
          <w:sz w:val="22"/>
          <w:szCs w:val="22"/>
        </w:rPr>
        <w:t xml:space="preserve">al CNO </w:t>
      </w:r>
      <w:r w:rsidRPr="00424C05">
        <w:rPr>
          <w:rFonts w:ascii="Verdana" w:hAnsi="Verdana"/>
          <w:bCs/>
          <w:sz w:val="22"/>
          <w:szCs w:val="22"/>
        </w:rPr>
        <w:t>son las siguientes:</w:t>
      </w:r>
    </w:p>
    <w:p w14:paraId="634578EE" w14:textId="77777777" w:rsidR="00112C06" w:rsidRPr="00424C05" w:rsidRDefault="00112C06" w:rsidP="00112C06">
      <w:pPr>
        <w:jc w:val="both"/>
        <w:rPr>
          <w:rFonts w:ascii="Verdana" w:hAnsi="Verdana"/>
          <w:bCs/>
          <w:sz w:val="22"/>
          <w:szCs w:val="22"/>
        </w:rPr>
      </w:pPr>
    </w:p>
    <w:p w14:paraId="7B3D2690" w14:textId="24EEA09A" w:rsidR="00112C06" w:rsidRPr="007864B2" w:rsidRDefault="00112C06" w:rsidP="007864B2">
      <w:pPr>
        <w:pStyle w:val="Prrafodelista"/>
        <w:numPr>
          <w:ilvl w:val="0"/>
          <w:numId w:val="18"/>
        </w:numPr>
        <w:jc w:val="both"/>
        <w:rPr>
          <w:rFonts w:ascii="Verdana" w:hAnsi="Verdana"/>
          <w:bCs/>
          <w:sz w:val="22"/>
          <w:szCs w:val="22"/>
        </w:rPr>
      </w:pPr>
      <w:r w:rsidRPr="007864B2">
        <w:rPr>
          <w:rFonts w:ascii="Verdana" w:hAnsi="Verdana"/>
          <w:bCs/>
          <w:sz w:val="22"/>
          <w:szCs w:val="22"/>
        </w:rPr>
        <w:t>Mediante Acuerdo, definir la metodología para la validación de los modelos de simulación RMS de que trata el artículo 10, “(…) Información para plantas solares fotovoltaicas y eólicas (…)”. Dentro de este Acuerdo, el Consejo también deberá establecer las características y parámetros de la curva que relaciona la velocidad de toma de carga con la potencia de salida. El plazo para realizar esta tarea es de 60 días hábiles, una vez sean definidos los requisitos de los modelos de planta del artículo 5 de la Resolución 060 de 2019: 30 de septiembre de 2019 (</w:t>
      </w:r>
      <w:r w:rsidRPr="007864B2">
        <w:rPr>
          <w:rFonts w:ascii="Verdana" w:hAnsi="Verdana"/>
          <w:bCs/>
          <w:sz w:val="22"/>
          <w:szCs w:val="22"/>
          <w:u w:val="single"/>
        </w:rPr>
        <w:t>responsable: Subcomité de Controles</w:t>
      </w:r>
      <w:r w:rsidRPr="007864B2">
        <w:rPr>
          <w:rFonts w:ascii="Verdana" w:hAnsi="Verdana"/>
          <w:bCs/>
          <w:sz w:val="22"/>
          <w:szCs w:val="22"/>
        </w:rPr>
        <w:t>).</w:t>
      </w:r>
    </w:p>
    <w:p w14:paraId="73FD55ED" w14:textId="77777777" w:rsidR="00112C06" w:rsidRPr="00424C05" w:rsidRDefault="00112C06" w:rsidP="007864B2">
      <w:pPr>
        <w:pStyle w:val="Prrafodelista"/>
        <w:ind w:left="1440"/>
        <w:jc w:val="both"/>
        <w:rPr>
          <w:rFonts w:ascii="Verdana" w:hAnsi="Verdana"/>
          <w:bCs/>
          <w:sz w:val="22"/>
          <w:szCs w:val="22"/>
        </w:rPr>
      </w:pPr>
    </w:p>
    <w:p w14:paraId="58D6496D" w14:textId="7FCFF025" w:rsidR="00112C06" w:rsidRPr="007864B2" w:rsidRDefault="00112C06" w:rsidP="007864B2">
      <w:pPr>
        <w:pStyle w:val="Prrafodelista"/>
        <w:numPr>
          <w:ilvl w:val="0"/>
          <w:numId w:val="18"/>
        </w:numPr>
        <w:jc w:val="both"/>
        <w:rPr>
          <w:rFonts w:ascii="Verdana" w:hAnsi="Verdana"/>
          <w:bCs/>
          <w:sz w:val="22"/>
          <w:szCs w:val="22"/>
        </w:rPr>
      </w:pPr>
      <w:r w:rsidRPr="007864B2">
        <w:rPr>
          <w:rFonts w:ascii="Verdana" w:hAnsi="Verdana"/>
          <w:bCs/>
          <w:sz w:val="22"/>
          <w:szCs w:val="22"/>
        </w:rPr>
        <w:t>Mediante Acuerdo, definir los términos y plazos para la realización de las siguientes pruebas, que deben llevar a cabo las plantas solares fotovoltaicas y eólicas conectadas al STN y STR:</w:t>
      </w:r>
    </w:p>
    <w:p w14:paraId="2FCBBCD4" w14:textId="77777777" w:rsidR="00112C06" w:rsidRPr="00424C05" w:rsidRDefault="00112C06" w:rsidP="007864B2">
      <w:pPr>
        <w:pStyle w:val="Prrafodelista"/>
        <w:rPr>
          <w:rFonts w:ascii="Verdana" w:hAnsi="Verdana"/>
          <w:bCs/>
          <w:sz w:val="22"/>
          <w:szCs w:val="22"/>
        </w:rPr>
      </w:pPr>
    </w:p>
    <w:p w14:paraId="3617EFE0"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Pruebas de la curva de capacidad (curva PQ).</w:t>
      </w:r>
    </w:p>
    <w:p w14:paraId="4F5A3C91"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Pruebas de las características de control de potencia activa/frecuencia (artículo 4 Resolución CREG 023 de 2001).</w:t>
      </w:r>
    </w:p>
    <w:p w14:paraId="53D2587F"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Pruebas de rampa operativa de entrada y salida.</w:t>
      </w:r>
    </w:p>
    <w:p w14:paraId="4799E776"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Pruebas de las características del control de potencia reactiva/tensión.</w:t>
      </w:r>
    </w:p>
    <w:p w14:paraId="76518636"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Pruebas de desempeño de respuesta rápida de frecuencia (plantas eólicas).</w:t>
      </w:r>
    </w:p>
    <w:p w14:paraId="3096B87C"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Pruebas a las características de operación ante depresiones de tensión y sobretensiones (certificados de laboratorio o fábrica de pruebas a las funcionalidades LVHT y HVRT).</w:t>
      </w:r>
    </w:p>
    <w:p w14:paraId="2130320F" w14:textId="7C81EC51" w:rsidR="00112C06" w:rsidRPr="007864B2" w:rsidRDefault="00112C06" w:rsidP="007864B2">
      <w:pPr>
        <w:pStyle w:val="Prrafodelista"/>
        <w:numPr>
          <w:ilvl w:val="0"/>
          <w:numId w:val="18"/>
        </w:numPr>
        <w:jc w:val="both"/>
        <w:rPr>
          <w:rFonts w:ascii="Verdana" w:hAnsi="Verdana"/>
          <w:bCs/>
          <w:sz w:val="22"/>
          <w:szCs w:val="22"/>
        </w:rPr>
      </w:pPr>
      <w:r w:rsidRPr="007864B2">
        <w:rPr>
          <w:rFonts w:ascii="Verdana" w:hAnsi="Verdana"/>
          <w:bCs/>
          <w:sz w:val="22"/>
          <w:szCs w:val="22"/>
        </w:rPr>
        <w:lastRenderedPageBreak/>
        <w:t>Pruebas a los requerimientos de priorización de la inyección rápida de corriente reactiva (certificados de laboratorio o fábrica de pruebas).</w:t>
      </w:r>
    </w:p>
    <w:p w14:paraId="50FD2817" w14:textId="77777777" w:rsidR="00112C06" w:rsidRPr="00424C05" w:rsidRDefault="00112C06" w:rsidP="007864B2">
      <w:pPr>
        <w:pStyle w:val="Prrafodelista"/>
        <w:rPr>
          <w:rFonts w:ascii="Verdana" w:hAnsi="Verdana"/>
          <w:bCs/>
          <w:sz w:val="22"/>
          <w:szCs w:val="22"/>
        </w:rPr>
      </w:pPr>
    </w:p>
    <w:p w14:paraId="1AF7CE81" w14:textId="54629BC5" w:rsidR="00112C06" w:rsidRPr="007864B2" w:rsidRDefault="00112C06" w:rsidP="007864B2">
      <w:pPr>
        <w:ind w:left="720"/>
        <w:jc w:val="both"/>
        <w:rPr>
          <w:rFonts w:ascii="Verdana" w:hAnsi="Verdana"/>
          <w:bCs/>
          <w:sz w:val="22"/>
          <w:szCs w:val="22"/>
        </w:rPr>
      </w:pPr>
      <w:r w:rsidRPr="007864B2">
        <w:rPr>
          <w:rFonts w:ascii="Verdana" w:hAnsi="Verdana"/>
          <w:bCs/>
          <w:sz w:val="22"/>
          <w:szCs w:val="22"/>
        </w:rPr>
        <w:t xml:space="preserve">El plazo para realizar esta tarea es de 60 días hábiles, contados a partir de la entrada en vigencia de la Resolución CREG 060 de 2019: 30 de septiembre de </w:t>
      </w:r>
      <w:r w:rsidR="0071532A" w:rsidRPr="007864B2">
        <w:rPr>
          <w:rFonts w:ascii="Verdana" w:hAnsi="Verdana"/>
          <w:bCs/>
          <w:sz w:val="22"/>
          <w:szCs w:val="22"/>
        </w:rPr>
        <w:t>2019 (</w:t>
      </w:r>
      <w:r w:rsidRPr="007864B2">
        <w:rPr>
          <w:rFonts w:ascii="Verdana" w:hAnsi="Verdana"/>
          <w:bCs/>
          <w:sz w:val="22"/>
          <w:szCs w:val="22"/>
          <w:u w:val="single"/>
        </w:rPr>
        <w:t>responsable: Subcomité de Controles</w:t>
      </w:r>
      <w:r w:rsidRPr="007864B2">
        <w:rPr>
          <w:rFonts w:ascii="Verdana" w:hAnsi="Verdana"/>
          <w:bCs/>
          <w:sz w:val="22"/>
          <w:szCs w:val="22"/>
        </w:rPr>
        <w:t>).</w:t>
      </w:r>
    </w:p>
    <w:p w14:paraId="2FB9DDAA" w14:textId="77777777" w:rsidR="00112C06" w:rsidRPr="00424C05" w:rsidRDefault="00112C06" w:rsidP="007864B2">
      <w:pPr>
        <w:pStyle w:val="Prrafodelista"/>
        <w:rPr>
          <w:rFonts w:ascii="Verdana" w:hAnsi="Verdana"/>
          <w:bCs/>
          <w:sz w:val="22"/>
          <w:szCs w:val="22"/>
        </w:rPr>
      </w:pPr>
    </w:p>
    <w:p w14:paraId="0879A272" w14:textId="184C1C93" w:rsidR="00112C06" w:rsidRPr="007864B2" w:rsidRDefault="00112C06" w:rsidP="007864B2">
      <w:pPr>
        <w:pStyle w:val="Prrafodelista"/>
        <w:numPr>
          <w:ilvl w:val="0"/>
          <w:numId w:val="18"/>
        </w:numPr>
        <w:jc w:val="both"/>
        <w:rPr>
          <w:rFonts w:ascii="Verdana" w:hAnsi="Verdana"/>
          <w:bCs/>
          <w:sz w:val="22"/>
          <w:szCs w:val="22"/>
        </w:rPr>
      </w:pPr>
      <w:r w:rsidRPr="007864B2">
        <w:rPr>
          <w:rFonts w:ascii="Verdana" w:hAnsi="Verdana"/>
          <w:bCs/>
          <w:sz w:val="22"/>
          <w:szCs w:val="22"/>
        </w:rPr>
        <w:t xml:space="preserve">Mediante Acuerdo, definir el protocolo de verificación de calidad, confiabilidad de la medición y reporte (sistema, almacenamiento y resolución) al CND de las variables meteorológicas del numeral 3.3.6 del Anexo CC.6 del Código de Conexión (plantas eólicas y solares fotovoltaicas conectadas al STN y STR), es decir: </w:t>
      </w:r>
    </w:p>
    <w:p w14:paraId="3D59A12B" w14:textId="77777777" w:rsidR="00112C06" w:rsidRPr="00424C05" w:rsidRDefault="00112C06" w:rsidP="007864B2">
      <w:pPr>
        <w:pStyle w:val="Prrafodelista"/>
        <w:rPr>
          <w:rFonts w:ascii="Verdana" w:hAnsi="Verdana"/>
          <w:bCs/>
          <w:sz w:val="22"/>
          <w:szCs w:val="22"/>
        </w:rPr>
      </w:pPr>
    </w:p>
    <w:p w14:paraId="3288B97A"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Velocidad del viento.</w:t>
      </w:r>
    </w:p>
    <w:p w14:paraId="42404268"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Dirección del viento.</w:t>
      </w:r>
    </w:p>
    <w:p w14:paraId="36405564"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Temperatura ambiente.</w:t>
      </w:r>
    </w:p>
    <w:p w14:paraId="5D18AD5A"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Humedad relativa.</w:t>
      </w:r>
    </w:p>
    <w:p w14:paraId="16BF2F3D"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Presión atmosférica.</w:t>
      </w:r>
    </w:p>
    <w:p w14:paraId="3F83ECF6"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Irradiación en el plano del panel fotovoltaico.</w:t>
      </w:r>
    </w:p>
    <w:p w14:paraId="43265CE1"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Temperatura posterior del panel fotovoltaico.</w:t>
      </w:r>
    </w:p>
    <w:p w14:paraId="31C5F077" w14:textId="77777777" w:rsidR="00112C06" w:rsidRPr="007864B2" w:rsidRDefault="00112C06" w:rsidP="007864B2">
      <w:pPr>
        <w:ind w:left="1080"/>
        <w:jc w:val="both"/>
        <w:rPr>
          <w:rFonts w:ascii="Verdana" w:hAnsi="Verdana"/>
          <w:bCs/>
          <w:sz w:val="22"/>
          <w:szCs w:val="22"/>
        </w:rPr>
      </w:pPr>
      <w:r w:rsidRPr="007864B2">
        <w:rPr>
          <w:rFonts w:ascii="Verdana" w:hAnsi="Verdana"/>
          <w:bCs/>
          <w:sz w:val="22"/>
          <w:szCs w:val="22"/>
        </w:rPr>
        <w:t>Irradiación global horizontal.</w:t>
      </w:r>
    </w:p>
    <w:p w14:paraId="11A6DF13" w14:textId="77777777" w:rsidR="00112C06" w:rsidRPr="00424C05" w:rsidRDefault="00112C06" w:rsidP="007864B2">
      <w:pPr>
        <w:pStyle w:val="Prrafodelista"/>
        <w:rPr>
          <w:rFonts w:ascii="Verdana" w:hAnsi="Verdana"/>
          <w:bCs/>
          <w:sz w:val="22"/>
          <w:szCs w:val="22"/>
        </w:rPr>
      </w:pPr>
    </w:p>
    <w:p w14:paraId="49C88736" w14:textId="0E255FF6" w:rsidR="00112C06" w:rsidRPr="007864B2" w:rsidRDefault="00112C06" w:rsidP="007864B2">
      <w:pPr>
        <w:ind w:left="720"/>
        <w:jc w:val="both"/>
        <w:rPr>
          <w:rFonts w:ascii="Verdana" w:hAnsi="Verdana"/>
          <w:bCs/>
          <w:sz w:val="22"/>
          <w:szCs w:val="22"/>
        </w:rPr>
      </w:pPr>
      <w:r w:rsidRPr="007864B2">
        <w:rPr>
          <w:rFonts w:ascii="Verdana" w:hAnsi="Verdana"/>
          <w:bCs/>
          <w:sz w:val="22"/>
          <w:szCs w:val="22"/>
        </w:rPr>
        <w:t>El plazo para realizar esta tarea es de 60 días hábiles, contados a partir de la entrada en vigencia de la Resolución CREG 060 de 2019: 30 de septiembre de 2019 (</w:t>
      </w:r>
      <w:r w:rsidRPr="007864B2">
        <w:rPr>
          <w:rFonts w:ascii="Verdana" w:hAnsi="Verdana"/>
          <w:bCs/>
          <w:sz w:val="22"/>
          <w:szCs w:val="22"/>
          <w:u w:val="single"/>
        </w:rPr>
        <w:t>responsable: Subcomité de Recursos Energéticos Renovables con el apoyo de la Universidad de los Andes</w:t>
      </w:r>
      <w:r w:rsidRPr="007864B2">
        <w:rPr>
          <w:rFonts w:ascii="Verdana" w:hAnsi="Verdana"/>
          <w:bCs/>
          <w:sz w:val="22"/>
          <w:szCs w:val="22"/>
        </w:rPr>
        <w:t>).</w:t>
      </w:r>
    </w:p>
    <w:p w14:paraId="2CF7FC02" w14:textId="77777777" w:rsidR="00112C06" w:rsidRDefault="00112C06" w:rsidP="007864B2">
      <w:pPr>
        <w:jc w:val="both"/>
        <w:rPr>
          <w:rFonts w:ascii="Verdana" w:hAnsi="Verdana"/>
          <w:bCs/>
          <w:sz w:val="22"/>
          <w:szCs w:val="22"/>
        </w:rPr>
      </w:pPr>
    </w:p>
    <w:p w14:paraId="408BA6F4" w14:textId="77777777" w:rsidR="00112C06" w:rsidRPr="007864B2" w:rsidRDefault="00112C06" w:rsidP="007864B2">
      <w:pPr>
        <w:ind w:left="720"/>
        <w:jc w:val="both"/>
        <w:rPr>
          <w:rFonts w:ascii="Verdana" w:hAnsi="Verdana"/>
          <w:bCs/>
          <w:sz w:val="22"/>
          <w:szCs w:val="22"/>
        </w:rPr>
      </w:pPr>
      <w:r w:rsidRPr="007864B2">
        <w:rPr>
          <w:rFonts w:ascii="Verdana" w:hAnsi="Verdana"/>
          <w:bCs/>
          <w:sz w:val="22"/>
          <w:szCs w:val="22"/>
        </w:rPr>
        <w:t xml:space="preserve">Se solicitó a la Universidad de los Andes presentar una oferta para la celebración de un Acuerdo específico que tenga como objeto el desarrollo del protocolo antes mencionado. El valor ofertado es de 55 millones de pesos. Se solicita al Consejo aprobar la celebración del Acuerdo específico 3 y el cobro de una cuota extraordinaria de $ 4.230.770 por integrante.  </w:t>
      </w:r>
    </w:p>
    <w:p w14:paraId="4890AA65" w14:textId="77777777" w:rsidR="00112C06" w:rsidRPr="00424C05" w:rsidRDefault="00112C06" w:rsidP="00112C06">
      <w:pPr>
        <w:pStyle w:val="Prrafodelista"/>
        <w:rPr>
          <w:rFonts w:ascii="Verdana" w:hAnsi="Verdana"/>
          <w:bCs/>
          <w:sz w:val="22"/>
          <w:szCs w:val="22"/>
        </w:rPr>
      </w:pPr>
    </w:p>
    <w:p w14:paraId="70E5B0AB" w14:textId="560B7F18" w:rsidR="00112C06" w:rsidRPr="007864B2" w:rsidRDefault="00112C06" w:rsidP="007864B2">
      <w:pPr>
        <w:pStyle w:val="Prrafodelista"/>
        <w:numPr>
          <w:ilvl w:val="0"/>
          <w:numId w:val="18"/>
        </w:numPr>
        <w:jc w:val="both"/>
        <w:rPr>
          <w:rFonts w:ascii="Verdana" w:hAnsi="Verdana"/>
          <w:bCs/>
          <w:sz w:val="22"/>
          <w:szCs w:val="22"/>
        </w:rPr>
      </w:pPr>
      <w:r w:rsidRPr="007864B2">
        <w:rPr>
          <w:rFonts w:ascii="Verdana" w:hAnsi="Verdana"/>
          <w:bCs/>
          <w:sz w:val="22"/>
          <w:szCs w:val="22"/>
        </w:rPr>
        <w:t xml:space="preserve">Mediante Acuerdo y según estándares internacionales, definir la metodología para el cálculo de la calidad, confiabilidad y disponibilidad de las mediciones eléctricas (análogas y digitales), del numeral 3.3.7 del Anexo CC.6 del Código de Conexión (plantas eólicas y solares fotovoltaicas conectadas al STN y STR). Las variables son: </w:t>
      </w:r>
    </w:p>
    <w:p w14:paraId="36B77101" w14:textId="77777777" w:rsidR="00112C06" w:rsidRPr="00424C05" w:rsidRDefault="00112C06" w:rsidP="00112C06">
      <w:pPr>
        <w:pStyle w:val="Prrafodelista"/>
        <w:rPr>
          <w:rFonts w:ascii="Verdana" w:hAnsi="Verdana"/>
          <w:bCs/>
          <w:sz w:val="22"/>
          <w:szCs w:val="22"/>
        </w:rPr>
      </w:pPr>
    </w:p>
    <w:p w14:paraId="367707F5" w14:textId="77777777" w:rsidR="00112C06" w:rsidRPr="00424C05" w:rsidRDefault="00112C06" w:rsidP="00C85C7F">
      <w:pPr>
        <w:pStyle w:val="Prrafodelista"/>
        <w:numPr>
          <w:ilvl w:val="1"/>
          <w:numId w:val="17"/>
        </w:numPr>
        <w:jc w:val="both"/>
        <w:rPr>
          <w:rFonts w:ascii="Verdana" w:hAnsi="Verdana"/>
          <w:bCs/>
          <w:sz w:val="22"/>
          <w:szCs w:val="22"/>
        </w:rPr>
      </w:pPr>
      <w:r w:rsidRPr="00424C05">
        <w:rPr>
          <w:rFonts w:ascii="Verdana" w:hAnsi="Verdana"/>
          <w:bCs/>
          <w:sz w:val="22"/>
          <w:szCs w:val="22"/>
        </w:rPr>
        <w:t>Valor de potencia activa y reactiva de las plantas generadoras.</w:t>
      </w:r>
    </w:p>
    <w:p w14:paraId="0F791E9E" w14:textId="77777777" w:rsidR="00112C06" w:rsidRPr="00424C05" w:rsidRDefault="00112C06" w:rsidP="00C85C7F">
      <w:pPr>
        <w:pStyle w:val="Prrafodelista"/>
        <w:numPr>
          <w:ilvl w:val="1"/>
          <w:numId w:val="17"/>
        </w:numPr>
        <w:jc w:val="both"/>
        <w:rPr>
          <w:rFonts w:ascii="Verdana" w:hAnsi="Verdana"/>
          <w:bCs/>
          <w:sz w:val="22"/>
          <w:szCs w:val="22"/>
        </w:rPr>
      </w:pPr>
      <w:r w:rsidRPr="00424C05">
        <w:rPr>
          <w:rFonts w:ascii="Verdana" w:hAnsi="Verdana"/>
          <w:bCs/>
          <w:sz w:val="22"/>
          <w:szCs w:val="22"/>
        </w:rPr>
        <w:t>Tensión línea – línea y corriente de fase.</w:t>
      </w:r>
    </w:p>
    <w:p w14:paraId="34985A5B" w14:textId="77777777" w:rsidR="00112C06" w:rsidRPr="00424C05" w:rsidRDefault="00112C06" w:rsidP="00C85C7F">
      <w:pPr>
        <w:pStyle w:val="Prrafodelista"/>
        <w:numPr>
          <w:ilvl w:val="1"/>
          <w:numId w:val="17"/>
        </w:numPr>
        <w:jc w:val="both"/>
        <w:rPr>
          <w:rFonts w:ascii="Verdana" w:hAnsi="Verdana"/>
          <w:bCs/>
          <w:sz w:val="22"/>
          <w:szCs w:val="22"/>
        </w:rPr>
      </w:pPr>
      <w:r w:rsidRPr="00424C05">
        <w:rPr>
          <w:rFonts w:ascii="Verdana" w:hAnsi="Verdana"/>
          <w:bCs/>
          <w:sz w:val="22"/>
          <w:szCs w:val="22"/>
        </w:rPr>
        <w:t>Estado de la función de control de frecuencia.</w:t>
      </w:r>
    </w:p>
    <w:p w14:paraId="53CF2F6C" w14:textId="77777777" w:rsidR="00112C06" w:rsidRPr="00424C05" w:rsidRDefault="00112C06" w:rsidP="00C85C7F">
      <w:pPr>
        <w:pStyle w:val="Prrafodelista"/>
        <w:numPr>
          <w:ilvl w:val="1"/>
          <w:numId w:val="17"/>
        </w:numPr>
        <w:jc w:val="both"/>
        <w:rPr>
          <w:rFonts w:ascii="Verdana" w:hAnsi="Verdana"/>
          <w:bCs/>
          <w:sz w:val="22"/>
          <w:szCs w:val="22"/>
        </w:rPr>
      </w:pPr>
      <w:r w:rsidRPr="00424C05">
        <w:rPr>
          <w:rFonts w:ascii="Verdana" w:hAnsi="Verdana"/>
          <w:bCs/>
          <w:sz w:val="22"/>
          <w:szCs w:val="22"/>
        </w:rPr>
        <w:t>Valor consigna de control de tensión.</w:t>
      </w:r>
    </w:p>
    <w:p w14:paraId="4E5B1E52" w14:textId="77777777" w:rsidR="00112C06" w:rsidRPr="00424C05" w:rsidRDefault="00112C06" w:rsidP="00C85C7F">
      <w:pPr>
        <w:pStyle w:val="Prrafodelista"/>
        <w:numPr>
          <w:ilvl w:val="1"/>
          <w:numId w:val="17"/>
        </w:numPr>
        <w:jc w:val="both"/>
        <w:rPr>
          <w:rFonts w:ascii="Verdana" w:hAnsi="Verdana"/>
          <w:bCs/>
          <w:sz w:val="22"/>
          <w:szCs w:val="22"/>
        </w:rPr>
      </w:pPr>
      <w:r w:rsidRPr="00424C05">
        <w:rPr>
          <w:rFonts w:ascii="Verdana" w:hAnsi="Verdana"/>
          <w:bCs/>
          <w:sz w:val="22"/>
          <w:szCs w:val="22"/>
        </w:rPr>
        <w:t>Valor consigna factor de potencia.</w:t>
      </w:r>
    </w:p>
    <w:p w14:paraId="18A712B2" w14:textId="77777777" w:rsidR="00112C06" w:rsidRPr="00424C05" w:rsidRDefault="00112C06" w:rsidP="00C85C7F">
      <w:pPr>
        <w:pStyle w:val="Prrafodelista"/>
        <w:numPr>
          <w:ilvl w:val="1"/>
          <w:numId w:val="17"/>
        </w:numPr>
        <w:jc w:val="both"/>
        <w:rPr>
          <w:rFonts w:ascii="Verdana" w:hAnsi="Verdana"/>
          <w:bCs/>
          <w:sz w:val="22"/>
          <w:szCs w:val="22"/>
        </w:rPr>
      </w:pPr>
      <w:r w:rsidRPr="00424C05">
        <w:rPr>
          <w:rFonts w:ascii="Verdana" w:hAnsi="Verdana"/>
          <w:bCs/>
          <w:sz w:val="22"/>
          <w:szCs w:val="22"/>
        </w:rPr>
        <w:t>Valor consigna potencia reactiva.</w:t>
      </w:r>
    </w:p>
    <w:p w14:paraId="5C850783" w14:textId="77777777" w:rsidR="00112C06" w:rsidRPr="00424C05" w:rsidRDefault="00112C06" w:rsidP="00C85C7F">
      <w:pPr>
        <w:pStyle w:val="Prrafodelista"/>
        <w:numPr>
          <w:ilvl w:val="1"/>
          <w:numId w:val="17"/>
        </w:numPr>
        <w:jc w:val="both"/>
        <w:rPr>
          <w:rFonts w:ascii="Verdana" w:hAnsi="Verdana"/>
          <w:bCs/>
          <w:sz w:val="22"/>
          <w:szCs w:val="22"/>
        </w:rPr>
      </w:pPr>
      <w:r w:rsidRPr="00424C05">
        <w:rPr>
          <w:rFonts w:ascii="Verdana" w:hAnsi="Verdana"/>
          <w:bCs/>
          <w:sz w:val="22"/>
          <w:szCs w:val="22"/>
        </w:rPr>
        <w:t xml:space="preserve">Modo del control de tensión. </w:t>
      </w:r>
    </w:p>
    <w:p w14:paraId="767E060D" w14:textId="77777777" w:rsidR="00112C06" w:rsidRPr="00424C05" w:rsidRDefault="00112C06" w:rsidP="00C85C7F">
      <w:pPr>
        <w:pStyle w:val="Prrafodelista"/>
        <w:numPr>
          <w:ilvl w:val="1"/>
          <w:numId w:val="17"/>
        </w:numPr>
        <w:jc w:val="both"/>
        <w:rPr>
          <w:rFonts w:ascii="Verdana" w:hAnsi="Verdana"/>
          <w:bCs/>
          <w:sz w:val="22"/>
          <w:szCs w:val="22"/>
        </w:rPr>
      </w:pPr>
      <w:r w:rsidRPr="00424C05">
        <w:rPr>
          <w:rFonts w:ascii="Verdana" w:hAnsi="Verdana"/>
          <w:bCs/>
          <w:sz w:val="22"/>
          <w:szCs w:val="22"/>
        </w:rPr>
        <w:t xml:space="preserve">Modo del control de frecuencia. </w:t>
      </w:r>
    </w:p>
    <w:p w14:paraId="5BBB1C47" w14:textId="77777777" w:rsidR="00112C06" w:rsidRPr="00424C05" w:rsidRDefault="00112C06" w:rsidP="00112C06">
      <w:pPr>
        <w:pStyle w:val="Prrafodelista"/>
        <w:rPr>
          <w:rFonts w:ascii="Verdana" w:hAnsi="Verdana"/>
          <w:bCs/>
          <w:sz w:val="22"/>
          <w:szCs w:val="22"/>
        </w:rPr>
      </w:pPr>
    </w:p>
    <w:p w14:paraId="3438BDDD" w14:textId="07AAE8A3" w:rsidR="00112C06" w:rsidRPr="00424C05" w:rsidRDefault="00112C06" w:rsidP="00C85C7F">
      <w:pPr>
        <w:pStyle w:val="Prrafodelista"/>
        <w:numPr>
          <w:ilvl w:val="2"/>
          <w:numId w:val="17"/>
        </w:numPr>
        <w:jc w:val="both"/>
        <w:rPr>
          <w:rFonts w:ascii="Verdana" w:hAnsi="Verdana"/>
          <w:bCs/>
          <w:sz w:val="22"/>
          <w:szCs w:val="22"/>
        </w:rPr>
      </w:pPr>
      <w:r w:rsidRPr="00424C05">
        <w:rPr>
          <w:rFonts w:ascii="Verdana" w:hAnsi="Verdana"/>
          <w:bCs/>
          <w:sz w:val="22"/>
          <w:szCs w:val="22"/>
        </w:rPr>
        <w:lastRenderedPageBreak/>
        <w:t>El plazo para realizar esta tarea es de 60 días hábiles, contados a partir de la entrada en vigencia de la Resolución CREG 060 de 2019</w:t>
      </w:r>
      <w:r>
        <w:rPr>
          <w:rFonts w:ascii="Verdana" w:hAnsi="Verdana"/>
          <w:bCs/>
          <w:sz w:val="22"/>
          <w:szCs w:val="22"/>
        </w:rPr>
        <w:t xml:space="preserve">: 30 de septiembre de </w:t>
      </w:r>
      <w:r w:rsidR="0071532A">
        <w:rPr>
          <w:rFonts w:ascii="Verdana" w:hAnsi="Verdana"/>
          <w:bCs/>
          <w:sz w:val="22"/>
          <w:szCs w:val="22"/>
        </w:rPr>
        <w:t>2019</w:t>
      </w:r>
      <w:r w:rsidR="0071532A" w:rsidRPr="00424C05">
        <w:rPr>
          <w:rFonts w:ascii="Verdana" w:hAnsi="Verdana"/>
          <w:bCs/>
          <w:sz w:val="22"/>
          <w:szCs w:val="22"/>
        </w:rPr>
        <w:t xml:space="preserve"> (</w:t>
      </w:r>
      <w:r w:rsidRPr="00424C05">
        <w:rPr>
          <w:rFonts w:ascii="Verdana" w:hAnsi="Verdana"/>
          <w:bCs/>
          <w:sz w:val="22"/>
          <w:szCs w:val="22"/>
          <w:u w:val="single"/>
        </w:rPr>
        <w:t>responsable: Comité de Supervisión y Ciberseguridad).</w:t>
      </w:r>
    </w:p>
    <w:p w14:paraId="7FD89A9A" w14:textId="77777777" w:rsidR="00112C06" w:rsidRPr="00424C05" w:rsidRDefault="00112C06" w:rsidP="00112C06">
      <w:pPr>
        <w:pStyle w:val="Prrafodelista"/>
        <w:ind w:left="1440"/>
        <w:jc w:val="both"/>
        <w:rPr>
          <w:rFonts w:ascii="Verdana" w:hAnsi="Verdana"/>
          <w:bCs/>
          <w:sz w:val="22"/>
          <w:szCs w:val="22"/>
        </w:rPr>
      </w:pPr>
    </w:p>
    <w:p w14:paraId="33B0058D" w14:textId="47952AD1" w:rsidR="00112C06" w:rsidRPr="007864B2" w:rsidRDefault="00112C06" w:rsidP="007864B2">
      <w:pPr>
        <w:pStyle w:val="Prrafodelista"/>
        <w:numPr>
          <w:ilvl w:val="0"/>
          <w:numId w:val="18"/>
        </w:numPr>
        <w:jc w:val="both"/>
        <w:rPr>
          <w:rFonts w:ascii="Verdana" w:hAnsi="Verdana"/>
          <w:bCs/>
          <w:sz w:val="22"/>
          <w:szCs w:val="22"/>
        </w:rPr>
      </w:pPr>
      <w:r w:rsidRPr="007864B2">
        <w:rPr>
          <w:rFonts w:ascii="Verdana" w:hAnsi="Verdana"/>
          <w:bCs/>
          <w:sz w:val="22"/>
          <w:szCs w:val="22"/>
        </w:rPr>
        <w:t>Mediante Acuerdo, definir la información, procedimiento de entrada en operación comercial y los parámetros que los generadores eólicos y solares fotovoltaicas conectados al STN y STR, deben cumplir para la entrada en operación comercial de sus plantas (actualización Acuerdo 646). El plazo para realizar esta tarea es de 30 días hábiles, contados a partir de la entrada en vigencia de la Resolución CREG 060 de 2019: 16 de agosto de 2019 (</w:t>
      </w:r>
      <w:r w:rsidRPr="007864B2">
        <w:rPr>
          <w:rFonts w:ascii="Verdana" w:hAnsi="Verdana"/>
          <w:bCs/>
          <w:sz w:val="22"/>
          <w:szCs w:val="22"/>
          <w:u w:val="single"/>
        </w:rPr>
        <w:t>responsable: Grupo de trabajo Acuerdo 646 y Subcomité de Plantas</w:t>
      </w:r>
      <w:r w:rsidRPr="007864B2">
        <w:rPr>
          <w:rFonts w:ascii="Verdana" w:hAnsi="Verdana"/>
          <w:bCs/>
          <w:sz w:val="22"/>
          <w:szCs w:val="22"/>
        </w:rPr>
        <w:t>).</w:t>
      </w:r>
    </w:p>
    <w:p w14:paraId="02D1B297" w14:textId="77777777" w:rsidR="00112C06" w:rsidRPr="00424C05" w:rsidRDefault="00112C06" w:rsidP="00112C06">
      <w:pPr>
        <w:pStyle w:val="Prrafodelista"/>
        <w:ind w:left="720"/>
        <w:jc w:val="both"/>
        <w:rPr>
          <w:rFonts w:ascii="Verdana" w:hAnsi="Verdana"/>
          <w:bCs/>
          <w:sz w:val="22"/>
          <w:szCs w:val="22"/>
        </w:rPr>
      </w:pPr>
    </w:p>
    <w:p w14:paraId="41BCFF75" w14:textId="77777777" w:rsidR="00112C06" w:rsidRPr="00424C05" w:rsidRDefault="00112C06" w:rsidP="00C85C7F">
      <w:pPr>
        <w:pStyle w:val="Prrafodelista"/>
        <w:numPr>
          <w:ilvl w:val="0"/>
          <w:numId w:val="17"/>
        </w:numPr>
        <w:jc w:val="both"/>
        <w:rPr>
          <w:rFonts w:ascii="Verdana" w:hAnsi="Verdana"/>
          <w:bCs/>
          <w:sz w:val="22"/>
          <w:szCs w:val="22"/>
        </w:rPr>
      </w:pPr>
      <w:r w:rsidRPr="00424C05">
        <w:rPr>
          <w:rFonts w:ascii="Verdana" w:hAnsi="Verdana"/>
          <w:bCs/>
          <w:sz w:val="22"/>
          <w:szCs w:val="22"/>
        </w:rPr>
        <w:t xml:space="preserve">En el </w:t>
      </w:r>
      <w:r>
        <w:rPr>
          <w:rFonts w:ascii="Verdana" w:hAnsi="Verdana"/>
          <w:bCs/>
          <w:sz w:val="22"/>
          <w:szCs w:val="22"/>
        </w:rPr>
        <w:t>S</w:t>
      </w:r>
      <w:r w:rsidRPr="00424C05">
        <w:rPr>
          <w:rFonts w:ascii="Verdana" w:hAnsi="Verdana"/>
          <w:bCs/>
          <w:sz w:val="22"/>
          <w:szCs w:val="22"/>
        </w:rPr>
        <w:t xml:space="preserve">ubcomité de Controles se viene construyendo el protocolo para la realización de las pruebas de potencia reactiva de las plantas solares fotovoltaicas y eólicas, teniendo en cuenta la Resolución CREG 060 de 2019. Si bien en dicha norma se establece un periodo transitorio de seis (6) meses para la adecuación de las plantas que ya están en operación comercial, ENEL EMGESA manifiesta que no hay claridad sobre la situación de la planta solar el Paso frente a la citada Resolución. El Consejo recomendó al </w:t>
      </w:r>
      <w:r>
        <w:rPr>
          <w:rFonts w:ascii="Verdana" w:hAnsi="Verdana"/>
          <w:bCs/>
          <w:sz w:val="22"/>
          <w:szCs w:val="22"/>
        </w:rPr>
        <w:t>a</w:t>
      </w:r>
      <w:r w:rsidRPr="00424C05">
        <w:rPr>
          <w:rFonts w:ascii="Verdana" w:hAnsi="Verdana"/>
          <w:bCs/>
          <w:sz w:val="22"/>
          <w:szCs w:val="22"/>
        </w:rPr>
        <w:t>gente elevar consulta a la CREG.</w:t>
      </w:r>
    </w:p>
    <w:p w14:paraId="0AA0F29E" w14:textId="77777777" w:rsidR="00112C06" w:rsidRPr="00424C05" w:rsidRDefault="00112C06" w:rsidP="00112C06">
      <w:pPr>
        <w:jc w:val="both"/>
        <w:rPr>
          <w:rFonts w:ascii="Verdana" w:hAnsi="Verdana"/>
          <w:bCs/>
          <w:sz w:val="22"/>
          <w:szCs w:val="22"/>
        </w:rPr>
      </w:pPr>
    </w:p>
    <w:p w14:paraId="5B8849F9" w14:textId="77777777" w:rsidR="00112C06" w:rsidRPr="00424C05" w:rsidRDefault="00112C06" w:rsidP="00C85C7F">
      <w:pPr>
        <w:pStyle w:val="Prrafodelista"/>
        <w:numPr>
          <w:ilvl w:val="0"/>
          <w:numId w:val="17"/>
        </w:numPr>
        <w:jc w:val="both"/>
        <w:rPr>
          <w:rFonts w:ascii="Verdana" w:hAnsi="Verdana"/>
          <w:bCs/>
          <w:sz w:val="22"/>
          <w:szCs w:val="22"/>
        </w:rPr>
      </w:pPr>
      <w:r w:rsidRPr="00424C05">
        <w:rPr>
          <w:rFonts w:ascii="Verdana" w:hAnsi="Verdana"/>
          <w:bCs/>
          <w:sz w:val="22"/>
          <w:szCs w:val="22"/>
        </w:rPr>
        <w:t xml:space="preserve">En el Comité de Transmisión TRANSELCA expresó su preocupación por una comunicación del CND, </w:t>
      </w:r>
      <w:r>
        <w:rPr>
          <w:rFonts w:ascii="Verdana" w:hAnsi="Verdana"/>
          <w:bCs/>
          <w:sz w:val="22"/>
          <w:szCs w:val="22"/>
        </w:rPr>
        <w:t xml:space="preserve">en el que </w:t>
      </w:r>
      <w:r w:rsidRPr="00424C05">
        <w:rPr>
          <w:rFonts w:ascii="Verdana" w:hAnsi="Verdana"/>
          <w:bCs/>
          <w:sz w:val="22"/>
          <w:szCs w:val="22"/>
        </w:rPr>
        <w:t>est</w:t>
      </w:r>
      <w:r>
        <w:rPr>
          <w:rFonts w:ascii="Verdana" w:hAnsi="Verdana"/>
          <w:bCs/>
          <w:sz w:val="22"/>
          <w:szCs w:val="22"/>
        </w:rPr>
        <w:t>e</w:t>
      </w:r>
      <w:r w:rsidRPr="00424C05">
        <w:rPr>
          <w:rFonts w:ascii="Verdana" w:hAnsi="Verdana"/>
          <w:bCs/>
          <w:sz w:val="22"/>
          <w:szCs w:val="22"/>
        </w:rPr>
        <w:t xml:space="preserve"> lo invita a participar en una capacitación sobre la delegación de funciones para ejercer total o parcialmente las actividades asociadas a la coordinación de la operación del SIN. En este sentido, y teniendo en cuenta las limitaciones manifestadas por algunos transportadores para llevar a cabalidad dichas funciones, se solicit</w:t>
      </w:r>
      <w:r>
        <w:rPr>
          <w:rFonts w:ascii="Verdana" w:hAnsi="Verdana"/>
          <w:bCs/>
          <w:sz w:val="22"/>
          <w:szCs w:val="22"/>
        </w:rPr>
        <w:t>ó</w:t>
      </w:r>
      <w:r w:rsidRPr="00424C05">
        <w:rPr>
          <w:rFonts w:ascii="Verdana" w:hAnsi="Verdana"/>
          <w:bCs/>
          <w:sz w:val="22"/>
          <w:szCs w:val="22"/>
        </w:rPr>
        <w:t xml:space="preserve"> a XM explicar qu</w:t>
      </w:r>
      <w:r>
        <w:rPr>
          <w:rFonts w:ascii="Verdana" w:hAnsi="Verdana"/>
          <w:bCs/>
          <w:sz w:val="22"/>
          <w:szCs w:val="22"/>
        </w:rPr>
        <w:t>é</w:t>
      </w:r>
      <w:r w:rsidRPr="00424C05">
        <w:rPr>
          <w:rFonts w:ascii="Verdana" w:hAnsi="Verdana"/>
          <w:bCs/>
          <w:sz w:val="22"/>
          <w:szCs w:val="22"/>
        </w:rPr>
        <w:t xml:space="preserve"> se espera de estos cursos, más allá de lo establecido en la Resolución CREG 080 de 1999. </w:t>
      </w:r>
    </w:p>
    <w:p w14:paraId="168AC69A" w14:textId="77777777" w:rsidR="00112C06" w:rsidRPr="00424C05" w:rsidRDefault="00112C06" w:rsidP="00112C06">
      <w:pPr>
        <w:pStyle w:val="Prrafodelista"/>
        <w:ind w:left="720"/>
        <w:jc w:val="both"/>
        <w:rPr>
          <w:rFonts w:ascii="Verdana" w:hAnsi="Verdana"/>
          <w:bCs/>
          <w:sz w:val="22"/>
          <w:szCs w:val="22"/>
        </w:rPr>
      </w:pPr>
    </w:p>
    <w:p w14:paraId="64F1C00F" w14:textId="77777777" w:rsidR="00112C06" w:rsidRDefault="00112C06" w:rsidP="00C85C7F">
      <w:pPr>
        <w:pStyle w:val="Prrafodelista"/>
        <w:numPr>
          <w:ilvl w:val="0"/>
          <w:numId w:val="17"/>
        </w:numPr>
        <w:jc w:val="both"/>
        <w:rPr>
          <w:rFonts w:ascii="Verdana" w:hAnsi="Verdana"/>
          <w:bCs/>
          <w:sz w:val="22"/>
          <w:szCs w:val="22"/>
        </w:rPr>
      </w:pPr>
      <w:r w:rsidRPr="00424C05">
        <w:rPr>
          <w:rFonts w:ascii="Verdana" w:hAnsi="Verdana"/>
          <w:bCs/>
          <w:sz w:val="22"/>
          <w:szCs w:val="22"/>
        </w:rPr>
        <w:t xml:space="preserve">Se envió comunicación de solicitud de concepto a la CREG sobre el </w:t>
      </w:r>
      <w:r>
        <w:rPr>
          <w:rFonts w:ascii="Verdana" w:hAnsi="Verdana"/>
          <w:bCs/>
          <w:sz w:val="22"/>
          <w:szCs w:val="22"/>
        </w:rPr>
        <w:t>a</w:t>
      </w:r>
      <w:r w:rsidRPr="00424C05">
        <w:rPr>
          <w:rFonts w:ascii="Verdana" w:hAnsi="Verdana"/>
          <w:bCs/>
          <w:sz w:val="22"/>
          <w:szCs w:val="22"/>
        </w:rPr>
        <w:t xml:space="preserve">lcance de los Acuerdos del CNO, específicamente los relacionados con los requerimientos de protecciones. Como es de conocimiento, el Consejo definió a través del Acuerdo 1071 dichos requerimientos de protección para sistemas de generación con capacidad menor a 5 MW, </w:t>
      </w:r>
      <w:r>
        <w:rPr>
          <w:rFonts w:ascii="Verdana" w:hAnsi="Verdana"/>
          <w:bCs/>
          <w:sz w:val="22"/>
          <w:szCs w:val="22"/>
        </w:rPr>
        <w:t xml:space="preserve">dando cumplimiento a </w:t>
      </w:r>
      <w:r w:rsidRPr="00424C05">
        <w:rPr>
          <w:rFonts w:ascii="Verdana" w:hAnsi="Verdana"/>
          <w:bCs/>
          <w:sz w:val="22"/>
          <w:szCs w:val="22"/>
        </w:rPr>
        <w:t xml:space="preserve">las tareas asignadas por la CREG en </w:t>
      </w:r>
      <w:r>
        <w:rPr>
          <w:rFonts w:ascii="Verdana" w:hAnsi="Verdana"/>
          <w:bCs/>
          <w:sz w:val="22"/>
          <w:szCs w:val="22"/>
        </w:rPr>
        <w:t xml:space="preserve">la </w:t>
      </w:r>
      <w:r w:rsidRPr="00424C05">
        <w:rPr>
          <w:rFonts w:ascii="Verdana" w:hAnsi="Verdana"/>
          <w:bCs/>
          <w:sz w:val="22"/>
          <w:szCs w:val="22"/>
        </w:rPr>
        <w:t>Resolución 030 de 2018. Si bien todos los requisitos allí definidos tienen cobertura hasta el punto de conexión (Resolución CREG 038 de 2014), algunos desarrolladores de proyectos han solicitado al Consejo revisar si los mismos se podrían exigir a nivel de inversores para plantas solares fotovoltaicas. Esto si bien técnicamente es viable, implicaría establecer especificaciones técnicas al interior de los complejos de generación.  La carta enviada puede ser consultada en la página web del CNO.</w:t>
      </w:r>
    </w:p>
    <w:p w14:paraId="2961EF8B" w14:textId="77777777" w:rsidR="00112C06" w:rsidRPr="00D772F6" w:rsidRDefault="00112C06" w:rsidP="00112C06">
      <w:pPr>
        <w:pStyle w:val="Prrafodelista"/>
        <w:rPr>
          <w:rFonts w:ascii="Verdana" w:hAnsi="Verdana"/>
          <w:bCs/>
          <w:sz w:val="22"/>
          <w:szCs w:val="22"/>
        </w:rPr>
      </w:pPr>
    </w:p>
    <w:p w14:paraId="2D2F7725" w14:textId="77777777" w:rsidR="00112C06" w:rsidRPr="00424C05" w:rsidRDefault="00112C06" w:rsidP="00C85C7F">
      <w:pPr>
        <w:pStyle w:val="Prrafodelista"/>
        <w:numPr>
          <w:ilvl w:val="0"/>
          <w:numId w:val="17"/>
        </w:numPr>
        <w:jc w:val="both"/>
        <w:rPr>
          <w:rFonts w:ascii="Verdana" w:hAnsi="Verdana"/>
          <w:bCs/>
          <w:sz w:val="22"/>
          <w:szCs w:val="22"/>
        </w:rPr>
      </w:pPr>
      <w:r>
        <w:rPr>
          <w:rFonts w:ascii="Verdana" w:hAnsi="Verdana"/>
          <w:bCs/>
          <w:sz w:val="22"/>
          <w:szCs w:val="22"/>
        </w:rPr>
        <w:t xml:space="preserve">La CREG envió comunicación al Consejo solicitando su concepto sobre un documento CREG de requerimientos de protección y control, de cara a la actualización del Código de Redes. Se convocará al Subcomité de Protecciones para analizar el documento y enviar sus observaciones antes del 20 de agosto del 2019.  </w:t>
      </w:r>
    </w:p>
    <w:p w14:paraId="10FAA381" w14:textId="77777777" w:rsidR="00112C06" w:rsidRPr="00424C05" w:rsidRDefault="00112C06" w:rsidP="00112C06">
      <w:pPr>
        <w:pStyle w:val="Prrafodelista"/>
        <w:rPr>
          <w:rFonts w:ascii="Verdana" w:hAnsi="Verdana"/>
          <w:bCs/>
          <w:sz w:val="22"/>
          <w:szCs w:val="22"/>
        </w:rPr>
      </w:pPr>
    </w:p>
    <w:p w14:paraId="7A5F5644" w14:textId="77777777" w:rsidR="00112C06" w:rsidRPr="00424C05" w:rsidRDefault="00112C06" w:rsidP="00112C06">
      <w:pPr>
        <w:jc w:val="both"/>
        <w:rPr>
          <w:rFonts w:ascii="Verdana" w:hAnsi="Verdana"/>
          <w:bCs/>
          <w:sz w:val="22"/>
          <w:szCs w:val="22"/>
        </w:rPr>
      </w:pPr>
    </w:p>
    <w:p w14:paraId="4F397D6A" w14:textId="77777777" w:rsidR="007B6024" w:rsidRPr="00112C06" w:rsidRDefault="007B6024" w:rsidP="00112C06">
      <w:pPr>
        <w:rPr>
          <w:rFonts w:eastAsia="Verdana"/>
        </w:rPr>
      </w:pPr>
    </w:p>
    <w:sectPr w:rsidR="007B6024" w:rsidRPr="00112C06">
      <w:headerReference w:type="default" r:id="rId9"/>
      <w:footerReference w:type="default" r:id="rId10"/>
      <w:pgSz w:w="12242" w:h="15842"/>
      <w:pgMar w:top="851"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05137" w14:textId="77777777" w:rsidR="0082756F" w:rsidRDefault="0082756F">
      <w:r>
        <w:separator/>
      </w:r>
    </w:p>
  </w:endnote>
  <w:endnote w:type="continuationSeparator" w:id="0">
    <w:p w14:paraId="3E2F2A22" w14:textId="77777777" w:rsidR="0082756F" w:rsidRDefault="0082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ncizar Sans 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46BC5" w14:textId="77777777" w:rsidR="00E55983" w:rsidRDefault="00E55983">
    <w:pPr>
      <w:pBdr>
        <w:top w:val="nil"/>
        <w:left w:val="nil"/>
        <w:bottom w:val="nil"/>
        <w:right w:val="nil"/>
        <w:between w:val="nil"/>
      </w:pBdr>
      <w:tabs>
        <w:tab w:val="center" w:pos="4252"/>
        <w:tab w:val="right" w:pos="8504"/>
      </w:tabs>
      <w:rPr>
        <w:rFonts w:ascii="Verdana" w:eastAsia="Verdana" w:hAnsi="Verdana" w:cs="Verdana"/>
        <w:color w:val="000000"/>
        <w:sz w:val="22"/>
        <w:szCs w:val="22"/>
      </w:rPr>
    </w:pPr>
  </w:p>
  <w:p w14:paraId="34876705" w14:textId="1217F030" w:rsidR="00E55983" w:rsidRDefault="00723FDC">
    <w:pPr>
      <w:pBdr>
        <w:top w:val="nil"/>
        <w:left w:val="nil"/>
        <w:bottom w:val="nil"/>
        <w:right w:val="nil"/>
        <w:between w:val="nil"/>
      </w:pBdr>
      <w:tabs>
        <w:tab w:val="center" w:pos="4252"/>
        <w:tab w:val="right" w:pos="8504"/>
      </w:tabs>
      <w:rPr>
        <w:rFonts w:ascii="Verdana" w:eastAsia="Verdana" w:hAnsi="Verdana" w:cs="Verdana"/>
        <w:color w:val="000000"/>
        <w:sz w:val="22"/>
        <w:szCs w:val="22"/>
      </w:rPr>
    </w:pPr>
    <w:r>
      <w:rPr>
        <w:rFonts w:ascii="Verdana" w:eastAsia="Verdana" w:hAnsi="Verdana" w:cs="Verdana"/>
        <w:color w:val="000000"/>
        <w:sz w:val="22"/>
        <w:szCs w:val="22"/>
      </w:rPr>
      <w:t>Informe Reunión CNO 56</w:t>
    </w:r>
    <w:r w:rsidR="00112C06">
      <w:rPr>
        <w:rFonts w:ascii="Verdana" w:eastAsia="Verdana" w:hAnsi="Verdana" w:cs="Verdana"/>
        <w:color w:val="000000"/>
        <w:sz w:val="22"/>
        <w:szCs w:val="2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16E7F" w14:textId="77777777" w:rsidR="0082756F" w:rsidRDefault="0082756F">
      <w:r>
        <w:separator/>
      </w:r>
    </w:p>
  </w:footnote>
  <w:footnote w:type="continuationSeparator" w:id="0">
    <w:p w14:paraId="78EC4CCD" w14:textId="77777777" w:rsidR="0082756F" w:rsidRDefault="00827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4407" w14:textId="77777777" w:rsidR="00E55983" w:rsidRDefault="00E55983">
    <w:pPr>
      <w:pBdr>
        <w:top w:val="nil"/>
        <w:left w:val="nil"/>
        <w:bottom w:val="nil"/>
        <w:right w:val="nil"/>
        <w:between w:val="nil"/>
      </w:pBdr>
      <w:tabs>
        <w:tab w:val="center" w:pos="4419"/>
        <w:tab w:val="left" w:pos="7180"/>
      </w:tabs>
      <w:rPr>
        <w:b/>
        <w:color w:val="000000"/>
        <w:sz w:val="40"/>
        <w:szCs w:val="40"/>
      </w:rPr>
    </w:pPr>
  </w:p>
  <w:p w14:paraId="35C99D28" w14:textId="77777777" w:rsidR="00E55983" w:rsidRDefault="00723FDC">
    <w:pPr>
      <w:pBdr>
        <w:top w:val="nil"/>
        <w:left w:val="nil"/>
        <w:bottom w:val="nil"/>
        <w:right w:val="nil"/>
        <w:between w:val="nil"/>
      </w:pBdr>
      <w:tabs>
        <w:tab w:val="center" w:pos="4419"/>
        <w:tab w:val="left" w:pos="7180"/>
      </w:tabs>
      <w:rPr>
        <w:b/>
        <w:color w:val="000000"/>
        <w:sz w:val="40"/>
        <w:szCs w:val="40"/>
      </w:rPr>
    </w:pPr>
    <w:r>
      <w:rPr>
        <w:b/>
        <w:color w:val="000000"/>
        <w:sz w:val="40"/>
        <w:szCs w:val="40"/>
      </w:rPr>
      <w:tab/>
    </w:r>
    <w:r>
      <w:rPr>
        <w:b/>
        <w:color w:val="000000"/>
        <w:sz w:val="40"/>
        <w:szCs w:val="40"/>
      </w:rPr>
      <w:tab/>
    </w:r>
    <w:r>
      <w:rPr>
        <w:noProof/>
      </w:rPr>
      <w:drawing>
        <wp:anchor distT="0" distB="0" distL="114300" distR="114300" simplePos="0" relativeHeight="251658240" behindDoc="0" locked="0" layoutInCell="1" hidden="0" allowOverlap="1" wp14:anchorId="3F22EB6C" wp14:editId="39AE63E1">
          <wp:simplePos x="0" y="0"/>
          <wp:positionH relativeFrom="column">
            <wp:posOffset>2011679</wp:posOffset>
          </wp:positionH>
          <wp:positionV relativeFrom="paragraph">
            <wp:posOffset>-445134</wp:posOffset>
          </wp:positionV>
          <wp:extent cx="1827530" cy="695325"/>
          <wp:effectExtent l="0" t="0" r="0" b="0"/>
          <wp:wrapSquare wrapText="bothSides" distT="0" distB="0" distL="114300" distR="114300"/>
          <wp:docPr id="5" name="image1.png" descr="cid:image002.jpg@01D3D593.164EAD00"/>
          <wp:cNvGraphicFramePr/>
          <a:graphic xmlns:a="http://schemas.openxmlformats.org/drawingml/2006/main">
            <a:graphicData uri="http://schemas.openxmlformats.org/drawingml/2006/picture">
              <pic:pic xmlns:pic="http://schemas.openxmlformats.org/drawingml/2006/picture">
                <pic:nvPicPr>
                  <pic:cNvPr id="0" name="image1.png" descr="cid:image002.jpg@01D3D593.164EAD00"/>
                  <pic:cNvPicPr preferRelativeResize="0"/>
                </pic:nvPicPr>
                <pic:blipFill>
                  <a:blip r:embed="rId1"/>
                  <a:srcRect/>
                  <a:stretch>
                    <a:fillRect/>
                  </a:stretch>
                </pic:blipFill>
                <pic:spPr>
                  <a:xfrm>
                    <a:off x="0" y="0"/>
                    <a:ext cx="1827530" cy="695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74B52"/>
    <w:multiLevelType w:val="hybridMultilevel"/>
    <w:tmpl w:val="992A5A1C"/>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10FC36F0"/>
    <w:multiLevelType w:val="hybridMultilevel"/>
    <w:tmpl w:val="81CE3D74"/>
    <w:lvl w:ilvl="0" w:tplc="B8A65B28">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4A6A03"/>
    <w:multiLevelType w:val="hybridMultilevel"/>
    <w:tmpl w:val="90745D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80B47C9"/>
    <w:multiLevelType w:val="hybridMultilevel"/>
    <w:tmpl w:val="4D342F5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1120FF5"/>
    <w:multiLevelType w:val="hybridMultilevel"/>
    <w:tmpl w:val="C51C65C6"/>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462F4353"/>
    <w:multiLevelType w:val="hybridMultilevel"/>
    <w:tmpl w:val="FD681EB0"/>
    <w:lvl w:ilvl="0" w:tplc="8EE69300">
      <w:start w:val="1"/>
      <w:numFmt w:val="bullet"/>
      <w:lvlText w:val=""/>
      <w:lvlJc w:val="left"/>
      <w:pPr>
        <w:tabs>
          <w:tab w:val="num" w:pos="720"/>
        </w:tabs>
        <w:ind w:left="720" w:hanging="360"/>
      </w:pPr>
      <w:rPr>
        <w:rFonts w:ascii="Wingdings" w:hAnsi="Wingdings" w:hint="default"/>
      </w:rPr>
    </w:lvl>
    <w:lvl w:ilvl="1" w:tplc="D892EA8C" w:tentative="1">
      <w:start w:val="1"/>
      <w:numFmt w:val="bullet"/>
      <w:lvlText w:val=""/>
      <w:lvlJc w:val="left"/>
      <w:pPr>
        <w:tabs>
          <w:tab w:val="num" w:pos="1440"/>
        </w:tabs>
        <w:ind w:left="1440" w:hanging="360"/>
      </w:pPr>
      <w:rPr>
        <w:rFonts w:ascii="Wingdings" w:hAnsi="Wingdings" w:hint="default"/>
      </w:rPr>
    </w:lvl>
    <w:lvl w:ilvl="2" w:tplc="A85AF0A2" w:tentative="1">
      <w:start w:val="1"/>
      <w:numFmt w:val="bullet"/>
      <w:lvlText w:val=""/>
      <w:lvlJc w:val="left"/>
      <w:pPr>
        <w:tabs>
          <w:tab w:val="num" w:pos="2160"/>
        </w:tabs>
        <w:ind w:left="2160" w:hanging="360"/>
      </w:pPr>
      <w:rPr>
        <w:rFonts w:ascii="Wingdings" w:hAnsi="Wingdings" w:hint="default"/>
      </w:rPr>
    </w:lvl>
    <w:lvl w:ilvl="3" w:tplc="276CB88A" w:tentative="1">
      <w:start w:val="1"/>
      <w:numFmt w:val="bullet"/>
      <w:lvlText w:val=""/>
      <w:lvlJc w:val="left"/>
      <w:pPr>
        <w:tabs>
          <w:tab w:val="num" w:pos="2880"/>
        </w:tabs>
        <w:ind w:left="2880" w:hanging="360"/>
      </w:pPr>
      <w:rPr>
        <w:rFonts w:ascii="Wingdings" w:hAnsi="Wingdings" w:hint="default"/>
      </w:rPr>
    </w:lvl>
    <w:lvl w:ilvl="4" w:tplc="130884D0" w:tentative="1">
      <w:start w:val="1"/>
      <w:numFmt w:val="bullet"/>
      <w:lvlText w:val=""/>
      <w:lvlJc w:val="left"/>
      <w:pPr>
        <w:tabs>
          <w:tab w:val="num" w:pos="3600"/>
        </w:tabs>
        <w:ind w:left="3600" w:hanging="360"/>
      </w:pPr>
      <w:rPr>
        <w:rFonts w:ascii="Wingdings" w:hAnsi="Wingdings" w:hint="default"/>
      </w:rPr>
    </w:lvl>
    <w:lvl w:ilvl="5" w:tplc="B4F0EEAA" w:tentative="1">
      <w:start w:val="1"/>
      <w:numFmt w:val="bullet"/>
      <w:lvlText w:val=""/>
      <w:lvlJc w:val="left"/>
      <w:pPr>
        <w:tabs>
          <w:tab w:val="num" w:pos="4320"/>
        </w:tabs>
        <w:ind w:left="4320" w:hanging="360"/>
      </w:pPr>
      <w:rPr>
        <w:rFonts w:ascii="Wingdings" w:hAnsi="Wingdings" w:hint="default"/>
      </w:rPr>
    </w:lvl>
    <w:lvl w:ilvl="6" w:tplc="8F4CBE2E" w:tentative="1">
      <w:start w:val="1"/>
      <w:numFmt w:val="bullet"/>
      <w:lvlText w:val=""/>
      <w:lvlJc w:val="left"/>
      <w:pPr>
        <w:tabs>
          <w:tab w:val="num" w:pos="5040"/>
        </w:tabs>
        <w:ind w:left="5040" w:hanging="360"/>
      </w:pPr>
      <w:rPr>
        <w:rFonts w:ascii="Wingdings" w:hAnsi="Wingdings" w:hint="default"/>
      </w:rPr>
    </w:lvl>
    <w:lvl w:ilvl="7" w:tplc="9B00C736" w:tentative="1">
      <w:start w:val="1"/>
      <w:numFmt w:val="bullet"/>
      <w:lvlText w:val=""/>
      <w:lvlJc w:val="left"/>
      <w:pPr>
        <w:tabs>
          <w:tab w:val="num" w:pos="5760"/>
        </w:tabs>
        <w:ind w:left="5760" w:hanging="360"/>
      </w:pPr>
      <w:rPr>
        <w:rFonts w:ascii="Wingdings" w:hAnsi="Wingdings" w:hint="default"/>
      </w:rPr>
    </w:lvl>
    <w:lvl w:ilvl="8" w:tplc="F38873E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DF1F17"/>
    <w:multiLevelType w:val="hybridMultilevel"/>
    <w:tmpl w:val="CF82556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A1542CA"/>
    <w:multiLevelType w:val="hybridMultilevel"/>
    <w:tmpl w:val="1316A75E"/>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4BED0BD5"/>
    <w:multiLevelType w:val="multilevel"/>
    <w:tmpl w:val="5516AA44"/>
    <w:lvl w:ilvl="0">
      <w:start w:val="1"/>
      <w:numFmt w:val="decimal"/>
      <w:pStyle w:val="Nivel1"/>
      <w:lvlText w:val="%1."/>
      <w:lvlJc w:val="left"/>
      <w:pPr>
        <w:ind w:left="360" w:hanging="360"/>
      </w:pPr>
      <w:rPr>
        <w:sz w:val="20"/>
        <w:szCs w:val="20"/>
      </w:rPr>
    </w:lvl>
    <w:lvl w:ilvl="1">
      <w:start w:val="1"/>
      <w:numFmt w:val="lowerLetter"/>
      <w:pStyle w:val="Nivel2"/>
      <w:lvlText w:val="%2."/>
      <w:lvlJc w:val="left"/>
      <w:pPr>
        <w:ind w:left="1080" w:hanging="360"/>
      </w:pPr>
    </w:lvl>
    <w:lvl w:ilvl="2">
      <w:start w:val="1"/>
      <w:numFmt w:val="lowerRoman"/>
      <w:pStyle w:val="Nivel3"/>
      <w:lvlText w:val="%3."/>
      <w:lvlJc w:val="right"/>
      <w:pPr>
        <w:ind w:left="1800" w:hanging="180"/>
      </w:pPr>
    </w:lvl>
    <w:lvl w:ilvl="3">
      <w:start w:val="1"/>
      <w:numFmt w:val="decimal"/>
      <w:pStyle w:val="Nivel4"/>
      <w:lvlText w:val="%4."/>
      <w:lvlJc w:val="left"/>
      <w:pPr>
        <w:ind w:left="2520" w:hanging="360"/>
      </w:pPr>
    </w:lvl>
    <w:lvl w:ilvl="4">
      <w:start w:val="1"/>
      <w:numFmt w:val="lowerLetter"/>
      <w:pStyle w:val="Nivel5"/>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C38563E"/>
    <w:multiLevelType w:val="multilevel"/>
    <w:tmpl w:val="9B020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691F94"/>
    <w:multiLevelType w:val="hybridMultilevel"/>
    <w:tmpl w:val="39304E3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2412363"/>
    <w:multiLevelType w:val="hybridMultilevel"/>
    <w:tmpl w:val="779AEF24"/>
    <w:lvl w:ilvl="0" w:tplc="2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2" w15:restartNumberingAfterBreak="0">
    <w:nsid w:val="64F41F5E"/>
    <w:multiLevelType w:val="hybridMultilevel"/>
    <w:tmpl w:val="5ECE66F4"/>
    <w:lvl w:ilvl="0" w:tplc="37226612">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D5C3668"/>
    <w:multiLevelType w:val="hybridMultilevel"/>
    <w:tmpl w:val="D5000924"/>
    <w:lvl w:ilvl="0" w:tplc="240A0005">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71935471"/>
    <w:multiLevelType w:val="hybridMultilevel"/>
    <w:tmpl w:val="8A347032"/>
    <w:lvl w:ilvl="0" w:tplc="EA3A35DC">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2B147E7"/>
    <w:multiLevelType w:val="hybridMultilevel"/>
    <w:tmpl w:val="7C4CDC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46F250C"/>
    <w:multiLevelType w:val="hybridMultilevel"/>
    <w:tmpl w:val="FB98B5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57E2339"/>
    <w:multiLevelType w:val="hybridMultilevel"/>
    <w:tmpl w:val="F538EF2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16"/>
  </w:num>
  <w:num w:numId="4">
    <w:abstractNumId w:val="3"/>
  </w:num>
  <w:num w:numId="5">
    <w:abstractNumId w:val="10"/>
  </w:num>
  <w:num w:numId="6">
    <w:abstractNumId w:val="15"/>
  </w:num>
  <w:num w:numId="7">
    <w:abstractNumId w:val="1"/>
  </w:num>
  <w:num w:numId="8">
    <w:abstractNumId w:val="7"/>
  </w:num>
  <w:num w:numId="9">
    <w:abstractNumId w:val="0"/>
  </w:num>
  <w:num w:numId="10">
    <w:abstractNumId w:val="2"/>
  </w:num>
  <w:num w:numId="11">
    <w:abstractNumId w:val="4"/>
  </w:num>
  <w:num w:numId="12">
    <w:abstractNumId w:val="17"/>
  </w:num>
  <w:num w:numId="13">
    <w:abstractNumId w:val="11"/>
  </w:num>
  <w:num w:numId="14">
    <w:abstractNumId w:val="5"/>
  </w:num>
  <w:num w:numId="15">
    <w:abstractNumId w:val="12"/>
  </w:num>
  <w:num w:numId="16">
    <w:abstractNumId w:val="13"/>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983"/>
    <w:rsid w:val="000378FB"/>
    <w:rsid w:val="00076B3C"/>
    <w:rsid w:val="0008210D"/>
    <w:rsid w:val="00084002"/>
    <w:rsid w:val="000D2F11"/>
    <w:rsid w:val="001113E5"/>
    <w:rsid w:val="00112C06"/>
    <w:rsid w:val="001208BF"/>
    <w:rsid w:val="001313A0"/>
    <w:rsid w:val="001375A7"/>
    <w:rsid w:val="0014233E"/>
    <w:rsid w:val="00142CB9"/>
    <w:rsid w:val="001B528C"/>
    <w:rsid w:val="001B5848"/>
    <w:rsid w:val="0021167D"/>
    <w:rsid w:val="00213180"/>
    <w:rsid w:val="0022257E"/>
    <w:rsid w:val="0025017B"/>
    <w:rsid w:val="002600C9"/>
    <w:rsid w:val="002703C3"/>
    <w:rsid w:val="002758D8"/>
    <w:rsid w:val="00280F9A"/>
    <w:rsid w:val="002A4CED"/>
    <w:rsid w:val="00327EE9"/>
    <w:rsid w:val="003611EF"/>
    <w:rsid w:val="00366091"/>
    <w:rsid w:val="0039082B"/>
    <w:rsid w:val="003B4ED7"/>
    <w:rsid w:val="00402555"/>
    <w:rsid w:val="0041139D"/>
    <w:rsid w:val="00412969"/>
    <w:rsid w:val="00442F08"/>
    <w:rsid w:val="00473DC0"/>
    <w:rsid w:val="0048478B"/>
    <w:rsid w:val="00500734"/>
    <w:rsid w:val="005452DF"/>
    <w:rsid w:val="005771B0"/>
    <w:rsid w:val="005D48D3"/>
    <w:rsid w:val="005D7C4C"/>
    <w:rsid w:val="00605D71"/>
    <w:rsid w:val="006152C2"/>
    <w:rsid w:val="00631932"/>
    <w:rsid w:val="00643788"/>
    <w:rsid w:val="0067256F"/>
    <w:rsid w:val="006A41B8"/>
    <w:rsid w:val="006B580F"/>
    <w:rsid w:val="006D3835"/>
    <w:rsid w:val="006E2A9D"/>
    <w:rsid w:val="00711503"/>
    <w:rsid w:val="0071532A"/>
    <w:rsid w:val="00723FDC"/>
    <w:rsid w:val="00767508"/>
    <w:rsid w:val="0078212B"/>
    <w:rsid w:val="007864B2"/>
    <w:rsid w:val="00790902"/>
    <w:rsid w:val="007A77AF"/>
    <w:rsid w:val="007B6024"/>
    <w:rsid w:val="00820C6F"/>
    <w:rsid w:val="0082756F"/>
    <w:rsid w:val="008714D9"/>
    <w:rsid w:val="00911F7E"/>
    <w:rsid w:val="009132D1"/>
    <w:rsid w:val="009242BD"/>
    <w:rsid w:val="00962848"/>
    <w:rsid w:val="00963173"/>
    <w:rsid w:val="00964F40"/>
    <w:rsid w:val="00981638"/>
    <w:rsid w:val="00997849"/>
    <w:rsid w:val="009A55CA"/>
    <w:rsid w:val="009B1AB3"/>
    <w:rsid w:val="009C1EA8"/>
    <w:rsid w:val="00A2427B"/>
    <w:rsid w:val="00A42AF2"/>
    <w:rsid w:val="00A748CA"/>
    <w:rsid w:val="00BA5E98"/>
    <w:rsid w:val="00BB23ED"/>
    <w:rsid w:val="00BB4A11"/>
    <w:rsid w:val="00BC0C10"/>
    <w:rsid w:val="00BC4864"/>
    <w:rsid w:val="00BF09DE"/>
    <w:rsid w:val="00BF69B5"/>
    <w:rsid w:val="00C215AD"/>
    <w:rsid w:val="00C33FB4"/>
    <w:rsid w:val="00C35356"/>
    <w:rsid w:val="00C3645A"/>
    <w:rsid w:val="00C41CE0"/>
    <w:rsid w:val="00C4496B"/>
    <w:rsid w:val="00C5159A"/>
    <w:rsid w:val="00C74C51"/>
    <w:rsid w:val="00C81BC0"/>
    <w:rsid w:val="00C859E5"/>
    <w:rsid w:val="00C85C7F"/>
    <w:rsid w:val="00CB3A0E"/>
    <w:rsid w:val="00CC4529"/>
    <w:rsid w:val="00D0320F"/>
    <w:rsid w:val="00D0429B"/>
    <w:rsid w:val="00D05BA1"/>
    <w:rsid w:val="00D13566"/>
    <w:rsid w:val="00D472EA"/>
    <w:rsid w:val="00E03594"/>
    <w:rsid w:val="00E232DB"/>
    <w:rsid w:val="00E41C44"/>
    <w:rsid w:val="00E451B5"/>
    <w:rsid w:val="00E55983"/>
    <w:rsid w:val="00E713B7"/>
    <w:rsid w:val="00E76C9F"/>
    <w:rsid w:val="00E81EE7"/>
    <w:rsid w:val="00EA02F6"/>
    <w:rsid w:val="00EA128F"/>
    <w:rsid w:val="00EB5468"/>
    <w:rsid w:val="00EF045E"/>
    <w:rsid w:val="00F52177"/>
    <w:rsid w:val="00F54A62"/>
    <w:rsid w:val="00FB33B0"/>
    <w:rsid w:val="00FF29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020EA"/>
  <w15:docId w15:val="{70BD8642-0026-4B9D-9A78-3FAAC19D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8DB"/>
    <w:rPr>
      <w:lang w:eastAsia="es-ES"/>
    </w:rPr>
  </w:style>
  <w:style w:type="paragraph" w:styleId="Ttulo1">
    <w:name w:val="heading 1"/>
    <w:aliases w:val="ARTICULO 1º,Negrita"/>
    <w:basedOn w:val="Normal"/>
    <w:next w:val="Normal"/>
    <w:uiPriority w:val="9"/>
    <w:qFormat/>
    <w:rsid w:val="002628DB"/>
    <w:pPr>
      <w:keepNext/>
      <w:jc w:val="both"/>
      <w:outlineLvl w:val="0"/>
    </w:pPr>
    <w:rPr>
      <w:szCs w:val="20"/>
      <w:lang w:val="es-MX"/>
    </w:rPr>
  </w:style>
  <w:style w:type="paragraph" w:styleId="Ttulo2">
    <w:name w:val="heading 2"/>
    <w:basedOn w:val="Normal"/>
    <w:next w:val="Normal"/>
    <w:link w:val="Ttulo2Car"/>
    <w:uiPriority w:val="9"/>
    <w:semiHidden/>
    <w:unhideWhenUsed/>
    <w:qFormat/>
    <w:rsid w:val="001F57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F57DA"/>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rsid w:val="00F15C11"/>
    <w:pPr>
      <w:spacing w:before="240" w:after="60"/>
      <w:outlineLvl w:val="4"/>
    </w:pPr>
    <w:rPr>
      <w:b/>
      <w:bCs/>
      <w:i/>
      <w:iCs/>
      <w:sz w:val="26"/>
      <w:szCs w:val="26"/>
      <w:lang w:val="es-ES"/>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A58F1"/>
    <w:pPr>
      <w:contextualSpacing/>
    </w:pPr>
    <w:rPr>
      <w:rFonts w:asciiTheme="majorHAnsi" w:eastAsiaTheme="majorEastAsia" w:hAnsiTheme="majorHAnsi" w:cstheme="majorBidi"/>
      <w:spacing w:val="-10"/>
      <w:kern w:val="28"/>
      <w:sz w:val="56"/>
      <w:szCs w:val="56"/>
    </w:rPr>
  </w:style>
  <w:style w:type="paragraph" w:customStyle="1" w:styleId="Nivel1">
    <w:name w:val="Nivel1"/>
    <w:basedOn w:val="Normal"/>
    <w:next w:val="Normal"/>
    <w:rsid w:val="002628DB"/>
    <w:pPr>
      <w:numPr>
        <w:numId w:val="1"/>
      </w:numPr>
      <w:spacing w:before="480" w:after="120"/>
      <w:jc w:val="both"/>
      <w:outlineLvl w:val="0"/>
    </w:pPr>
    <w:rPr>
      <w:rFonts w:ascii="Arial" w:hAnsi="Arial"/>
      <w:b/>
      <w:caps/>
      <w:szCs w:val="20"/>
    </w:rPr>
  </w:style>
  <w:style w:type="paragraph" w:customStyle="1" w:styleId="Nivel2">
    <w:name w:val="Nivel2"/>
    <w:basedOn w:val="Normal"/>
    <w:next w:val="Normal"/>
    <w:rsid w:val="002628DB"/>
    <w:pPr>
      <w:numPr>
        <w:ilvl w:val="1"/>
        <w:numId w:val="1"/>
      </w:numPr>
      <w:spacing w:before="360" w:after="120"/>
      <w:jc w:val="both"/>
    </w:pPr>
    <w:rPr>
      <w:rFonts w:ascii="Arial" w:hAnsi="Arial"/>
      <w:caps/>
      <w:szCs w:val="20"/>
    </w:rPr>
  </w:style>
  <w:style w:type="paragraph" w:customStyle="1" w:styleId="Nivel3">
    <w:name w:val="Nivel3"/>
    <w:basedOn w:val="Normal"/>
    <w:next w:val="Normal"/>
    <w:rsid w:val="002628DB"/>
    <w:pPr>
      <w:numPr>
        <w:ilvl w:val="2"/>
        <w:numId w:val="1"/>
      </w:numPr>
      <w:spacing w:before="240" w:after="120"/>
      <w:jc w:val="both"/>
    </w:pPr>
    <w:rPr>
      <w:rFonts w:ascii="Arial" w:hAnsi="Arial"/>
      <w:szCs w:val="20"/>
    </w:rPr>
  </w:style>
  <w:style w:type="paragraph" w:customStyle="1" w:styleId="Nivel4">
    <w:name w:val="Nivel4"/>
    <w:basedOn w:val="Normal"/>
    <w:rsid w:val="002628DB"/>
    <w:pPr>
      <w:numPr>
        <w:ilvl w:val="3"/>
        <w:numId w:val="1"/>
      </w:numPr>
      <w:spacing w:before="120" w:after="120"/>
      <w:jc w:val="both"/>
    </w:pPr>
    <w:rPr>
      <w:rFonts w:ascii="Arial" w:hAnsi="Arial"/>
      <w:szCs w:val="20"/>
    </w:rPr>
  </w:style>
  <w:style w:type="paragraph" w:customStyle="1" w:styleId="Nivel5">
    <w:name w:val="Nivel5"/>
    <w:basedOn w:val="Normal"/>
    <w:rsid w:val="002628DB"/>
    <w:pPr>
      <w:numPr>
        <w:ilvl w:val="4"/>
        <w:numId w:val="1"/>
      </w:numPr>
      <w:spacing w:before="120" w:after="120"/>
      <w:jc w:val="both"/>
    </w:pPr>
    <w:rPr>
      <w:rFonts w:ascii="Arial" w:hAnsi="Arial"/>
      <w:szCs w:val="20"/>
    </w:rPr>
  </w:style>
  <w:style w:type="paragraph" w:styleId="Encabezado">
    <w:name w:val="header"/>
    <w:basedOn w:val="Normal"/>
    <w:link w:val="EncabezadoCar"/>
    <w:uiPriority w:val="99"/>
    <w:rsid w:val="002628DB"/>
    <w:pPr>
      <w:tabs>
        <w:tab w:val="center" w:pos="4252"/>
        <w:tab w:val="right" w:pos="8504"/>
      </w:tabs>
    </w:pPr>
  </w:style>
  <w:style w:type="paragraph" w:styleId="Piedepgina">
    <w:name w:val="footer"/>
    <w:basedOn w:val="Normal"/>
    <w:link w:val="PiedepginaCar"/>
    <w:uiPriority w:val="99"/>
    <w:rsid w:val="002628DB"/>
    <w:pPr>
      <w:tabs>
        <w:tab w:val="center" w:pos="4252"/>
        <w:tab w:val="right" w:pos="8504"/>
      </w:tabs>
    </w:pPr>
  </w:style>
  <w:style w:type="character" w:styleId="Hipervnculo">
    <w:name w:val="Hyperlink"/>
    <w:basedOn w:val="Fuentedeprrafopredeter"/>
    <w:rsid w:val="002628DB"/>
    <w:rPr>
      <w:color w:val="0000FF"/>
      <w:u w:val="single"/>
    </w:rPr>
  </w:style>
  <w:style w:type="character" w:styleId="Nmerodepgina">
    <w:name w:val="page number"/>
    <w:basedOn w:val="Fuentedeprrafopredeter"/>
    <w:rsid w:val="002628DB"/>
  </w:style>
  <w:style w:type="paragraph" w:styleId="Mapadeldocumento">
    <w:name w:val="Document Map"/>
    <w:basedOn w:val="Normal"/>
    <w:semiHidden/>
    <w:rsid w:val="002628DB"/>
    <w:pPr>
      <w:shd w:val="clear" w:color="auto" w:fill="000080"/>
    </w:pPr>
    <w:rPr>
      <w:rFonts w:ascii="Tahoma" w:hAnsi="Tahoma" w:cs="Tahoma"/>
      <w:sz w:val="20"/>
      <w:szCs w:val="20"/>
    </w:rPr>
  </w:style>
  <w:style w:type="paragraph" w:styleId="Textodeglobo">
    <w:name w:val="Balloon Text"/>
    <w:basedOn w:val="Normal"/>
    <w:link w:val="TextodegloboCar"/>
    <w:semiHidden/>
    <w:rsid w:val="002628DB"/>
    <w:rPr>
      <w:rFonts w:ascii="Tahoma" w:hAnsi="Tahoma" w:cs="Tahoma"/>
      <w:sz w:val="16"/>
      <w:szCs w:val="16"/>
    </w:rPr>
  </w:style>
  <w:style w:type="character" w:customStyle="1" w:styleId="TextodegloboCar">
    <w:name w:val="Texto de globo Car"/>
    <w:basedOn w:val="Fuentedeprrafopredeter"/>
    <w:link w:val="Textodeglobo"/>
    <w:rsid w:val="00F15C11"/>
    <w:rPr>
      <w:rFonts w:ascii="Tahoma" w:hAnsi="Tahoma" w:cs="Tahoma"/>
      <w:sz w:val="16"/>
      <w:szCs w:val="16"/>
      <w:lang w:val="es-CO" w:eastAsia="es-ES" w:bidi="ar-SA"/>
    </w:rPr>
  </w:style>
  <w:style w:type="table" w:styleId="Tablaconcuadrcula">
    <w:name w:val="Table Grid"/>
    <w:basedOn w:val="Tablanormal"/>
    <w:uiPriority w:val="39"/>
    <w:rsid w:val="00F15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F15C11"/>
    <w:pPr>
      <w:spacing w:after="120"/>
    </w:pPr>
    <w:rPr>
      <w:lang w:val="es-ES"/>
    </w:rPr>
  </w:style>
  <w:style w:type="character" w:styleId="Refdecomentario">
    <w:name w:val="annotation reference"/>
    <w:basedOn w:val="Fuentedeprrafopredeter"/>
    <w:uiPriority w:val="99"/>
    <w:semiHidden/>
    <w:rsid w:val="00F15C11"/>
    <w:rPr>
      <w:sz w:val="16"/>
      <w:szCs w:val="16"/>
    </w:rPr>
  </w:style>
  <w:style w:type="paragraph" w:styleId="Textocomentario">
    <w:name w:val="annotation text"/>
    <w:basedOn w:val="Normal"/>
    <w:link w:val="TextocomentarioCar"/>
    <w:uiPriority w:val="99"/>
    <w:semiHidden/>
    <w:rsid w:val="00F15C11"/>
    <w:rPr>
      <w:sz w:val="20"/>
      <w:szCs w:val="20"/>
      <w:lang w:val="es-ES"/>
    </w:rPr>
  </w:style>
  <w:style w:type="paragraph" w:customStyle="1" w:styleId="Prrafodelista1">
    <w:name w:val="Párrafo de lista1"/>
    <w:basedOn w:val="Normal"/>
    <w:rsid w:val="0047689E"/>
    <w:pPr>
      <w:spacing w:after="200" w:line="276" w:lineRule="auto"/>
      <w:ind w:left="720"/>
      <w:contextualSpacing/>
    </w:pPr>
    <w:rPr>
      <w:rFonts w:ascii="Calibri" w:hAnsi="Calibri"/>
      <w:sz w:val="22"/>
      <w:szCs w:val="22"/>
      <w:lang w:val="es-ES" w:eastAsia="en-US"/>
    </w:rPr>
  </w:style>
  <w:style w:type="paragraph" w:styleId="Textonotapie">
    <w:name w:val="footnote text"/>
    <w:basedOn w:val="Normal"/>
    <w:semiHidden/>
    <w:rsid w:val="00C17AA0"/>
    <w:rPr>
      <w:sz w:val="20"/>
      <w:szCs w:val="20"/>
      <w:lang w:val="es-ES"/>
    </w:rPr>
  </w:style>
  <w:style w:type="character" w:styleId="Refdenotaalpie">
    <w:name w:val="footnote reference"/>
    <w:basedOn w:val="Fuentedeprrafopredeter"/>
    <w:semiHidden/>
    <w:rsid w:val="00C17AA0"/>
    <w:rPr>
      <w:vertAlign w:val="superscript"/>
    </w:rPr>
  </w:style>
  <w:style w:type="paragraph" w:styleId="Asuntodelcomentario">
    <w:name w:val="annotation subject"/>
    <w:basedOn w:val="Textocomentario"/>
    <w:next w:val="Textocomentario"/>
    <w:semiHidden/>
    <w:rsid w:val="0005455C"/>
    <w:rPr>
      <w:b/>
      <w:bCs/>
      <w:lang w:val="es-CO"/>
    </w:rPr>
  </w:style>
  <w:style w:type="paragraph" w:styleId="Prrafodelista">
    <w:name w:val="List Paragraph"/>
    <w:basedOn w:val="Normal"/>
    <w:link w:val="PrrafodelistaCar"/>
    <w:uiPriority w:val="34"/>
    <w:qFormat/>
    <w:rsid w:val="00164037"/>
    <w:pPr>
      <w:ind w:left="708"/>
    </w:pPr>
    <w:rPr>
      <w:rFonts w:ascii="Arial" w:hAnsi="Arial"/>
      <w:spacing w:val="-20"/>
      <w:sz w:val="28"/>
      <w:szCs w:val="20"/>
    </w:rPr>
  </w:style>
  <w:style w:type="paragraph" w:customStyle="1" w:styleId="Textoindependiente21">
    <w:name w:val="Texto independiente 21"/>
    <w:basedOn w:val="Normal"/>
    <w:rsid w:val="00BB455C"/>
    <w:pPr>
      <w:spacing w:line="360" w:lineRule="auto"/>
      <w:jc w:val="both"/>
    </w:pPr>
    <w:rPr>
      <w:rFonts w:ascii="Arial" w:hAnsi="Arial"/>
      <w:szCs w:val="20"/>
    </w:rPr>
  </w:style>
  <w:style w:type="paragraph" w:styleId="NormalWeb">
    <w:name w:val="Normal (Web)"/>
    <w:basedOn w:val="Normal"/>
    <w:uiPriority w:val="99"/>
    <w:rsid w:val="00E65BE5"/>
    <w:pPr>
      <w:spacing w:before="100" w:beforeAutospacing="1" w:after="100" w:afterAutospacing="1"/>
    </w:pPr>
    <w:rPr>
      <w:lang w:val="es-ES"/>
    </w:rPr>
  </w:style>
  <w:style w:type="character" w:customStyle="1" w:styleId="PrrafodelistaCar">
    <w:name w:val="Párrafo de lista Car"/>
    <w:link w:val="Prrafodelista"/>
    <w:uiPriority w:val="34"/>
    <w:rsid w:val="00C07A4F"/>
    <w:rPr>
      <w:rFonts w:ascii="Arial" w:hAnsi="Arial"/>
      <w:spacing w:val="-20"/>
      <w:sz w:val="28"/>
      <w:lang w:val="es-CO" w:eastAsia="es-ES"/>
    </w:rPr>
  </w:style>
  <w:style w:type="character" w:customStyle="1" w:styleId="TextocomentarioCar">
    <w:name w:val="Texto comentario Car"/>
    <w:basedOn w:val="Fuentedeprrafopredeter"/>
    <w:link w:val="Textocomentario"/>
    <w:uiPriority w:val="99"/>
    <w:semiHidden/>
    <w:rsid w:val="00566423"/>
    <w:rPr>
      <w:lang w:val="es-ES" w:eastAsia="es-ES"/>
    </w:rPr>
  </w:style>
  <w:style w:type="paragraph" w:customStyle="1" w:styleId="Textocomentario1">
    <w:name w:val="Texto comentario1"/>
    <w:basedOn w:val="Normal"/>
    <w:rsid w:val="00AB3F3D"/>
    <w:pPr>
      <w:suppressAutoHyphens/>
      <w:jc w:val="both"/>
    </w:pPr>
    <w:rPr>
      <w:rFonts w:ascii="Verdana" w:hAnsi="Verdana" w:cs="Tahoma"/>
      <w:lang w:val="es-ES" w:eastAsia="zh-CN"/>
    </w:rPr>
  </w:style>
  <w:style w:type="paragraph" w:styleId="Descripcin">
    <w:name w:val="caption"/>
    <w:basedOn w:val="Normal"/>
    <w:next w:val="Normal"/>
    <w:link w:val="DescripcinCar"/>
    <w:uiPriority w:val="35"/>
    <w:unhideWhenUsed/>
    <w:qFormat/>
    <w:rsid w:val="00DF4072"/>
    <w:pPr>
      <w:spacing w:after="240"/>
      <w:jc w:val="both"/>
    </w:pPr>
    <w:rPr>
      <w:rFonts w:asciiTheme="minorHAnsi" w:eastAsiaTheme="minorHAnsi" w:hAnsiTheme="minorHAnsi" w:cstheme="minorBidi"/>
      <w:b/>
      <w:bCs/>
      <w:sz w:val="18"/>
      <w:szCs w:val="18"/>
      <w:lang w:val="es-ES" w:eastAsia="en-US"/>
    </w:rPr>
  </w:style>
  <w:style w:type="character" w:customStyle="1" w:styleId="DescripcinCar">
    <w:name w:val="Descripción Car"/>
    <w:basedOn w:val="Fuentedeprrafopredeter"/>
    <w:link w:val="Descripcin"/>
    <w:uiPriority w:val="35"/>
    <w:rsid w:val="00DF4072"/>
    <w:rPr>
      <w:rFonts w:asciiTheme="minorHAnsi" w:eastAsiaTheme="minorHAnsi" w:hAnsiTheme="minorHAnsi" w:cstheme="minorBidi"/>
      <w:b/>
      <w:bCs/>
      <w:sz w:val="18"/>
      <w:szCs w:val="18"/>
      <w:lang w:val="es-ES" w:eastAsia="en-US"/>
    </w:rPr>
  </w:style>
  <w:style w:type="paragraph" w:customStyle="1" w:styleId="Default">
    <w:name w:val="Default"/>
    <w:rsid w:val="00212844"/>
    <w:pPr>
      <w:autoSpaceDE w:val="0"/>
      <w:autoSpaceDN w:val="0"/>
      <w:adjustRightInd w:val="0"/>
    </w:pPr>
    <w:rPr>
      <w:rFonts w:ascii="Calibri" w:eastAsiaTheme="minorHAnsi" w:hAnsi="Calibri" w:cs="Calibri"/>
      <w:color w:val="000000"/>
      <w:lang w:eastAsia="en-US"/>
    </w:rPr>
  </w:style>
  <w:style w:type="character" w:customStyle="1" w:styleId="EncabezadoCar">
    <w:name w:val="Encabezado Car"/>
    <w:basedOn w:val="Fuentedeprrafopredeter"/>
    <w:link w:val="Encabezado"/>
    <w:uiPriority w:val="99"/>
    <w:rsid w:val="00212844"/>
    <w:rPr>
      <w:sz w:val="24"/>
      <w:szCs w:val="24"/>
      <w:lang w:val="es-CO" w:eastAsia="es-ES"/>
    </w:rPr>
  </w:style>
  <w:style w:type="character" w:customStyle="1" w:styleId="PiedepginaCar">
    <w:name w:val="Pie de página Car"/>
    <w:basedOn w:val="Fuentedeprrafopredeter"/>
    <w:link w:val="Piedepgina"/>
    <w:uiPriority w:val="99"/>
    <w:rsid w:val="00212844"/>
    <w:rPr>
      <w:sz w:val="24"/>
      <w:szCs w:val="24"/>
      <w:lang w:val="es-CO" w:eastAsia="es-ES"/>
    </w:rPr>
  </w:style>
  <w:style w:type="paragraph" w:customStyle="1" w:styleId="Textodenotaalfinal">
    <w:name w:val="Texto de nota al final"/>
    <w:basedOn w:val="Normal"/>
    <w:rsid w:val="00212844"/>
    <w:pPr>
      <w:widowControl w:val="0"/>
      <w:spacing w:before="120" w:after="60"/>
      <w:jc w:val="both"/>
    </w:pPr>
    <w:rPr>
      <w:rFonts w:ascii="Arial" w:hAnsi="Arial"/>
      <w:i/>
      <w:szCs w:val="20"/>
      <w:lang w:val="es-ES_tradnl"/>
    </w:rPr>
  </w:style>
  <w:style w:type="paragraph" w:styleId="Sinespaciado">
    <w:name w:val="No Spacing"/>
    <w:uiPriority w:val="1"/>
    <w:qFormat/>
    <w:rsid w:val="00C9169E"/>
    <w:rPr>
      <w:rFonts w:asciiTheme="minorHAnsi" w:eastAsiaTheme="minorHAnsi" w:hAnsiTheme="minorHAnsi" w:cstheme="minorBidi"/>
      <w:szCs w:val="22"/>
      <w:lang w:val="en-US" w:eastAsia="en-US"/>
    </w:rPr>
  </w:style>
  <w:style w:type="character" w:customStyle="1" w:styleId="Ttulo2Car">
    <w:name w:val="Título 2 Car"/>
    <w:basedOn w:val="Fuentedeprrafopredeter"/>
    <w:link w:val="Ttulo2"/>
    <w:uiPriority w:val="9"/>
    <w:semiHidden/>
    <w:rsid w:val="001F57DA"/>
    <w:rPr>
      <w:rFonts w:asciiTheme="majorHAnsi" w:eastAsiaTheme="majorEastAsia" w:hAnsiTheme="majorHAnsi" w:cstheme="majorBidi"/>
      <w:color w:val="365F91" w:themeColor="accent1" w:themeShade="BF"/>
      <w:sz w:val="26"/>
      <w:szCs w:val="26"/>
      <w:lang w:val="es-CO" w:eastAsia="es-ES"/>
    </w:rPr>
  </w:style>
  <w:style w:type="character" w:customStyle="1" w:styleId="Ttulo3Car">
    <w:name w:val="Título 3 Car"/>
    <w:basedOn w:val="Fuentedeprrafopredeter"/>
    <w:link w:val="Ttulo3"/>
    <w:uiPriority w:val="9"/>
    <w:semiHidden/>
    <w:rsid w:val="001F57DA"/>
    <w:rPr>
      <w:rFonts w:asciiTheme="majorHAnsi" w:eastAsiaTheme="majorEastAsia" w:hAnsiTheme="majorHAnsi" w:cstheme="majorBidi"/>
      <w:color w:val="243F60" w:themeColor="accent1" w:themeShade="7F"/>
      <w:sz w:val="24"/>
      <w:szCs w:val="24"/>
      <w:lang w:val="es-CO" w:eastAsia="es-ES"/>
    </w:rPr>
  </w:style>
  <w:style w:type="table" w:customStyle="1" w:styleId="Tablanormal21">
    <w:name w:val="Tabla normal 21"/>
    <w:basedOn w:val="Tablanormal"/>
    <w:uiPriority w:val="42"/>
    <w:rsid w:val="001F57DA"/>
    <w:rPr>
      <w:rFonts w:asciiTheme="minorHAnsi" w:eastAsiaTheme="minorHAnsi" w:hAnsiTheme="minorHAnsi" w:cstheme="minorBidi"/>
      <w:sz w:val="22"/>
      <w:szCs w:val="22"/>
      <w:lang w:val="es-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anormal31">
    <w:name w:val="Tabla normal 31"/>
    <w:basedOn w:val="Normal"/>
    <w:uiPriority w:val="34"/>
    <w:qFormat/>
    <w:rsid w:val="00CF0B30"/>
    <w:pPr>
      <w:suppressAutoHyphens/>
      <w:ind w:left="708"/>
    </w:pPr>
    <w:rPr>
      <w:lang w:eastAsia="zh-CN"/>
    </w:rPr>
  </w:style>
  <w:style w:type="paragraph" w:customStyle="1" w:styleId="Listamulticolor-nfasis11">
    <w:name w:val="Lista multicolor - Énfasis 11"/>
    <w:basedOn w:val="Normal"/>
    <w:uiPriority w:val="34"/>
    <w:qFormat/>
    <w:rsid w:val="009761E3"/>
    <w:pPr>
      <w:spacing w:after="200" w:line="276" w:lineRule="auto"/>
      <w:ind w:left="720"/>
      <w:contextualSpacing/>
    </w:pPr>
    <w:rPr>
      <w:rFonts w:ascii="Calibri" w:eastAsia="Calibri" w:hAnsi="Calibri"/>
      <w:sz w:val="22"/>
      <w:szCs w:val="22"/>
      <w:lang w:eastAsia="en-US"/>
    </w:rPr>
  </w:style>
  <w:style w:type="paragraph" w:styleId="Sangra2detindependiente">
    <w:name w:val="Body Text Indent 2"/>
    <w:basedOn w:val="Normal"/>
    <w:link w:val="Sangra2detindependienteCar"/>
    <w:uiPriority w:val="99"/>
    <w:unhideWhenUsed/>
    <w:rsid w:val="001A717E"/>
    <w:pPr>
      <w:spacing w:after="120" w:line="480" w:lineRule="auto"/>
      <w:ind w:left="283"/>
    </w:pPr>
    <w:rPr>
      <w:lang w:val="es-ES"/>
    </w:rPr>
  </w:style>
  <w:style w:type="character" w:customStyle="1" w:styleId="Sangra2detindependienteCar">
    <w:name w:val="Sangría 2 de t. independiente Car"/>
    <w:basedOn w:val="Fuentedeprrafopredeter"/>
    <w:link w:val="Sangra2detindependiente"/>
    <w:uiPriority w:val="99"/>
    <w:rsid w:val="001A717E"/>
    <w:rPr>
      <w:sz w:val="24"/>
      <w:szCs w:val="24"/>
      <w:lang w:val="es-ES" w:eastAsia="es-ES"/>
    </w:rPr>
  </w:style>
  <w:style w:type="character" w:customStyle="1" w:styleId="TtuloCar">
    <w:name w:val="Título Car"/>
    <w:basedOn w:val="Fuentedeprrafopredeter"/>
    <w:link w:val="Ttulo"/>
    <w:uiPriority w:val="10"/>
    <w:rsid w:val="005A58F1"/>
    <w:rPr>
      <w:rFonts w:asciiTheme="majorHAnsi" w:eastAsiaTheme="majorEastAsia" w:hAnsiTheme="majorHAnsi" w:cstheme="majorBidi"/>
      <w:spacing w:val="-10"/>
      <w:kern w:val="28"/>
      <w:sz w:val="56"/>
      <w:szCs w:val="56"/>
      <w:lang w:val="es-CO" w:eastAsia="es-ES"/>
    </w:rPr>
  </w:style>
  <w:style w:type="character" w:customStyle="1" w:styleId="Mencinsinresolver1">
    <w:name w:val="Mención sin resolver1"/>
    <w:basedOn w:val="Fuentedeprrafopredeter"/>
    <w:uiPriority w:val="99"/>
    <w:semiHidden/>
    <w:unhideWhenUsed/>
    <w:rsid w:val="007C0C2D"/>
    <w:rPr>
      <w:color w:val="808080"/>
      <w:shd w:val="clear" w:color="auto" w:fill="E6E6E6"/>
    </w:rPr>
  </w:style>
  <w:style w:type="paragraph" w:styleId="Revisin">
    <w:name w:val="Revision"/>
    <w:hidden/>
    <w:uiPriority w:val="99"/>
    <w:semiHidden/>
    <w:rsid w:val="00351531"/>
    <w:rPr>
      <w:lang w:eastAsia="es-ES"/>
    </w:rPr>
  </w:style>
  <w:style w:type="paragraph" w:customStyle="1" w:styleId="textocarta">
    <w:name w:val="texto carta"/>
    <w:basedOn w:val="Normal"/>
    <w:uiPriority w:val="99"/>
    <w:rsid w:val="00351F5C"/>
    <w:pPr>
      <w:autoSpaceDE w:val="0"/>
      <w:autoSpaceDN w:val="0"/>
      <w:adjustRightInd w:val="0"/>
      <w:spacing w:line="300" w:lineRule="atLeast"/>
      <w:ind w:firstLine="300"/>
      <w:jc w:val="both"/>
      <w:textAlignment w:val="center"/>
    </w:pPr>
    <w:rPr>
      <w:rFonts w:ascii="Ancizar Sans Regular" w:eastAsiaTheme="minorEastAsia" w:hAnsi="Ancizar Sans Regular" w:cs="Ancizar Sans Regular"/>
      <w:color w:val="000000"/>
      <w:sz w:val="22"/>
      <w:szCs w:val="22"/>
      <w:lang w:val="es-ES_tradnl"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574261">
      <w:bodyDiv w:val="1"/>
      <w:marLeft w:val="0"/>
      <w:marRight w:val="0"/>
      <w:marTop w:val="0"/>
      <w:marBottom w:val="0"/>
      <w:divBdr>
        <w:top w:val="none" w:sz="0" w:space="0" w:color="auto"/>
        <w:left w:val="none" w:sz="0" w:space="0" w:color="auto"/>
        <w:bottom w:val="none" w:sz="0" w:space="0" w:color="auto"/>
        <w:right w:val="none" w:sz="0" w:space="0" w:color="auto"/>
      </w:divBdr>
    </w:div>
    <w:div w:id="1017150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22D63-7BC4-4456-AE9E-937096E74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2295</Words>
  <Characters>12624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 CNO</dc:creator>
  <cp:keywords/>
  <dc:description/>
  <cp:lastModifiedBy>Alberto Olarte</cp:lastModifiedBy>
  <cp:revision>2</cp:revision>
  <dcterms:created xsi:type="dcterms:W3CDTF">2019-08-01T12:56:00Z</dcterms:created>
  <dcterms:modified xsi:type="dcterms:W3CDTF">2019-08-01T12:56:00Z</dcterms:modified>
</cp:coreProperties>
</file>