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B01E7" w14:textId="2FB91AAA" w:rsidR="00916928" w:rsidRPr="00D61480" w:rsidRDefault="00916928" w:rsidP="00916928">
      <w:pPr>
        <w:contextualSpacing/>
        <w:jc w:val="center"/>
        <w:outlineLvl w:val="0"/>
        <w:rPr>
          <w:b/>
          <w:bCs/>
          <w:sz w:val="28"/>
          <w:szCs w:val="28"/>
          <w:lang w:val="es-CO"/>
        </w:rPr>
      </w:pPr>
      <w:bookmarkStart w:id="0" w:name="_Toc442172355"/>
      <w:bookmarkStart w:id="1" w:name="_Toc399492178"/>
      <w:bookmarkStart w:id="2" w:name="_Toc330745994"/>
      <w:r w:rsidRPr="00D61480">
        <w:rPr>
          <w:b/>
          <w:bCs/>
          <w:sz w:val="28"/>
          <w:szCs w:val="28"/>
          <w:lang w:val="es-CO"/>
        </w:rPr>
        <w:t>Arquitectura de Supervisión y Ciberseguridad DER en los SDL</w:t>
      </w:r>
    </w:p>
    <w:p w14:paraId="06833FE9" w14:textId="6C228D70" w:rsidR="00E411BB" w:rsidRPr="00D61480" w:rsidRDefault="00916928" w:rsidP="00E647C7">
      <w:pPr>
        <w:contextualSpacing/>
        <w:jc w:val="center"/>
        <w:outlineLvl w:val="0"/>
        <w:rPr>
          <w:b/>
          <w:bCs/>
          <w:sz w:val="28"/>
          <w:szCs w:val="28"/>
          <w:lang w:val="es-CO"/>
        </w:rPr>
      </w:pPr>
      <w:r w:rsidRPr="00D61480">
        <w:rPr>
          <w:b/>
          <w:bCs/>
          <w:sz w:val="28"/>
          <w:szCs w:val="28"/>
          <w:lang w:val="es-CO"/>
        </w:rPr>
        <w:t>(plantas fotovoltaicas y eólicas)</w:t>
      </w:r>
    </w:p>
    <w:p w14:paraId="153E7DF7" w14:textId="56D49929" w:rsidR="00451B5B" w:rsidRPr="00D61480" w:rsidRDefault="00451B5B" w:rsidP="004B4EF2">
      <w:pPr>
        <w:pStyle w:val="Enelcorpodeltesto"/>
        <w:contextualSpacing/>
        <w:outlineLvl w:val="0"/>
        <w:rPr>
          <w:rFonts w:ascii="Arial" w:hAnsi="Arial" w:cs="Arial"/>
          <w:b/>
          <w:sz w:val="20"/>
          <w:szCs w:val="20"/>
          <w:u w:val="single"/>
          <w:lang w:val="es-CO" w:eastAsia="es-ES"/>
        </w:rPr>
      </w:pPr>
      <w:r w:rsidRPr="00D61480">
        <w:rPr>
          <w:rFonts w:ascii="Arial" w:hAnsi="Arial" w:cs="Arial"/>
          <w:b/>
          <w:sz w:val="20"/>
          <w:szCs w:val="20"/>
          <w:u w:val="single"/>
          <w:lang w:val="es-CO" w:eastAsia="es-ES"/>
        </w:rPr>
        <w:t>Justificación</w:t>
      </w:r>
    </w:p>
    <w:p w14:paraId="12CE9665" w14:textId="7570DE57" w:rsidR="00451B5B" w:rsidRPr="00D61480" w:rsidRDefault="00451B5B" w:rsidP="00451B5B">
      <w:pPr>
        <w:pStyle w:val="Enelcorpodeltesto"/>
        <w:contextualSpacing/>
        <w:outlineLvl w:val="0"/>
        <w:rPr>
          <w:rFonts w:ascii="Arial" w:hAnsi="Arial" w:cs="Arial"/>
          <w:bCs/>
          <w:sz w:val="20"/>
          <w:szCs w:val="20"/>
          <w:lang w:val="es-CO" w:eastAsia="es-ES"/>
        </w:rPr>
      </w:pPr>
    </w:p>
    <w:p w14:paraId="060EB787" w14:textId="5A9E7249" w:rsidR="00E411BB" w:rsidRPr="00D61480" w:rsidRDefault="00E411BB" w:rsidP="00451B5B">
      <w:pPr>
        <w:pStyle w:val="Enelcorpodeltesto"/>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 xml:space="preserve">El siguiente documento fue construido por el Comité de </w:t>
      </w:r>
      <w:r w:rsidR="00916928" w:rsidRPr="00D61480">
        <w:rPr>
          <w:rFonts w:ascii="Arial" w:hAnsi="Arial" w:cs="Arial"/>
          <w:bCs/>
          <w:sz w:val="20"/>
          <w:szCs w:val="20"/>
          <w:lang w:val="es-CO" w:eastAsia="es-ES"/>
        </w:rPr>
        <w:t>Supervisión y Ciberseguridad</w:t>
      </w:r>
      <w:r w:rsidRPr="00D61480">
        <w:rPr>
          <w:rFonts w:ascii="Arial" w:hAnsi="Arial" w:cs="Arial"/>
          <w:bCs/>
          <w:sz w:val="20"/>
          <w:szCs w:val="20"/>
          <w:lang w:val="es-CO" w:eastAsia="es-ES"/>
        </w:rPr>
        <w:t xml:space="preserve"> del CNO por solicitud de la CREG, donde la Comisión requiere una propuesta para discusión </w:t>
      </w:r>
      <w:r w:rsidR="00916928" w:rsidRPr="00D61480">
        <w:rPr>
          <w:rFonts w:ascii="Arial" w:hAnsi="Arial" w:cs="Arial"/>
          <w:bCs/>
          <w:sz w:val="20"/>
          <w:szCs w:val="20"/>
          <w:lang w:val="es-CO" w:eastAsia="es-ES"/>
        </w:rPr>
        <w:t>sobre los lineamientos para la supervisión y el control de los Centros locales de distribución-CLD de</w:t>
      </w:r>
      <w:r w:rsidR="00547390" w:rsidRPr="00D61480">
        <w:rPr>
          <w:rFonts w:ascii="Arial" w:hAnsi="Arial" w:cs="Arial"/>
          <w:bCs/>
          <w:sz w:val="20"/>
          <w:szCs w:val="20"/>
          <w:lang w:val="es-CO" w:eastAsia="es-ES"/>
        </w:rPr>
        <w:t xml:space="preserve"> </w:t>
      </w:r>
      <w:r w:rsidR="00916928" w:rsidRPr="00D61480">
        <w:rPr>
          <w:rFonts w:ascii="Arial" w:hAnsi="Arial" w:cs="Arial"/>
          <w:bCs/>
          <w:sz w:val="20"/>
          <w:szCs w:val="20"/>
          <w:lang w:val="es-CO" w:eastAsia="es-ES"/>
        </w:rPr>
        <w:t>l</w:t>
      </w:r>
      <w:r w:rsidR="00547390" w:rsidRPr="00D61480">
        <w:rPr>
          <w:rFonts w:ascii="Arial" w:hAnsi="Arial" w:cs="Arial"/>
          <w:bCs/>
          <w:sz w:val="20"/>
          <w:szCs w:val="20"/>
          <w:lang w:val="es-CO" w:eastAsia="es-ES"/>
        </w:rPr>
        <w:t>os</w:t>
      </w:r>
      <w:r w:rsidR="00916928" w:rsidRPr="00D61480">
        <w:rPr>
          <w:rFonts w:ascii="Arial" w:hAnsi="Arial" w:cs="Arial"/>
          <w:bCs/>
          <w:sz w:val="20"/>
          <w:szCs w:val="20"/>
          <w:lang w:val="es-CO" w:eastAsia="es-ES"/>
        </w:rPr>
        <w:t xml:space="preserve"> Operador</w:t>
      </w:r>
      <w:r w:rsidR="00547390" w:rsidRPr="00D61480">
        <w:rPr>
          <w:rFonts w:ascii="Arial" w:hAnsi="Arial" w:cs="Arial"/>
          <w:bCs/>
          <w:sz w:val="20"/>
          <w:szCs w:val="20"/>
          <w:lang w:val="es-CO" w:eastAsia="es-ES"/>
        </w:rPr>
        <w:t>es</w:t>
      </w:r>
      <w:r w:rsidR="00916928" w:rsidRPr="00D61480">
        <w:rPr>
          <w:rFonts w:ascii="Arial" w:hAnsi="Arial" w:cs="Arial"/>
          <w:bCs/>
          <w:sz w:val="20"/>
          <w:szCs w:val="20"/>
          <w:lang w:val="es-CO" w:eastAsia="es-ES"/>
        </w:rPr>
        <w:t xml:space="preserve"> de Red-OR</w:t>
      </w:r>
      <w:r w:rsidR="00547390" w:rsidRPr="00D61480">
        <w:rPr>
          <w:rFonts w:ascii="Arial" w:hAnsi="Arial" w:cs="Arial"/>
          <w:bCs/>
          <w:sz w:val="20"/>
          <w:szCs w:val="20"/>
          <w:lang w:val="es-CO" w:eastAsia="es-ES"/>
        </w:rPr>
        <w:t>,</w:t>
      </w:r>
      <w:r w:rsidR="00916928" w:rsidRPr="00D61480">
        <w:rPr>
          <w:rFonts w:ascii="Arial" w:hAnsi="Arial" w:cs="Arial"/>
          <w:bCs/>
          <w:sz w:val="20"/>
          <w:szCs w:val="20"/>
          <w:lang w:val="es-CO" w:eastAsia="es-ES"/>
        </w:rPr>
        <w:t xml:space="preserve"> y su articulación con el Centro Nacional de Despacho-CND, teniendo en cuenta que pueden existir plantas eólicas y solares fotovoltaica que sean despachadas centralmente.</w:t>
      </w:r>
    </w:p>
    <w:p w14:paraId="2F067888" w14:textId="264ABAF8" w:rsidR="00E411BB" w:rsidRPr="00D61480" w:rsidRDefault="00E411BB" w:rsidP="00451B5B">
      <w:pPr>
        <w:pStyle w:val="Enelcorpodeltesto"/>
        <w:contextualSpacing/>
        <w:outlineLvl w:val="0"/>
        <w:rPr>
          <w:rFonts w:ascii="Arial" w:hAnsi="Arial" w:cs="Arial"/>
          <w:bCs/>
          <w:sz w:val="20"/>
          <w:szCs w:val="20"/>
          <w:lang w:val="es-CO" w:eastAsia="es-ES"/>
        </w:rPr>
      </w:pPr>
    </w:p>
    <w:p w14:paraId="2EEC6710" w14:textId="3264C29D" w:rsidR="00E411BB" w:rsidRPr="00D61480" w:rsidRDefault="00E411BB" w:rsidP="00451B5B">
      <w:pPr>
        <w:pStyle w:val="Enelcorpodeltesto"/>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 xml:space="preserve">El documento </w:t>
      </w:r>
      <w:r w:rsidR="002D4BC3" w:rsidRPr="00D61480">
        <w:rPr>
          <w:rFonts w:ascii="Arial" w:hAnsi="Arial" w:cs="Arial"/>
          <w:bCs/>
          <w:sz w:val="20"/>
          <w:szCs w:val="20"/>
          <w:lang w:val="es-CO" w:eastAsia="es-ES"/>
        </w:rPr>
        <w:t>está</w:t>
      </w:r>
      <w:r w:rsidRPr="00D61480">
        <w:rPr>
          <w:rFonts w:ascii="Arial" w:hAnsi="Arial" w:cs="Arial"/>
          <w:bCs/>
          <w:sz w:val="20"/>
          <w:szCs w:val="20"/>
          <w:lang w:val="es-CO" w:eastAsia="es-ES"/>
        </w:rPr>
        <w:t xml:space="preserve"> estructurado de la siguiente manera. En el primer </w:t>
      </w:r>
      <w:r w:rsidR="00DE342D" w:rsidRPr="00D61480">
        <w:rPr>
          <w:rFonts w:ascii="Arial" w:hAnsi="Arial" w:cs="Arial"/>
          <w:bCs/>
          <w:sz w:val="20"/>
          <w:szCs w:val="20"/>
          <w:lang w:val="es-CO" w:eastAsia="es-ES"/>
        </w:rPr>
        <w:t>capítulo</w:t>
      </w:r>
      <w:r w:rsidRPr="00D61480">
        <w:rPr>
          <w:rFonts w:ascii="Arial" w:hAnsi="Arial" w:cs="Arial"/>
          <w:bCs/>
          <w:sz w:val="20"/>
          <w:szCs w:val="20"/>
          <w:lang w:val="es-CO" w:eastAsia="es-ES"/>
        </w:rPr>
        <w:t xml:space="preserve"> se presenta</w:t>
      </w:r>
      <w:r w:rsidR="00DE342D" w:rsidRPr="00D61480">
        <w:rPr>
          <w:rFonts w:ascii="Arial" w:hAnsi="Arial" w:cs="Arial"/>
          <w:bCs/>
          <w:sz w:val="20"/>
          <w:szCs w:val="20"/>
          <w:lang w:val="es-CO" w:eastAsia="es-ES"/>
        </w:rPr>
        <w:t>n</w:t>
      </w:r>
      <w:r w:rsidRPr="00D61480">
        <w:rPr>
          <w:rFonts w:ascii="Arial" w:hAnsi="Arial" w:cs="Arial"/>
          <w:bCs/>
          <w:sz w:val="20"/>
          <w:szCs w:val="20"/>
          <w:lang w:val="es-CO" w:eastAsia="es-ES"/>
        </w:rPr>
        <w:t xml:space="preserve"> los </w:t>
      </w:r>
      <w:r w:rsidR="00547390" w:rsidRPr="00D61480">
        <w:rPr>
          <w:rFonts w:ascii="Arial" w:hAnsi="Arial" w:cs="Arial"/>
          <w:bCs/>
          <w:sz w:val="20"/>
          <w:szCs w:val="20"/>
          <w:lang w:val="es-CO" w:eastAsia="es-ES"/>
        </w:rPr>
        <w:t>antecedentes</w:t>
      </w:r>
      <w:r w:rsidRPr="00D61480">
        <w:rPr>
          <w:rFonts w:ascii="Arial" w:hAnsi="Arial" w:cs="Arial"/>
          <w:bCs/>
          <w:sz w:val="20"/>
          <w:szCs w:val="20"/>
          <w:lang w:val="es-CO" w:eastAsia="es-ES"/>
        </w:rPr>
        <w:t>. En la segunda parte se muestra</w:t>
      </w:r>
      <w:r w:rsidR="00547390" w:rsidRPr="00D61480">
        <w:rPr>
          <w:rFonts w:ascii="Arial" w:hAnsi="Arial" w:cs="Arial"/>
          <w:bCs/>
          <w:sz w:val="20"/>
          <w:szCs w:val="20"/>
          <w:lang w:val="es-CO" w:eastAsia="es-ES"/>
        </w:rPr>
        <w:t>n las definiciones aplicables</w:t>
      </w:r>
      <w:r w:rsidR="00F26150" w:rsidRPr="00D61480">
        <w:rPr>
          <w:rFonts w:ascii="Arial" w:hAnsi="Arial" w:cs="Arial"/>
          <w:bCs/>
          <w:sz w:val="20"/>
          <w:szCs w:val="20"/>
          <w:lang w:val="es-CO" w:eastAsia="es-ES"/>
        </w:rPr>
        <w:t xml:space="preserve"> a lo largo del texto.</w:t>
      </w:r>
      <w:r w:rsidR="00547390" w:rsidRPr="00D61480">
        <w:rPr>
          <w:rFonts w:ascii="Arial" w:hAnsi="Arial" w:cs="Arial"/>
          <w:bCs/>
          <w:sz w:val="20"/>
          <w:szCs w:val="20"/>
          <w:lang w:val="es-CO" w:eastAsia="es-ES"/>
        </w:rPr>
        <w:t xml:space="preserve"> En el tercer capítulo se presenta un breve resumen sobre los desafíos actuales para la industria eléctrica</w:t>
      </w:r>
      <w:r w:rsidR="00F26150" w:rsidRPr="00D61480">
        <w:rPr>
          <w:rFonts w:ascii="Arial" w:hAnsi="Arial" w:cs="Arial"/>
          <w:bCs/>
          <w:sz w:val="20"/>
          <w:szCs w:val="20"/>
          <w:lang w:val="es-CO" w:eastAsia="es-ES"/>
        </w:rPr>
        <w:t xml:space="preserve"> y algunos referentes internacionales</w:t>
      </w:r>
      <w:r w:rsidR="00DE342D" w:rsidRPr="00D61480">
        <w:rPr>
          <w:rFonts w:ascii="Arial" w:hAnsi="Arial" w:cs="Arial"/>
          <w:bCs/>
          <w:sz w:val="20"/>
          <w:szCs w:val="20"/>
          <w:lang w:val="es-CO" w:eastAsia="es-ES"/>
        </w:rPr>
        <w:t>.</w:t>
      </w:r>
      <w:r w:rsidR="00F26150" w:rsidRPr="00D61480">
        <w:rPr>
          <w:rFonts w:ascii="Arial" w:hAnsi="Arial" w:cs="Arial"/>
          <w:bCs/>
          <w:sz w:val="20"/>
          <w:szCs w:val="20"/>
          <w:lang w:val="es-CO" w:eastAsia="es-ES"/>
        </w:rPr>
        <w:t xml:space="preserve"> En la quinta parte se abordan los aspectos asociados a la supervisión y ciberseguridad. Finalmente, en los capítulos 6 y 7, se plantean las recomendaciones de integración de las plantas eólicas y solares fotovoltaicas en los sistemas de distribución local y las conclusiones.  </w:t>
      </w:r>
    </w:p>
    <w:p w14:paraId="19E01872" w14:textId="45169485" w:rsidR="00DE342D" w:rsidRPr="00D61480" w:rsidRDefault="00DE342D" w:rsidP="00451B5B">
      <w:pPr>
        <w:pStyle w:val="Enelcorpodeltesto"/>
        <w:contextualSpacing/>
        <w:outlineLvl w:val="0"/>
        <w:rPr>
          <w:rFonts w:ascii="Arial" w:hAnsi="Arial" w:cs="Arial"/>
          <w:bCs/>
          <w:sz w:val="20"/>
          <w:szCs w:val="20"/>
          <w:lang w:val="es-CO" w:eastAsia="es-ES"/>
        </w:rPr>
      </w:pPr>
    </w:p>
    <w:p w14:paraId="0E4C9A9F" w14:textId="6F0D7C70" w:rsidR="00DE342D" w:rsidRPr="00D61480" w:rsidRDefault="00F26150" w:rsidP="00412ABE">
      <w:pPr>
        <w:pStyle w:val="Enelcorpodeltesto"/>
        <w:numPr>
          <w:ilvl w:val="0"/>
          <w:numId w:val="12"/>
        </w:numPr>
        <w:contextualSpacing/>
        <w:outlineLvl w:val="0"/>
        <w:rPr>
          <w:rFonts w:ascii="Arial" w:hAnsi="Arial" w:cs="Arial"/>
          <w:b/>
          <w:sz w:val="20"/>
          <w:szCs w:val="20"/>
          <w:lang w:val="es-CO" w:eastAsia="es-ES"/>
        </w:rPr>
      </w:pPr>
      <w:r w:rsidRPr="00D61480">
        <w:rPr>
          <w:rFonts w:ascii="Arial" w:hAnsi="Arial" w:cs="Arial"/>
          <w:b/>
          <w:sz w:val="20"/>
          <w:szCs w:val="20"/>
          <w:lang w:val="es-CO" w:eastAsia="es-ES"/>
        </w:rPr>
        <w:t>Antecedentes</w:t>
      </w:r>
      <w:r w:rsidR="00445B0D" w:rsidRPr="00D61480">
        <w:rPr>
          <w:rFonts w:ascii="Arial" w:hAnsi="Arial" w:cs="Arial"/>
          <w:b/>
          <w:sz w:val="20"/>
          <w:szCs w:val="20"/>
          <w:lang w:val="es-CO" w:eastAsia="es-ES"/>
        </w:rPr>
        <w:t>.</w:t>
      </w:r>
    </w:p>
    <w:p w14:paraId="23110731" w14:textId="5F4D9FCA" w:rsidR="00445B0D" w:rsidRPr="00D61480" w:rsidRDefault="00445B0D" w:rsidP="00445B0D">
      <w:pPr>
        <w:pStyle w:val="Enelcorpodeltesto"/>
        <w:contextualSpacing/>
        <w:outlineLvl w:val="0"/>
        <w:rPr>
          <w:rFonts w:ascii="Arial" w:hAnsi="Arial" w:cs="Arial"/>
          <w:bCs/>
          <w:sz w:val="20"/>
          <w:szCs w:val="20"/>
          <w:lang w:val="es-CO" w:eastAsia="es-ES"/>
        </w:rPr>
      </w:pPr>
    </w:p>
    <w:p w14:paraId="58239156" w14:textId="55172A7D" w:rsidR="00F26150" w:rsidRPr="00D61480" w:rsidRDefault="00F26150" w:rsidP="00F26150">
      <w:pPr>
        <w:pStyle w:val="Enelcorpodeltesto"/>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 xml:space="preserve">La actualización del Código de Redes y Distribución en Colombia será un habilitador para la inclusión de los Recursos Energéticos Distribuidos (DER, por sus siglas en inglés) y la Infraestructura de la Medición Avanzada (AMI, por sus siglas en inglés), además de constituirse como el paso inicial de toda la red inteligente, que es necesaria para el desarrollo del país, y así mejorar la productividad, competitividad y sostenibilidad del país. </w:t>
      </w:r>
    </w:p>
    <w:p w14:paraId="678B68A8" w14:textId="77777777" w:rsidR="00F26150" w:rsidRPr="00D61480" w:rsidRDefault="00F26150" w:rsidP="00F26150">
      <w:pPr>
        <w:pStyle w:val="Enelcorpodeltesto"/>
        <w:contextualSpacing/>
        <w:outlineLvl w:val="0"/>
        <w:rPr>
          <w:rFonts w:ascii="Arial" w:hAnsi="Arial" w:cs="Arial"/>
          <w:bCs/>
          <w:sz w:val="20"/>
          <w:szCs w:val="20"/>
          <w:lang w:val="es-CO" w:eastAsia="es-ES"/>
        </w:rPr>
      </w:pPr>
    </w:p>
    <w:bookmarkEnd w:id="0"/>
    <w:bookmarkEnd w:id="1"/>
    <w:bookmarkEnd w:id="2"/>
    <w:p w14:paraId="121066E9" w14:textId="2DF0B9CD" w:rsidR="00223D8F" w:rsidRPr="00D61480" w:rsidRDefault="00685308" w:rsidP="00223D8F">
      <w:pPr>
        <w:pStyle w:val="Enelcorpodeltesto"/>
        <w:numPr>
          <w:ilvl w:val="0"/>
          <w:numId w:val="12"/>
        </w:numPr>
        <w:contextualSpacing/>
        <w:outlineLvl w:val="0"/>
        <w:rPr>
          <w:rFonts w:ascii="Arial" w:hAnsi="Arial" w:cs="Arial"/>
          <w:b/>
          <w:sz w:val="20"/>
          <w:szCs w:val="20"/>
          <w:lang w:val="es-CO" w:eastAsia="es-ES"/>
        </w:rPr>
      </w:pPr>
      <w:r w:rsidRPr="00D61480">
        <w:rPr>
          <w:rFonts w:ascii="Arial" w:hAnsi="Arial" w:cs="Arial"/>
          <w:b/>
          <w:sz w:val="20"/>
          <w:szCs w:val="20"/>
          <w:lang w:val="es-CO" w:eastAsia="es-ES"/>
        </w:rPr>
        <w:t>Definiciones</w:t>
      </w:r>
      <w:r w:rsidR="00223D8F" w:rsidRPr="00D61480">
        <w:rPr>
          <w:rFonts w:ascii="Arial" w:hAnsi="Arial" w:cs="Arial"/>
          <w:b/>
          <w:sz w:val="20"/>
          <w:szCs w:val="20"/>
          <w:lang w:val="es-CO" w:eastAsia="es-ES"/>
        </w:rPr>
        <w:t>.</w:t>
      </w:r>
    </w:p>
    <w:p w14:paraId="0714B0E9" w14:textId="3FD3A067" w:rsidR="00685308" w:rsidRPr="00D61480" w:rsidRDefault="00685308" w:rsidP="00685308">
      <w:pPr>
        <w:pStyle w:val="Enelcorpodeltesto"/>
        <w:contextualSpacing/>
        <w:outlineLvl w:val="0"/>
        <w:rPr>
          <w:rFonts w:ascii="Arial" w:hAnsi="Arial" w:cs="Arial"/>
          <w:b/>
          <w:sz w:val="20"/>
          <w:szCs w:val="20"/>
          <w:lang w:val="es-CO" w:eastAsia="es-ES"/>
        </w:rPr>
      </w:pPr>
    </w:p>
    <w:p w14:paraId="32822F82" w14:textId="2887C430" w:rsidR="00685308" w:rsidRPr="00D61480" w:rsidRDefault="00685308" w:rsidP="00685308">
      <w:pPr>
        <w:pStyle w:val="Enelcorpodeltesto"/>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Para la interpretación de este documento, se tendrán en cuenta, además de las definiciones establecidas en las leyes 142 y 143 de 1994, las resoluciones vigentes de la CREG y los acuerdos CNO.</w:t>
      </w:r>
    </w:p>
    <w:p w14:paraId="47655B8E" w14:textId="77777777" w:rsidR="00685308" w:rsidRPr="00D61480" w:rsidRDefault="00685308" w:rsidP="00685308">
      <w:pPr>
        <w:pStyle w:val="Enelcorpodeltesto"/>
        <w:contextualSpacing/>
        <w:outlineLvl w:val="0"/>
        <w:rPr>
          <w:rFonts w:ascii="Arial" w:hAnsi="Arial" w:cs="Arial"/>
          <w:bCs/>
          <w:sz w:val="20"/>
          <w:szCs w:val="20"/>
          <w:lang w:val="es-CO" w:eastAsia="es-ES"/>
        </w:rPr>
      </w:pPr>
    </w:p>
    <w:p w14:paraId="336B634C" w14:textId="77777777" w:rsidR="00685308"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Activos de conexión del OR al STN: son los bienes que se requieren para que un Operador de Red-OR se conecte físicamente al Sistema de Transmisión Nacional, STN.</w:t>
      </w:r>
    </w:p>
    <w:p w14:paraId="0D3A35CB" w14:textId="77777777" w:rsidR="00685308" w:rsidRPr="00D61480" w:rsidRDefault="00685308" w:rsidP="00685308">
      <w:pPr>
        <w:pStyle w:val="Enelcorpodeltesto"/>
        <w:ind w:left="360"/>
        <w:contextualSpacing/>
        <w:outlineLvl w:val="0"/>
        <w:rPr>
          <w:rFonts w:ascii="Arial" w:hAnsi="Arial" w:cs="Arial"/>
          <w:bCs/>
          <w:sz w:val="20"/>
          <w:szCs w:val="20"/>
          <w:lang w:val="es-CO" w:eastAsia="es-ES"/>
        </w:rPr>
      </w:pPr>
    </w:p>
    <w:p w14:paraId="1462C73E" w14:textId="77777777" w:rsidR="00685308"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Activos de conexión a un STR o a un SDL: son los bienes que se requieren para que un OR se conecte físicamente a un Sistema de Transmisión Regional, STR, o a un Sistema de Distribución Local, SDL, de otro OR. También son activos de conexión los utilizados exclusivamente por un usuario final para conectarse a los niveles de tensión 4, 3, 2 o 1. Un usuario está conectado al nivel de tensión en el que está instalado su equipo de medida individual.</w:t>
      </w:r>
    </w:p>
    <w:p w14:paraId="2C824448" w14:textId="77777777" w:rsidR="00685308" w:rsidRPr="00D61480" w:rsidRDefault="00685308" w:rsidP="00685308">
      <w:pPr>
        <w:pStyle w:val="Prrafodelista"/>
        <w:rPr>
          <w:rFonts w:ascii="Arial" w:hAnsi="Arial"/>
          <w:bCs/>
          <w:sz w:val="20"/>
          <w:szCs w:val="20"/>
          <w:lang w:val="es-CO"/>
        </w:rPr>
      </w:pPr>
    </w:p>
    <w:p w14:paraId="3BB6202A" w14:textId="77777777" w:rsidR="00685308"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Activos de uso de STR y SDL: son aquellos activos de transporte de electricidad que operan a tensiones inferiores a 220 kV que son utilizados por más de un usuario y son remunerados mediante cargos por uso de STR o SDL.</w:t>
      </w:r>
    </w:p>
    <w:p w14:paraId="54FCBEBA" w14:textId="77777777" w:rsidR="00685308" w:rsidRPr="00D61480" w:rsidRDefault="00685308" w:rsidP="00685308">
      <w:pPr>
        <w:pStyle w:val="Prrafodelista"/>
        <w:rPr>
          <w:rFonts w:ascii="Arial" w:hAnsi="Arial"/>
          <w:bCs/>
          <w:sz w:val="20"/>
          <w:szCs w:val="20"/>
          <w:lang w:val="es-CO"/>
        </w:rPr>
      </w:pPr>
    </w:p>
    <w:p w14:paraId="4433CDE4" w14:textId="77777777" w:rsidR="00685308"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Bahía de generación: Conjunto de equipos de potencia que se utilizan para conectar un sistema de generación a una barra de una subestación.</w:t>
      </w:r>
    </w:p>
    <w:p w14:paraId="126E8E74" w14:textId="77777777" w:rsidR="00685308" w:rsidRPr="00D61480" w:rsidRDefault="00685308" w:rsidP="00685308">
      <w:pPr>
        <w:pStyle w:val="Prrafodelista"/>
        <w:rPr>
          <w:rFonts w:ascii="Arial" w:hAnsi="Arial"/>
          <w:bCs/>
          <w:sz w:val="20"/>
          <w:szCs w:val="20"/>
          <w:lang w:val="es-CO"/>
        </w:rPr>
      </w:pPr>
    </w:p>
    <w:p w14:paraId="12430E37" w14:textId="77777777" w:rsidR="00685308"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lastRenderedPageBreak/>
        <w:t>Centro de Control (CC): Se entiende como Centro de Control, el Centro Nacional de Despacho (CND), un Centro Regional de Control (CRC), un Centro de Generación (CG) o un Centro Local de Distribución (CLD), según el caso.</w:t>
      </w:r>
    </w:p>
    <w:p w14:paraId="3184FCE4" w14:textId="77777777" w:rsidR="00685308" w:rsidRPr="00D61480" w:rsidRDefault="00685308" w:rsidP="00685308">
      <w:pPr>
        <w:pStyle w:val="Prrafodelista"/>
        <w:rPr>
          <w:rFonts w:ascii="Arial" w:hAnsi="Arial"/>
          <w:bCs/>
          <w:sz w:val="20"/>
          <w:szCs w:val="20"/>
          <w:lang w:val="es-CO"/>
        </w:rPr>
      </w:pPr>
    </w:p>
    <w:p w14:paraId="28819B84" w14:textId="77777777" w:rsidR="00685308"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Centro de Control de Generación (CCG): Centros a través de los cuales se supervisa y controla la operación de las plantas de propiedad del generador, con sujeción a las instrucciones impartidas por el CND.</w:t>
      </w:r>
    </w:p>
    <w:p w14:paraId="0F37D1C6" w14:textId="77777777" w:rsidR="00685308" w:rsidRPr="00D61480" w:rsidRDefault="00685308" w:rsidP="00685308">
      <w:pPr>
        <w:pStyle w:val="Prrafodelista"/>
        <w:rPr>
          <w:rFonts w:ascii="Arial" w:hAnsi="Arial"/>
          <w:bCs/>
          <w:sz w:val="20"/>
          <w:szCs w:val="20"/>
          <w:lang w:val="es-CO"/>
        </w:rPr>
      </w:pPr>
    </w:p>
    <w:p w14:paraId="2EC66B2F" w14:textId="77777777" w:rsidR="00685308"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Centro de Supervisión y Maniobra (CSM): Centros a través de los cuales se supervisa la operación y las maniobras en las redes y subestaciones de propiedad del Transmisor Nacional, con sujeción a las instrucciones impartidas por el CND y teniendo como objetivo una operación segura y confiable del SIN, con sujeción a la reglamentación vigente y los acuerdos del Consejo Nacional de Operación-CNO.</w:t>
      </w:r>
    </w:p>
    <w:p w14:paraId="0D0AB6A8" w14:textId="77777777" w:rsidR="00685308" w:rsidRPr="00D61480" w:rsidRDefault="00685308" w:rsidP="00685308">
      <w:pPr>
        <w:pStyle w:val="Prrafodelista"/>
        <w:rPr>
          <w:rFonts w:ascii="Arial" w:hAnsi="Arial"/>
          <w:bCs/>
          <w:sz w:val="20"/>
          <w:szCs w:val="20"/>
          <w:lang w:val="es-CO"/>
        </w:rPr>
      </w:pPr>
    </w:p>
    <w:p w14:paraId="6623617A" w14:textId="77777777" w:rsidR="00DA7992"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Centro Local de Despacho (CLD): Centros responsables de la planeación eléctrica de corto plazo, coordinación, supervisión y control de la operación de las redes, subestaciones y plantas de generación que se encuentren bajo su cobertura, coordinando la operación y maniobras de esas instalaciones, con sujeción a las instrucciones impartidas por el CND y teniendo como objetivo una operación segura y confiable del SIN, con sujeción a la reglamentación vigente y los acuerdos del CNO.</w:t>
      </w:r>
    </w:p>
    <w:p w14:paraId="765F7868" w14:textId="77777777" w:rsidR="00DA7992" w:rsidRPr="00D61480" w:rsidRDefault="00DA7992" w:rsidP="00DA7992">
      <w:pPr>
        <w:pStyle w:val="Prrafodelista"/>
        <w:rPr>
          <w:rFonts w:ascii="Arial" w:hAnsi="Arial"/>
          <w:bCs/>
          <w:sz w:val="20"/>
          <w:szCs w:val="20"/>
          <w:lang w:val="es-CO"/>
        </w:rPr>
      </w:pPr>
    </w:p>
    <w:p w14:paraId="71F0773B" w14:textId="77777777" w:rsidR="00DA7992"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Centro nacional de despacho (CND): entidad encargada de la planeación, supervisión y control de la operación integrada de los recursos de generación, interconexión y transmisión del Sistema Interconectado Nacional, teniendo como objetivo una operación segura, confiable y económica, con sujeción a la reglamentación vigente y a los acuerdos del CNO.</w:t>
      </w:r>
    </w:p>
    <w:p w14:paraId="311AFCD5" w14:textId="77777777" w:rsidR="00DA7992" w:rsidRPr="00D61480" w:rsidRDefault="00DA7992" w:rsidP="00DA7992">
      <w:pPr>
        <w:pStyle w:val="Prrafodelista"/>
        <w:rPr>
          <w:rFonts w:ascii="Arial" w:hAnsi="Arial"/>
          <w:bCs/>
          <w:sz w:val="20"/>
          <w:szCs w:val="20"/>
          <w:lang w:val="es-CO"/>
        </w:rPr>
      </w:pPr>
    </w:p>
    <w:p w14:paraId="40611FCB" w14:textId="77777777" w:rsidR="00DA7992"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Centro Regional de Despacho (CRD): Es un centro de supervisión y control de la operación de las redes, subestaciones y centrales de generación localizadas en una misma región, cuya función es la de coordinar la operación y maniobra de esas instalaciones con sujeción, en lo pertinente, a las instrucciones impartidas por el Centro Nacional de Despacho, en desarrollo de las previsiones contenidas en el Reglamento de Operación, con el fin de asegurar una operación segura y confiable del Sistema Interconectado Nacional.</w:t>
      </w:r>
    </w:p>
    <w:p w14:paraId="690D9180" w14:textId="77777777" w:rsidR="00DA7992" w:rsidRPr="00D61480" w:rsidRDefault="00DA7992" w:rsidP="00DA7992">
      <w:pPr>
        <w:pStyle w:val="Prrafodelista"/>
        <w:rPr>
          <w:rFonts w:ascii="Arial" w:hAnsi="Arial"/>
          <w:bCs/>
          <w:sz w:val="20"/>
          <w:szCs w:val="20"/>
          <w:lang w:val="es-CO"/>
        </w:rPr>
      </w:pPr>
    </w:p>
    <w:p w14:paraId="11512F38" w14:textId="77777777" w:rsidR="00851D9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Ciclo de control: Se refiere a la periodicidad con la cual se realiza un análisis del balance carga-generación del sistema y se calculan los movimientos de generación requeridos para llevar al programa de generación los recursos en línea. Mediante este ciclo se establecen los nuevos valores de referencia para todos los recursos del SIN (actualmente este ciclo de control es de 4 segundos).</w:t>
      </w:r>
    </w:p>
    <w:p w14:paraId="56EAC3AD" w14:textId="77777777" w:rsidR="00851D9F" w:rsidRPr="00D61480" w:rsidRDefault="00851D9F" w:rsidP="00423DE6">
      <w:pPr>
        <w:rPr>
          <w:rFonts w:ascii="Arial" w:hAnsi="Arial"/>
          <w:bCs/>
          <w:sz w:val="20"/>
          <w:szCs w:val="20"/>
          <w:lang w:val="es-CO"/>
        </w:rPr>
      </w:pPr>
    </w:p>
    <w:p w14:paraId="5E0F69FE" w14:textId="4FA98601" w:rsidR="00851D9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 xml:space="preserve">Desviación de Tensión: Situación en la cual los voltajes en una o más fases a las cuáles se conecta un sistema de generación se encuentran por fuera de la región de operación continua. </w:t>
      </w:r>
    </w:p>
    <w:p w14:paraId="14045364" w14:textId="77777777" w:rsidR="00851D9F" w:rsidRPr="00D61480" w:rsidRDefault="00851D9F" w:rsidP="00851D9F">
      <w:pPr>
        <w:pStyle w:val="Prrafodelista"/>
        <w:rPr>
          <w:rFonts w:ascii="Arial" w:hAnsi="Arial"/>
          <w:bCs/>
          <w:sz w:val="20"/>
          <w:szCs w:val="20"/>
          <w:lang w:val="es-CO"/>
        </w:rPr>
      </w:pPr>
    </w:p>
    <w:p w14:paraId="6BC8BD13" w14:textId="77777777" w:rsidR="00851D9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Fuentes variables: Plantas de generación que presentan variabilidad en su generación como las plantas filo de agua, solar fotovoltaica o eólica.</w:t>
      </w:r>
    </w:p>
    <w:p w14:paraId="0F0A5FA4" w14:textId="77777777" w:rsidR="00851D9F" w:rsidRPr="00D61480" w:rsidRDefault="00851D9F" w:rsidP="00851D9F">
      <w:pPr>
        <w:pStyle w:val="Prrafodelista"/>
        <w:rPr>
          <w:rFonts w:ascii="Arial" w:hAnsi="Arial"/>
          <w:bCs/>
          <w:sz w:val="20"/>
          <w:szCs w:val="20"/>
          <w:lang w:val="es-CO"/>
        </w:rPr>
      </w:pPr>
    </w:p>
    <w:p w14:paraId="45F32154" w14:textId="77777777" w:rsidR="00851D9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Generación basada en inversores: Plantas de generación que se conectan al SIN a través de un inversor como las plantas solar fotovoltaica o eólica.</w:t>
      </w:r>
    </w:p>
    <w:p w14:paraId="1B525EF9" w14:textId="77777777" w:rsidR="00851D9F" w:rsidRPr="00D61480" w:rsidRDefault="00851D9F" w:rsidP="00851D9F">
      <w:pPr>
        <w:pStyle w:val="Prrafodelista"/>
        <w:rPr>
          <w:rFonts w:ascii="Arial" w:hAnsi="Arial"/>
          <w:bCs/>
          <w:sz w:val="20"/>
          <w:szCs w:val="20"/>
          <w:lang w:val="es-CO"/>
        </w:rPr>
      </w:pPr>
    </w:p>
    <w:p w14:paraId="6ED4C5AF" w14:textId="77777777" w:rsidR="00851D9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 xml:space="preserve">Generador: Equipo destinado a convertir energía mecánica, química o basada en inversores en electricidad, incluyendo todas sus funciones de control y protecciones. </w:t>
      </w:r>
    </w:p>
    <w:p w14:paraId="43BDF77F" w14:textId="77777777" w:rsidR="00851D9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lastRenderedPageBreak/>
        <w:t>Inversor: Inversor de potencia utilizado en los generadores como los solares fotovoltaicos o eólicos para la conversión de la corriente a la frecuencia y voltaje del SIN. Un generador basado en inversores puede contar con varios inversores inyectando potencia activa y reactiva.</w:t>
      </w:r>
    </w:p>
    <w:p w14:paraId="69CC8CCA" w14:textId="77777777" w:rsidR="00851D9F" w:rsidRPr="00D61480" w:rsidRDefault="00851D9F" w:rsidP="00851D9F">
      <w:pPr>
        <w:pStyle w:val="Prrafodelista"/>
        <w:rPr>
          <w:rFonts w:ascii="Arial" w:hAnsi="Arial"/>
          <w:bCs/>
          <w:sz w:val="20"/>
          <w:szCs w:val="20"/>
          <w:lang w:val="es-CO"/>
        </w:rPr>
      </w:pPr>
    </w:p>
    <w:p w14:paraId="66B48951" w14:textId="77777777" w:rsidR="00851D9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Microrred: Son redes eléctricas que contiene cargas y recursos energéticos distribuidos (como generadores distribuidos, sistemas de almacenamiento o cargas controlables) que se pueden operar de manera controlada y coordinada, ya sea embebida en una red existente o de forma aislada.</w:t>
      </w:r>
    </w:p>
    <w:p w14:paraId="3704E40F" w14:textId="77777777" w:rsidR="00851D9F" w:rsidRPr="00D61480" w:rsidRDefault="00851D9F" w:rsidP="00851D9F">
      <w:pPr>
        <w:pStyle w:val="Prrafodelista"/>
        <w:rPr>
          <w:rFonts w:ascii="Arial" w:hAnsi="Arial"/>
          <w:bCs/>
          <w:sz w:val="20"/>
          <w:szCs w:val="20"/>
          <w:lang w:val="es-CO"/>
        </w:rPr>
      </w:pPr>
    </w:p>
    <w:p w14:paraId="07C56365" w14:textId="7C7429DD" w:rsidR="00685308"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Niveles de tensión: los STR y SDL se clasifican por niveles, en función de la tensión nominal de operación, según la siguiente definición:</w:t>
      </w:r>
    </w:p>
    <w:p w14:paraId="0F76F82D" w14:textId="77777777" w:rsidR="00851D9F" w:rsidRPr="00D61480" w:rsidRDefault="00851D9F" w:rsidP="00851D9F">
      <w:pPr>
        <w:pStyle w:val="Enelcorpodeltesto"/>
        <w:contextualSpacing/>
        <w:outlineLvl w:val="0"/>
        <w:rPr>
          <w:rFonts w:ascii="Arial" w:hAnsi="Arial" w:cs="Arial"/>
          <w:bCs/>
          <w:sz w:val="20"/>
          <w:szCs w:val="20"/>
          <w:lang w:val="es-CO" w:eastAsia="es-ES"/>
        </w:rPr>
      </w:pPr>
    </w:p>
    <w:p w14:paraId="3A82DD81" w14:textId="77777777" w:rsidR="00685308" w:rsidRPr="00D61480" w:rsidRDefault="00685308" w:rsidP="00851D9F">
      <w:pPr>
        <w:pStyle w:val="Enelcorpodeltesto"/>
        <w:ind w:firstLine="708"/>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Nivel 4: sistemas con tensión nominal mayor o igual a 57,5 kV y menor a 220 kV.</w:t>
      </w:r>
    </w:p>
    <w:p w14:paraId="4978601A" w14:textId="77777777" w:rsidR="00685308" w:rsidRPr="00D61480" w:rsidRDefault="00685308" w:rsidP="00851D9F">
      <w:pPr>
        <w:pStyle w:val="Enelcorpodeltesto"/>
        <w:ind w:firstLine="708"/>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Nivel 3: sistemas con tensión nominal mayor o igual a 30 kV y menor de 57,5 kV.</w:t>
      </w:r>
    </w:p>
    <w:p w14:paraId="2A0B8ECD" w14:textId="77777777" w:rsidR="00685308" w:rsidRPr="00D61480" w:rsidRDefault="00685308" w:rsidP="00851D9F">
      <w:pPr>
        <w:pStyle w:val="Enelcorpodeltesto"/>
        <w:ind w:firstLine="708"/>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Nivel 2: sistemas con tensión nominal mayor o igual a 1 kV y menor de 30 kV.</w:t>
      </w:r>
    </w:p>
    <w:p w14:paraId="187221A5" w14:textId="77777777" w:rsidR="00685308" w:rsidRPr="00D61480" w:rsidRDefault="00685308" w:rsidP="00851D9F">
      <w:pPr>
        <w:pStyle w:val="Enelcorpodeltesto"/>
        <w:ind w:firstLine="708"/>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Nivel 1: sistemas con tensión nominal menor a 1 kV.</w:t>
      </w:r>
    </w:p>
    <w:p w14:paraId="6D81823E" w14:textId="77777777" w:rsidR="00685308" w:rsidRPr="00D61480" w:rsidRDefault="00685308" w:rsidP="00685308">
      <w:pPr>
        <w:pStyle w:val="Enelcorpodeltesto"/>
        <w:contextualSpacing/>
        <w:outlineLvl w:val="0"/>
        <w:rPr>
          <w:rFonts w:ascii="Arial" w:hAnsi="Arial" w:cs="Arial"/>
          <w:bCs/>
          <w:sz w:val="20"/>
          <w:szCs w:val="20"/>
          <w:lang w:val="es-CO" w:eastAsia="es-ES"/>
        </w:rPr>
      </w:pPr>
    </w:p>
    <w:p w14:paraId="4C2CF91D" w14:textId="77777777" w:rsidR="00851D9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Observabilidad: adquisición de datos, en forma directa o indirecta, del estado de los activos en el sistema sin que esto implique un control operativo sobre estos.</w:t>
      </w:r>
    </w:p>
    <w:p w14:paraId="482CFC92" w14:textId="77777777" w:rsidR="00851D9F" w:rsidRPr="00D61480" w:rsidRDefault="00851D9F" w:rsidP="00851D9F">
      <w:pPr>
        <w:pStyle w:val="Enelcorpodeltesto"/>
        <w:ind w:left="360"/>
        <w:contextualSpacing/>
        <w:outlineLvl w:val="0"/>
        <w:rPr>
          <w:rFonts w:ascii="Arial" w:hAnsi="Arial" w:cs="Arial"/>
          <w:bCs/>
          <w:sz w:val="20"/>
          <w:szCs w:val="20"/>
          <w:lang w:val="es-CO" w:eastAsia="es-ES"/>
        </w:rPr>
      </w:pPr>
    </w:p>
    <w:p w14:paraId="36240B04"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Operador de red de STR y SDL, OR: persona encargada de la planeación de la expansión, las inversiones, la operación y el mantenimiento de todo o parte de un STR o SDL, incluidas sus conexiones al STN. Los activos pueden ser de su propiedad o de terceros. Para todos los propósitos son las empresas que tienen cargos por uso de los STR o SDL aprobados por la CREG. El OR siempre debe ser una empresa de servicios públicos domiciliarios. La unidad mínima de un SDL para que un OR solicite cargos por uso corresponde a un municipio.</w:t>
      </w:r>
    </w:p>
    <w:p w14:paraId="1FC75945" w14:textId="77777777" w:rsidR="00B7476F" w:rsidRPr="00D61480" w:rsidRDefault="00B7476F" w:rsidP="00B7476F">
      <w:pPr>
        <w:pStyle w:val="Prrafodelista"/>
        <w:rPr>
          <w:rFonts w:ascii="Arial" w:hAnsi="Arial"/>
          <w:bCs/>
          <w:sz w:val="20"/>
          <w:szCs w:val="20"/>
          <w:lang w:val="es-CO"/>
        </w:rPr>
      </w:pPr>
    </w:p>
    <w:p w14:paraId="2A11E483"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Operador del sistema de distribución (DSO): Es el operador del sistema de distribución responsable de la coordinación, supervisión y control de la operación de las redes, los recursos energéticos distribuidos, subestaciones y plantas de generación que se encuentren bajo su cobertura, coordinando la operación y maniobras de esas instalaciones coordinadas con el CND</w:t>
      </w:r>
      <w:r w:rsidR="00B7476F" w:rsidRPr="00D61480">
        <w:rPr>
          <w:rFonts w:ascii="Arial" w:hAnsi="Arial" w:cs="Arial"/>
          <w:bCs/>
          <w:sz w:val="20"/>
          <w:szCs w:val="20"/>
          <w:lang w:val="es-CO" w:eastAsia="es-ES"/>
        </w:rPr>
        <w:t>,</w:t>
      </w:r>
      <w:r w:rsidRPr="00D61480">
        <w:rPr>
          <w:rFonts w:ascii="Arial" w:hAnsi="Arial" w:cs="Arial"/>
          <w:bCs/>
          <w:sz w:val="20"/>
          <w:szCs w:val="20"/>
          <w:lang w:val="es-CO" w:eastAsia="es-ES"/>
        </w:rPr>
        <w:t xml:space="preserve"> y teniendo como objetivo una operación segura y confiable del SDL y los DER, e igualmente de la operación segura y confiable de los STR.</w:t>
      </w:r>
    </w:p>
    <w:p w14:paraId="0B783C8D" w14:textId="77777777" w:rsidR="00B7476F" w:rsidRPr="00D61480" w:rsidRDefault="00B7476F" w:rsidP="00B7476F">
      <w:pPr>
        <w:pStyle w:val="Prrafodelista"/>
        <w:rPr>
          <w:rFonts w:ascii="Arial" w:hAnsi="Arial"/>
          <w:bCs/>
          <w:sz w:val="20"/>
          <w:szCs w:val="20"/>
          <w:lang w:val="es-CO"/>
        </w:rPr>
      </w:pPr>
    </w:p>
    <w:p w14:paraId="1ED7637F"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Operador del sistema de transmisión (TSO): Es el TN o TR responsable de la supervisión de la operación y las maniobras en las redes y subestaciones del Transmisor Nacional y Regional, con sujeción a las instrucciones impartidas por el CND y teniendo como objetivo una operación segura y confiable del SIN, con sujeción a la reglamentación vigente y los acuerdos del Consejo Nacional de Operación.</w:t>
      </w:r>
    </w:p>
    <w:p w14:paraId="4810D0BC" w14:textId="77777777" w:rsidR="00B7476F" w:rsidRPr="00D61480" w:rsidRDefault="00B7476F" w:rsidP="00B7476F">
      <w:pPr>
        <w:pStyle w:val="Prrafodelista"/>
        <w:rPr>
          <w:rFonts w:ascii="Arial" w:hAnsi="Arial"/>
          <w:bCs/>
          <w:sz w:val="20"/>
          <w:szCs w:val="20"/>
          <w:lang w:val="es-CO"/>
        </w:rPr>
      </w:pPr>
    </w:p>
    <w:p w14:paraId="35AD4CFE" w14:textId="518505BB"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Operador independiente del sistema</w:t>
      </w:r>
      <w:r w:rsidR="00B7476F" w:rsidRPr="00D61480">
        <w:rPr>
          <w:rFonts w:ascii="Arial" w:hAnsi="Arial" w:cs="Arial"/>
          <w:bCs/>
          <w:sz w:val="20"/>
          <w:szCs w:val="20"/>
          <w:lang w:val="es-CO" w:eastAsia="es-ES"/>
        </w:rPr>
        <w:t xml:space="preserve"> </w:t>
      </w:r>
      <w:r w:rsidRPr="00D61480">
        <w:rPr>
          <w:rFonts w:ascii="Arial" w:hAnsi="Arial" w:cs="Arial"/>
          <w:bCs/>
          <w:sz w:val="20"/>
          <w:szCs w:val="20"/>
          <w:lang w:val="es-CO" w:eastAsia="es-ES"/>
        </w:rPr>
        <w:t>(ISO): Entidad independiente responsable de la coordinación y supervisión del Sistema de Transmisión Nacional, Regional y Los Recursos Despachadas Centralmente, para garantizar la seguridad y confiabilidad de la operación del sistema eléctrico a costos eficientes.</w:t>
      </w:r>
    </w:p>
    <w:p w14:paraId="18B2B47A" w14:textId="77777777" w:rsidR="00B7476F" w:rsidRPr="00D61480" w:rsidRDefault="00B7476F" w:rsidP="00B7476F">
      <w:pPr>
        <w:rPr>
          <w:rFonts w:ascii="Arial" w:hAnsi="Arial"/>
          <w:bCs/>
          <w:sz w:val="20"/>
          <w:szCs w:val="20"/>
          <w:lang w:val="es-CO"/>
        </w:rPr>
      </w:pPr>
    </w:p>
    <w:p w14:paraId="6A6B7604"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 xml:space="preserve">Punto común de acople: Es la subestación en la cual se integran todas las unidades generadoras de una misma planta, </w:t>
      </w:r>
    </w:p>
    <w:p w14:paraId="379B58B6" w14:textId="77777777" w:rsidR="00B7476F" w:rsidRPr="00D61480" w:rsidRDefault="00B7476F" w:rsidP="00B7476F">
      <w:pPr>
        <w:pStyle w:val="Prrafodelista"/>
        <w:rPr>
          <w:rFonts w:ascii="Arial" w:hAnsi="Arial"/>
          <w:bCs/>
          <w:sz w:val="20"/>
          <w:szCs w:val="20"/>
          <w:lang w:val="es-CO"/>
        </w:rPr>
      </w:pPr>
    </w:p>
    <w:p w14:paraId="3211B501"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Punto de conexión: es el punto donde se conecta una planta de generación (la subestación del STN/STR/SDL), por ejemplo</w:t>
      </w:r>
      <w:r w:rsidR="00B7476F" w:rsidRPr="00D61480">
        <w:rPr>
          <w:rFonts w:ascii="Arial" w:hAnsi="Arial" w:cs="Arial"/>
          <w:bCs/>
          <w:sz w:val="20"/>
          <w:szCs w:val="20"/>
          <w:lang w:val="es-CO" w:eastAsia="es-ES"/>
        </w:rPr>
        <w:t>,</w:t>
      </w:r>
      <w:r w:rsidRPr="00D61480">
        <w:rPr>
          <w:rFonts w:ascii="Arial" w:hAnsi="Arial" w:cs="Arial"/>
          <w:bCs/>
          <w:sz w:val="20"/>
          <w:szCs w:val="20"/>
          <w:lang w:val="es-CO" w:eastAsia="es-ES"/>
        </w:rPr>
        <w:t xml:space="preserve"> plantas solar fotovoltaica o eólica. Este punto es en el que </w:t>
      </w:r>
      <w:r w:rsidR="00B7476F" w:rsidRPr="00D61480">
        <w:rPr>
          <w:rFonts w:ascii="Arial" w:hAnsi="Arial" w:cs="Arial"/>
          <w:bCs/>
          <w:sz w:val="20"/>
          <w:szCs w:val="20"/>
          <w:lang w:val="es-CO" w:eastAsia="es-ES"/>
        </w:rPr>
        <w:lastRenderedPageBreak/>
        <w:t>se</w:t>
      </w:r>
      <w:r w:rsidRPr="00D61480">
        <w:rPr>
          <w:rFonts w:ascii="Arial" w:hAnsi="Arial" w:cs="Arial"/>
          <w:bCs/>
          <w:sz w:val="20"/>
          <w:szCs w:val="20"/>
          <w:lang w:val="es-CO" w:eastAsia="es-ES"/>
        </w:rPr>
        <w:t xml:space="preserve"> autoriza la conexión de la fuente de generación</w:t>
      </w:r>
      <w:r w:rsidR="00B7476F" w:rsidRPr="00D61480">
        <w:rPr>
          <w:rFonts w:ascii="Arial" w:hAnsi="Arial" w:cs="Arial"/>
          <w:bCs/>
          <w:sz w:val="20"/>
          <w:szCs w:val="20"/>
          <w:lang w:val="es-CO" w:eastAsia="es-ES"/>
        </w:rPr>
        <w:t>,</w:t>
      </w:r>
      <w:r w:rsidRPr="00D61480">
        <w:rPr>
          <w:rFonts w:ascii="Arial" w:hAnsi="Arial" w:cs="Arial"/>
          <w:bCs/>
          <w:sz w:val="20"/>
          <w:szCs w:val="20"/>
          <w:lang w:val="es-CO" w:eastAsia="es-ES"/>
        </w:rPr>
        <w:t xml:space="preserve"> o en el punto en que se instala la frontera comercial</w:t>
      </w:r>
      <w:r w:rsidR="00B7476F" w:rsidRPr="00D61480">
        <w:rPr>
          <w:rFonts w:ascii="Arial" w:hAnsi="Arial" w:cs="Arial"/>
          <w:bCs/>
          <w:sz w:val="20"/>
          <w:szCs w:val="20"/>
          <w:lang w:val="es-CO" w:eastAsia="es-ES"/>
        </w:rPr>
        <w:t xml:space="preserve"> </w:t>
      </w:r>
      <w:r w:rsidRPr="00D61480">
        <w:rPr>
          <w:rFonts w:ascii="Arial" w:hAnsi="Arial" w:cs="Arial"/>
          <w:bCs/>
          <w:sz w:val="20"/>
          <w:szCs w:val="20"/>
          <w:lang w:val="es-CO" w:eastAsia="es-ES"/>
        </w:rPr>
        <w:t>(Resolución CREG 038 de 2014).</w:t>
      </w:r>
    </w:p>
    <w:p w14:paraId="6C59C565" w14:textId="77777777" w:rsidR="00B7476F" w:rsidRPr="00D61480" w:rsidRDefault="00B7476F" w:rsidP="00B7476F">
      <w:pPr>
        <w:pStyle w:val="Prrafodelista"/>
        <w:rPr>
          <w:rFonts w:ascii="Arial" w:hAnsi="Arial"/>
          <w:bCs/>
          <w:sz w:val="20"/>
          <w:szCs w:val="20"/>
          <w:lang w:val="es-CO"/>
        </w:rPr>
      </w:pPr>
    </w:p>
    <w:p w14:paraId="1FA4A9CD"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Recurso Energético Distribuido, DER: Recurso energético gestionable para el suministro (autogeneración, cogeneración), almacenamiento o consumo de energía eléctrica (respuesta de la demanda), conectado en el SDL o en las instalaciones de uso final con la posibilidad de participar activamente, individual o de forma agregada por medio de un tercero, en los servicios que gestione el DSO en el sistema eléctrico.</w:t>
      </w:r>
    </w:p>
    <w:p w14:paraId="0B12D081" w14:textId="77777777" w:rsidR="00B7476F" w:rsidRPr="00D61480" w:rsidRDefault="00B7476F" w:rsidP="00B7476F">
      <w:pPr>
        <w:pStyle w:val="Prrafodelista"/>
        <w:rPr>
          <w:rFonts w:ascii="Arial" w:hAnsi="Arial"/>
          <w:bCs/>
          <w:sz w:val="20"/>
          <w:szCs w:val="20"/>
          <w:lang w:val="es-CO"/>
        </w:rPr>
      </w:pPr>
    </w:p>
    <w:p w14:paraId="591E4634"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 xml:space="preserve">Red enmallada operativa: Red del sistema de distribución local, </w:t>
      </w:r>
      <w:r w:rsidR="00B7476F" w:rsidRPr="00D61480">
        <w:rPr>
          <w:rFonts w:ascii="Arial" w:hAnsi="Arial" w:cs="Arial"/>
          <w:bCs/>
          <w:sz w:val="20"/>
          <w:szCs w:val="20"/>
          <w:lang w:val="es-CO" w:eastAsia="es-ES"/>
        </w:rPr>
        <w:t xml:space="preserve">generalmente </w:t>
      </w:r>
      <w:r w:rsidRPr="00D61480">
        <w:rPr>
          <w:rFonts w:ascii="Arial" w:hAnsi="Arial" w:cs="Arial"/>
          <w:bCs/>
          <w:sz w:val="20"/>
          <w:szCs w:val="20"/>
          <w:lang w:val="es-CO" w:eastAsia="es-ES"/>
        </w:rPr>
        <w:t>en nivel de tensión 3, que opera normalmente de forma no radial.</w:t>
      </w:r>
    </w:p>
    <w:p w14:paraId="1E5B7AAD" w14:textId="77777777" w:rsidR="00B7476F" w:rsidRPr="00D61480" w:rsidRDefault="00B7476F" w:rsidP="00423DE6">
      <w:pPr>
        <w:rPr>
          <w:rFonts w:ascii="Arial" w:hAnsi="Arial"/>
          <w:bCs/>
          <w:sz w:val="20"/>
          <w:szCs w:val="20"/>
          <w:lang w:val="es-CO"/>
        </w:rPr>
      </w:pPr>
    </w:p>
    <w:p w14:paraId="1B655710"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Sistema de Distribución Local, SDL: sistema de transporte de energía eléctrica compuesto por el conjunto de líneas y subestaciones, con sus equipos asociados, que operan en los niveles de tensión 3, 2 y 1 y son utilizados para la prestación del servicio en un mercado de comercialización.</w:t>
      </w:r>
    </w:p>
    <w:p w14:paraId="19C9CD18" w14:textId="77777777" w:rsidR="00B7476F" w:rsidRPr="00D61480" w:rsidRDefault="00B7476F" w:rsidP="00B7476F">
      <w:pPr>
        <w:pStyle w:val="Prrafodelista"/>
        <w:rPr>
          <w:rFonts w:ascii="Arial" w:hAnsi="Arial"/>
          <w:bCs/>
          <w:sz w:val="20"/>
          <w:szCs w:val="20"/>
          <w:lang w:val="es-CO"/>
        </w:rPr>
      </w:pPr>
    </w:p>
    <w:p w14:paraId="79DAB60B"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Sistema de Transmisión Regional, STR: sistema de transporte de energía eléctrica compuesto por los activos de conexión del OR o el TR al STN y el conjunto de líneas, equipos y subestaciones, con sus equipos asociados, que operan en el nivel de tensión 4. Los STR pueden estar conformados por los activos de uno o más OR o TR.</w:t>
      </w:r>
    </w:p>
    <w:p w14:paraId="5686AE2B" w14:textId="77777777" w:rsidR="00B7476F" w:rsidRPr="00D61480" w:rsidRDefault="00B7476F" w:rsidP="00B7476F">
      <w:pPr>
        <w:pStyle w:val="Prrafodelista"/>
        <w:rPr>
          <w:rFonts w:ascii="Arial" w:hAnsi="Arial"/>
          <w:bCs/>
          <w:sz w:val="20"/>
          <w:szCs w:val="20"/>
          <w:lang w:val="es-CO"/>
        </w:rPr>
      </w:pPr>
    </w:p>
    <w:p w14:paraId="32D740EE"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Sistema de Transmisión Nacional, STN: es el sistema de transmisión de energía eléctrica compuesto por el conjunto de líneas, equipos de compensación y subestaciones que operan a tensiones iguales o superiores a 220 kV, los transformadores con este nivel de tensión en el lado de baja y los correspondientes módulos de conexión.</w:t>
      </w:r>
    </w:p>
    <w:p w14:paraId="06E2C6DA" w14:textId="77777777" w:rsidR="00B7476F" w:rsidRPr="00D61480" w:rsidRDefault="00B7476F" w:rsidP="00B7476F">
      <w:pPr>
        <w:pStyle w:val="Prrafodelista"/>
        <w:rPr>
          <w:rFonts w:ascii="Arial" w:hAnsi="Arial"/>
          <w:bCs/>
          <w:sz w:val="20"/>
          <w:szCs w:val="20"/>
          <w:lang w:val="es-CO"/>
        </w:rPr>
      </w:pPr>
    </w:p>
    <w:p w14:paraId="69B1062D"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Sistema de generación basada en inversores conectada en el SDL &lt; 5 MW: Incluye todos los sistemas de generación basada en inversores &lt; 5 MW conectada en el SDL delante y detrás del medidor, la autogeneración y cogeneración independiente de su capacidad.</w:t>
      </w:r>
    </w:p>
    <w:p w14:paraId="4746E5CE" w14:textId="77777777" w:rsidR="00B7476F" w:rsidRPr="00D61480" w:rsidRDefault="00B7476F" w:rsidP="00B7476F">
      <w:pPr>
        <w:pStyle w:val="Prrafodelista"/>
        <w:rPr>
          <w:rFonts w:ascii="Arial" w:hAnsi="Arial"/>
          <w:bCs/>
          <w:sz w:val="20"/>
          <w:szCs w:val="20"/>
          <w:lang w:val="es-CO"/>
        </w:rPr>
      </w:pPr>
    </w:p>
    <w:p w14:paraId="5898B74B"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Sistema de Generación: Conjunto de generadores, conductores y equipo asociado, que es propiedad de un generador o auto productor y se instala con el propósito de producir electricidad. Un sistema de generación puede estar constituido por uno o más generadores.</w:t>
      </w:r>
    </w:p>
    <w:p w14:paraId="1412E170" w14:textId="77777777" w:rsidR="00423DE6" w:rsidRPr="00D61480" w:rsidRDefault="00423DE6" w:rsidP="00423DE6">
      <w:pPr>
        <w:pStyle w:val="Enelcorpodeltesto"/>
        <w:ind w:left="360"/>
        <w:contextualSpacing/>
        <w:outlineLvl w:val="0"/>
        <w:rPr>
          <w:rFonts w:ascii="Arial" w:hAnsi="Arial" w:cs="Arial"/>
          <w:bCs/>
          <w:sz w:val="20"/>
          <w:szCs w:val="20"/>
          <w:lang w:val="es-CO" w:eastAsia="es-ES"/>
        </w:rPr>
      </w:pPr>
    </w:p>
    <w:p w14:paraId="530347E6" w14:textId="41CA9715"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Supervisión: adquisición, en forma directa o indirecta, de información de variables operativas del SIN y procesamiento de la misma, sin que esto implique control operativo de tales variables.</w:t>
      </w:r>
    </w:p>
    <w:p w14:paraId="3FEA2EC0" w14:textId="77777777" w:rsidR="00B7476F" w:rsidRPr="00D61480" w:rsidRDefault="00B7476F" w:rsidP="00B7476F">
      <w:pPr>
        <w:pStyle w:val="Prrafodelista"/>
        <w:rPr>
          <w:rFonts w:ascii="Arial" w:hAnsi="Arial"/>
          <w:bCs/>
          <w:sz w:val="20"/>
          <w:szCs w:val="20"/>
          <w:lang w:val="es-CO"/>
        </w:rPr>
      </w:pPr>
    </w:p>
    <w:p w14:paraId="1340C46A" w14:textId="77777777"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Transmisor Nacional, TN: Persona jurídica que realiza la actividad de Transmisión de Energía Eléctrica en el STN o que ha constituido una empresa cuyo objeto es el desarrollo de dichas actividades. Para todos los propósitos son las empresas que tienen aprobado por la CREG un inventario de activos del STN o un Ingreso Esperado. El TN siempre debe ser una Empresa de Servicios Públicos Domiciliarios.</w:t>
      </w:r>
    </w:p>
    <w:p w14:paraId="36BBDA78" w14:textId="77777777" w:rsidR="00B7476F" w:rsidRPr="00D61480" w:rsidRDefault="00B7476F" w:rsidP="00B7476F">
      <w:pPr>
        <w:pStyle w:val="Prrafodelista"/>
        <w:rPr>
          <w:rFonts w:ascii="Arial" w:hAnsi="Arial"/>
          <w:bCs/>
          <w:sz w:val="20"/>
          <w:szCs w:val="20"/>
          <w:lang w:val="es-CO"/>
        </w:rPr>
      </w:pPr>
    </w:p>
    <w:p w14:paraId="154AC9D0" w14:textId="4BE4ECEF" w:rsidR="00B7476F"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Transmisor regional, TR: persona jurídica que opera y transporta energía eléctrica en un STR o que ha constituido una empresa cuyo objeto es el desarrollo de dichas actividades. En el ejercicio de su actividad, es responsable por la calidad del sistema que opera, así como las demás normas asociadas con la distribución de energía eléctrica en un STR.</w:t>
      </w:r>
    </w:p>
    <w:p w14:paraId="0214D195" w14:textId="77777777" w:rsidR="003D4947" w:rsidRPr="00D61480" w:rsidRDefault="003D4947" w:rsidP="003D4947">
      <w:pPr>
        <w:pStyle w:val="Enelcorpodeltesto"/>
        <w:ind w:left="360"/>
        <w:contextualSpacing/>
        <w:outlineLvl w:val="0"/>
        <w:rPr>
          <w:rFonts w:ascii="Arial" w:hAnsi="Arial" w:cs="Arial"/>
          <w:bCs/>
          <w:sz w:val="20"/>
          <w:szCs w:val="20"/>
          <w:lang w:val="es-CO" w:eastAsia="es-ES"/>
        </w:rPr>
      </w:pPr>
    </w:p>
    <w:p w14:paraId="74682957" w14:textId="364B4EA5" w:rsidR="00F544BA"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lastRenderedPageBreak/>
        <w:t>Usuario del STR o SDL: es el usuario final del servicio de energía eléctrica, OR, generador, cogenerador o autogenerador, recurso energético distribuido conectado al STR o al SDL.</w:t>
      </w:r>
    </w:p>
    <w:p w14:paraId="5B06D615" w14:textId="77777777" w:rsidR="00F544BA" w:rsidRPr="00D61480" w:rsidRDefault="00F544BA" w:rsidP="00F544BA">
      <w:pPr>
        <w:pStyle w:val="Prrafodelista"/>
        <w:rPr>
          <w:rFonts w:ascii="Arial" w:hAnsi="Arial"/>
          <w:bCs/>
          <w:sz w:val="20"/>
          <w:szCs w:val="20"/>
          <w:lang w:val="es-CO"/>
        </w:rPr>
      </w:pPr>
    </w:p>
    <w:p w14:paraId="34BD6D61" w14:textId="30317527" w:rsidR="00685308" w:rsidRPr="00D61480" w:rsidRDefault="00685308" w:rsidP="004E0B95">
      <w:pPr>
        <w:pStyle w:val="Enelcorpodeltesto"/>
        <w:numPr>
          <w:ilvl w:val="0"/>
          <w:numId w:val="13"/>
        </w:numPr>
        <w:contextualSpacing/>
        <w:outlineLvl w:val="0"/>
        <w:rPr>
          <w:rFonts w:ascii="Arial" w:hAnsi="Arial" w:cs="Arial"/>
          <w:bCs/>
          <w:sz w:val="20"/>
          <w:szCs w:val="20"/>
          <w:lang w:val="es-CO" w:eastAsia="es-ES"/>
        </w:rPr>
      </w:pPr>
      <w:r w:rsidRPr="00D61480">
        <w:rPr>
          <w:rFonts w:ascii="Arial" w:hAnsi="Arial" w:cs="Arial"/>
          <w:bCs/>
          <w:sz w:val="20"/>
          <w:szCs w:val="20"/>
          <w:lang w:val="es-CO" w:eastAsia="es-ES"/>
        </w:rPr>
        <w:t>VPP (planta de energía virtual): esquema de operación que agrega recursos energéticos distribuidos controlables para proveer servicios al sistema. La VPP provee servicios al mercado de energía, servicios complementarios, comercio de carbono, etc.</w:t>
      </w:r>
    </w:p>
    <w:p w14:paraId="18A0ABAF" w14:textId="3E65A49F" w:rsidR="00685308" w:rsidRPr="00D61480" w:rsidRDefault="00685308" w:rsidP="00685308">
      <w:pPr>
        <w:pStyle w:val="Enelcorpodeltesto"/>
        <w:contextualSpacing/>
        <w:outlineLvl w:val="0"/>
        <w:rPr>
          <w:rFonts w:ascii="Arial" w:hAnsi="Arial" w:cs="Arial"/>
          <w:b/>
          <w:sz w:val="20"/>
          <w:szCs w:val="20"/>
          <w:lang w:val="es-CO" w:eastAsia="es-ES"/>
        </w:rPr>
      </w:pPr>
    </w:p>
    <w:p w14:paraId="5C693F34" w14:textId="382E879F" w:rsidR="00F544BA" w:rsidRPr="00D61480" w:rsidRDefault="00F544BA" w:rsidP="00F544BA">
      <w:pPr>
        <w:pStyle w:val="Enelcorpodeltesto"/>
        <w:numPr>
          <w:ilvl w:val="0"/>
          <w:numId w:val="12"/>
        </w:numPr>
        <w:contextualSpacing/>
        <w:outlineLvl w:val="0"/>
        <w:rPr>
          <w:rFonts w:ascii="Arial" w:hAnsi="Arial" w:cs="Arial"/>
          <w:b/>
          <w:sz w:val="20"/>
          <w:szCs w:val="20"/>
          <w:lang w:val="es-CO" w:eastAsia="es-ES"/>
        </w:rPr>
      </w:pPr>
      <w:r w:rsidRPr="00D61480">
        <w:rPr>
          <w:rFonts w:ascii="Arial" w:hAnsi="Arial" w:cs="Arial"/>
          <w:b/>
          <w:sz w:val="20"/>
          <w:szCs w:val="20"/>
          <w:lang w:val="es-CO" w:eastAsia="es-ES"/>
        </w:rPr>
        <w:t>Contexto Actual.</w:t>
      </w:r>
    </w:p>
    <w:p w14:paraId="6C15AEB5" w14:textId="548B24A7" w:rsidR="00F544BA" w:rsidRPr="00D61480" w:rsidRDefault="00F544BA" w:rsidP="00685308">
      <w:pPr>
        <w:pStyle w:val="Enelcorpodeltesto"/>
        <w:contextualSpacing/>
        <w:outlineLvl w:val="0"/>
        <w:rPr>
          <w:rFonts w:ascii="Arial" w:hAnsi="Arial" w:cs="Arial"/>
          <w:b/>
          <w:sz w:val="20"/>
          <w:szCs w:val="20"/>
          <w:lang w:val="es-CO" w:eastAsia="es-ES"/>
        </w:rPr>
      </w:pPr>
    </w:p>
    <w:p w14:paraId="26A363DC" w14:textId="77777777" w:rsidR="00F544BA" w:rsidRPr="00D61480" w:rsidRDefault="00F544BA" w:rsidP="00F544BA">
      <w:pPr>
        <w:rPr>
          <w:rFonts w:ascii="Arial" w:hAnsi="Arial"/>
          <w:sz w:val="20"/>
          <w:szCs w:val="20"/>
        </w:rPr>
      </w:pPr>
      <w:r w:rsidRPr="00D61480">
        <w:rPr>
          <w:rFonts w:ascii="Arial" w:hAnsi="Arial"/>
          <w:sz w:val="20"/>
          <w:szCs w:val="20"/>
        </w:rPr>
        <w:t>La cadena del sector eléctrico desde la generación tiene una estructura de operación y mercado, transmisión, distribución y comercialización, estos 4 eslabones de la cadena son representados por agentes, como se muestra a continuación:</w:t>
      </w:r>
    </w:p>
    <w:p w14:paraId="653AB401" w14:textId="77777777" w:rsidR="00F544BA" w:rsidRPr="00D61480" w:rsidRDefault="00F544BA" w:rsidP="00F544BA">
      <w:pPr>
        <w:rPr>
          <w:rFonts w:ascii="Arial" w:hAnsi="Arial"/>
          <w:sz w:val="20"/>
          <w:szCs w:val="20"/>
        </w:rPr>
      </w:pPr>
    </w:p>
    <w:p w14:paraId="18187656" w14:textId="0846835B" w:rsidR="00F544BA" w:rsidRPr="00D61480" w:rsidRDefault="00F544BA" w:rsidP="00F544BA">
      <w:pPr>
        <w:jc w:val="center"/>
        <w:rPr>
          <w:rFonts w:ascii="Arial" w:hAnsi="Arial"/>
          <w:sz w:val="20"/>
          <w:szCs w:val="20"/>
        </w:rPr>
      </w:pPr>
      <w:r w:rsidRPr="00D61480">
        <w:rPr>
          <w:noProof/>
          <w:sz w:val="20"/>
          <w:szCs w:val="20"/>
        </w:rPr>
        <w:drawing>
          <wp:inline distT="0" distB="0" distL="0" distR="0" wp14:anchorId="3AEB13C0" wp14:editId="722266F1">
            <wp:extent cx="4358288" cy="212407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b="978"/>
                    <a:stretch>
                      <a:fillRect/>
                    </a:stretch>
                  </pic:blipFill>
                  <pic:spPr bwMode="auto">
                    <a:xfrm>
                      <a:off x="0" y="0"/>
                      <a:ext cx="4453747" cy="2170598"/>
                    </a:xfrm>
                    <a:prstGeom prst="rect">
                      <a:avLst/>
                    </a:prstGeom>
                    <a:noFill/>
                    <a:ln>
                      <a:noFill/>
                    </a:ln>
                  </pic:spPr>
                </pic:pic>
              </a:graphicData>
            </a:graphic>
          </wp:inline>
        </w:drawing>
      </w:r>
    </w:p>
    <w:p w14:paraId="4851B73E" w14:textId="375CCB7A" w:rsidR="00F544BA" w:rsidRPr="00D61480" w:rsidRDefault="00F544BA" w:rsidP="00F544BA">
      <w:pPr>
        <w:pStyle w:val="Figura"/>
        <w:rPr>
          <w:sz w:val="16"/>
          <w:szCs w:val="16"/>
        </w:rPr>
      </w:pPr>
      <w:r w:rsidRPr="00D61480">
        <w:rPr>
          <w:sz w:val="16"/>
          <w:szCs w:val="16"/>
        </w:rPr>
        <w:t xml:space="preserve">Figura </w:t>
      </w:r>
      <w:r w:rsidRPr="00D61480">
        <w:rPr>
          <w:sz w:val="16"/>
          <w:szCs w:val="16"/>
        </w:rPr>
        <w:fldChar w:fldCharType="begin"/>
      </w:r>
      <w:r w:rsidRPr="00D61480">
        <w:rPr>
          <w:sz w:val="16"/>
          <w:szCs w:val="16"/>
        </w:rPr>
        <w:instrText xml:space="preserve"> SEQ Figura \* ARABIC </w:instrText>
      </w:r>
      <w:r w:rsidRPr="00D61480">
        <w:rPr>
          <w:sz w:val="16"/>
          <w:szCs w:val="16"/>
        </w:rPr>
        <w:fldChar w:fldCharType="separate"/>
      </w:r>
      <w:r w:rsidRPr="00D61480">
        <w:rPr>
          <w:noProof/>
          <w:sz w:val="16"/>
          <w:szCs w:val="16"/>
        </w:rPr>
        <w:t>1</w:t>
      </w:r>
      <w:r w:rsidRPr="00D61480">
        <w:rPr>
          <w:sz w:val="16"/>
          <w:szCs w:val="16"/>
        </w:rPr>
        <w:fldChar w:fldCharType="end"/>
      </w:r>
      <w:r w:rsidRPr="00D61480">
        <w:rPr>
          <w:sz w:val="16"/>
          <w:szCs w:val="16"/>
        </w:rPr>
        <w:t>. Estructura y agentes del sector eléctrico. Fuente: XM</w:t>
      </w:r>
    </w:p>
    <w:p w14:paraId="6F7CA2AC" w14:textId="77777777" w:rsidR="00423DE6" w:rsidRPr="00D61480" w:rsidRDefault="00423DE6" w:rsidP="00F544BA">
      <w:pPr>
        <w:rPr>
          <w:rFonts w:ascii="Arial" w:hAnsi="Arial"/>
          <w:sz w:val="20"/>
          <w:szCs w:val="20"/>
        </w:rPr>
      </w:pPr>
    </w:p>
    <w:p w14:paraId="611D8051" w14:textId="32BBF396" w:rsidR="00F544BA" w:rsidRPr="00D61480" w:rsidRDefault="00F544BA" w:rsidP="00F544BA">
      <w:pPr>
        <w:rPr>
          <w:rFonts w:ascii="Arial" w:hAnsi="Arial"/>
          <w:sz w:val="20"/>
          <w:szCs w:val="20"/>
        </w:rPr>
      </w:pPr>
      <w:r w:rsidRPr="00D61480">
        <w:rPr>
          <w:rFonts w:ascii="Arial" w:hAnsi="Arial"/>
          <w:sz w:val="20"/>
          <w:szCs w:val="20"/>
        </w:rPr>
        <w:t xml:space="preserve">XM actual responsable de la operación y administración del mercado, cuenta con el CND para la operación, planeación, coordinación y supervisión de los activos del SIN, así como asesorar al regulador sobre los posibles riesgos en la operación para tomar las medidas necesarias desde la regulación, todo lo anterior en estrecha coordinación y comunicación con los agentes de la cadena, para lo cual se muestra a continuación, las funciones y responsabilidades de los agentes. </w:t>
      </w:r>
    </w:p>
    <w:p w14:paraId="43D09266" w14:textId="77777777" w:rsidR="00F544BA" w:rsidRPr="00D61480" w:rsidRDefault="00F544BA" w:rsidP="00F544BA">
      <w:pPr>
        <w:rPr>
          <w:rFonts w:ascii="Arial" w:hAnsi="Arial"/>
          <w:sz w:val="20"/>
          <w:szCs w:val="20"/>
        </w:rPr>
      </w:pPr>
    </w:p>
    <w:p w14:paraId="338D1DE9" w14:textId="06997E30" w:rsidR="00F544BA" w:rsidRPr="00D61480" w:rsidRDefault="00F544BA" w:rsidP="00F544BA">
      <w:pPr>
        <w:jc w:val="center"/>
        <w:rPr>
          <w:rFonts w:ascii="Arial" w:hAnsi="Arial"/>
          <w:sz w:val="20"/>
          <w:szCs w:val="20"/>
        </w:rPr>
      </w:pPr>
      <w:r w:rsidRPr="00D61480">
        <w:rPr>
          <w:noProof/>
          <w:sz w:val="20"/>
          <w:szCs w:val="20"/>
        </w:rPr>
        <w:drawing>
          <wp:inline distT="0" distB="0" distL="0" distR="0" wp14:anchorId="676191C0" wp14:editId="77EBDCA4">
            <wp:extent cx="4331513" cy="22193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t="854"/>
                    <a:stretch>
                      <a:fillRect/>
                    </a:stretch>
                  </pic:blipFill>
                  <pic:spPr bwMode="auto">
                    <a:xfrm>
                      <a:off x="0" y="0"/>
                      <a:ext cx="4355333" cy="2231530"/>
                    </a:xfrm>
                    <a:prstGeom prst="rect">
                      <a:avLst/>
                    </a:prstGeom>
                    <a:noFill/>
                    <a:ln>
                      <a:noFill/>
                    </a:ln>
                  </pic:spPr>
                </pic:pic>
              </a:graphicData>
            </a:graphic>
          </wp:inline>
        </w:drawing>
      </w:r>
    </w:p>
    <w:p w14:paraId="5AAA238A" w14:textId="0131AA34" w:rsidR="00F544BA" w:rsidRPr="00D61480" w:rsidRDefault="00F544BA" w:rsidP="00F544BA">
      <w:pPr>
        <w:pStyle w:val="Figura"/>
        <w:rPr>
          <w:sz w:val="16"/>
          <w:szCs w:val="16"/>
        </w:rPr>
      </w:pPr>
      <w:r w:rsidRPr="00D61480">
        <w:rPr>
          <w:sz w:val="16"/>
          <w:szCs w:val="16"/>
        </w:rPr>
        <w:t xml:space="preserve">Figura </w:t>
      </w:r>
      <w:r w:rsidRPr="00D61480">
        <w:rPr>
          <w:sz w:val="16"/>
          <w:szCs w:val="16"/>
        </w:rPr>
        <w:fldChar w:fldCharType="begin"/>
      </w:r>
      <w:r w:rsidRPr="00D61480">
        <w:rPr>
          <w:sz w:val="16"/>
          <w:szCs w:val="16"/>
        </w:rPr>
        <w:instrText xml:space="preserve"> SEQ Figura \* ARABIC </w:instrText>
      </w:r>
      <w:r w:rsidRPr="00D61480">
        <w:rPr>
          <w:sz w:val="16"/>
          <w:szCs w:val="16"/>
        </w:rPr>
        <w:fldChar w:fldCharType="separate"/>
      </w:r>
      <w:r w:rsidRPr="00D61480">
        <w:rPr>
          <w:noProof/>
          <w:sz w:val="16"/>
          <w:szCs w:val="16"/>
        </w:rPr>
        <w:t>2</w:t>
      </w:r>
      <w:r w:rsidRPr="00D61480">
        <w:rPr>
          <w:sz w:val="16"/>
          <w:szCs w:val="16"/>
        </w:rPr>
        <w:fldChar w:fldCharType="end"/>
      </w:r>
      <w:r w:rsidRPr="00D61480">
        <w:rPr>
          <w:sz w:val="16"/>
          <w:szCs w:val="16"/>
        </w:rPr>
        <w:t>. Responsabilidades de los agentes. Fuente: XM</w:t>
      </w:r>
    </w:p>
    <w:p w14:paraId="5D1DD6DB" w14:textId="4D1EABA0" w:rsidR="00F544BA" w:rsidRPr="00D61480" w:rsidRDefault="00F544BA" w:rsidP="00F544BA">
      <w:pPr>
        <w:rPr>
          <w:rFonts w:ascii="Arial" w:hAnsi="Arial"/>
          <w:sz w:val="20"/>
          <w:szCs w:val="20"/>
        </w:rPr>
      </w:pPr>
      <w:r w:rsidRPr="00D61480">
        <w:rPr>
          <w:rFonts w:ascii="Arial" w:hAnsi="Arial"/>
          <w:sz w:val="20"/>
          <w:szCs w:val="20"/>
        </w:rPr>
        <w:lastRenderedPageBreak/>
        <w:t>Dentro de las funciones del CND se encuentra la programación de la operación para el despacho diario, actividad para la cual requiere tanto de insumos históricos, como datos en tiempo real y los pronósticos en el corto plazo, los cuales incluyen todas las variables de generación y del comportamiento de la demanda. La siguiente figura muestra el esquema de supervisión actual y de ciberseguridad con sus canales de comunicación en desarrollo.</w:t>
      </w:r>
    </w:p>
    <w:p w14:paraId="5CC86BB8" w14:textId="77777777" w:rsidR="00F544BA" w:rsidRPr="00D61480" w:rsidRDefault="00F544BA" w:rsidP="00F544BA">
      <w:pPr>
        <w:rPr>
          <w:rFonts w:ascii="Arial" w:hAnsi="Arial"/>
          <w:sz w:val="20"/>
          <w:szCs w:val="20"/>
        </w:rPr>
      </w:pPr>
    </w:p>
    <w:p w14:paraId="0FD95BB8" w14:textId="3B33AF45" w:rsidR="00F544BA" w:rsidRPr="00D61480" w:rsidRDefault="00F544BA" w:rsidP="00F544BA">
      <w:pPr>
        <w:jc w:val="center"/>
        <w:rPr>
          <w:rFonts w:ascii="Arial" w:hAnsi="Arial"/>
          <w:sz w:val="20"/>
          <w:szCs w:val="20"/>
        </w:rPr>
      </w:pPr>
      <w:r w:rsidRPr="00D61480">
        <w:rPr>
          <w:noProof/>
          <w:sz w:val="20"/>
          <w:szCs w:val="20"/>
        </w:rPr>
        <w:drawing>
          <wp:inline distT="0" distB="0" distL="0" distR="0" wp14:anchorId="25216D42" wp14:editId="6C2DFC44">
            <wp:extent cx="4162425" cy="24860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2425" cy="2486025"/>
                    </a:xfrm>
                    <a:prstGeom prst="rect">
                      <a:avLst/>
                    </a:prstGeom>
                    <a:noFill/>
                    <a:ln>
                      <a:noFill/>
                    </a:ln>
                  </pic:spPr>
                </pic:pic>
              </a:graphicData>
            </a:graphic>
          </wp:inline>
        </w:drawing>
      </w:r>
    </w:p>
    <w:p w14:paraId="20A06E93" w14:textId="77777777" w:rsidR="00F544BA" w:rsidRPr="00D61480" w:rsidRDefault="00F544BA" w:rsidP="00F544BA">
      <w:pPr>
        <w:pStyle w:val="Figura"/>
        <w:rPr>
          <w:sz w:val="16"/>
          <w:szCs w:val="16"/>
        </w:rPr>
      </w:pPr>
      <w:r w:rsidRPr="00D61480">
        <w:rPr>
          <w:sz w:val="16"/>
          <w:szCs w:val="16"/>
        </w:rPr>
        <w:t xml:space="preserve">Figura </w:t>
      </w:r>
      <w:r w:rsidRPr="00D61480">
        <w:rPr>
          <w:sz w:val="16"/>
          <w:szCs w:val="16"/>
        </w:rPr>
        <w:fldChar w:fldCharType="begin"/>
      </w:r>
      <w:r w:rsidRPr="00D61480">
        <w:rPr>
          <w:sz w:val="16"/>
          <w:szCs w:val="16"/>
        </w:rPr>
        <w:instrText xml:space="preserve"> SEQ Figura \* ARABIC </w:instrText>
      </w:r>
      <w:r w:rsidRPr="00D61480">
        <w:rPr>
          <w:sz w:val="16"/>
          <w:szCs w:val="16"/>
        </w:rPr>
        <w:fldChar w:fldCharType="separate"/>
      </w:r>
      <w:r w:rsidRPr="00D61480">
        <w:rPr>
          <w:noProof/>
          <w:sz w:val="16"/>
          <w:szCs w:val="16"/>
        </w:rPr>
        <w:t>3</w:t>
      </w:r>
      <w:r w:rsidRPr="00D61480">
        <w:rPr>
          <w:sz w:val="16"/>
          <w:szCs w:val="16"/>
        </w:rPr>
        <w:fldChar w:fldCharType="end"/>
      </w:r>
      <w:r w:rsidRPr="00D61480">
        <w:rPr>
          <w:sz w:val="16"/>
          <w:szCs w:val="16"/>
        </w:rPr>
        <w:t>. Esquema de supervisión y ciberseguridad del sector eléctrico.</w:t>
      </w:r>
    </w:p>
    <w:p w14:paraId="773F446C" w14:textId="77777777" w:rsidR="00423DE6" w:rsidRPr="00D61480" w:rsidRDefault="00423DE6" w:rsidP="00F544BA">
      <w:pPr>
        <w:rPr>
          <w:rFonts w:ascii="Arial" w:hAnsi="Arial"/>
          <w:sz w:val="20"/>
          <w:szCs w:val="20"/>
        </w:rPr>
      </w:pPr>
    </w:p>
    <w:p w14:paraId="3F947969" w14:textId="2E7C7272" w:rsidR="00F544BA" w:rsidRPr="00D61480" w:rsidRDefault="00F544BA" w:rsidP="00F544BA">
      <w:pPr>
        <w:rPr>
          <w:rFonts w:ascii="Arial" w:hAnsi="Arial"/>
          <w:sz w:val="20"/>
          <w:szCs w:val="20"/>
        </w:rPr>
      </w:pPr>
      <w:r w:rsidRPr="00D61480">
        <w:rPr>
          <w:rFonts w:ascii="Arial" w:hAnsi="Arial"/>
          <w:sz w:val="20"/>
          <w:szCs w:val="20"/>
        </w:rPr>
        <w:t>Al 25 de abril de 2020 el sector contaba con 17327 MW de capacidad instalada en generación (para atender una demanda máxima de 10190 MW), de los cuales el 69% corresponde a tecnologías renovables. De esta capacidad, 1.4GW son pequeñas centrales hidráulicas y filo de agua, 0.02 GW plantas eólicas y 0.01 GW plantas solares fotovoltaicas. No obstante, considerando los proyectos de generación renovables no convencionales con concepto de conexión de la UPME, se esperaba que para el año 2023 el sistema eléctrico colombiano presentara cambios importantes en su matriz energética.</w:t>
      </w:r>
    </w:p>
    <w:p w14:paraId="3E028A89" w14:textId="77777777" w:rsidR="00F544BA" w:rsidRPr="00D61480" w:rsidRDefault="00F544BA" w:rsidP="00F544BA">
      <w:pPr>
        <w:rPr>
          <w:rFonts w:ascii="Arial" w:hAnsi="Arial"/>
          <w:sz w:val="20"/>
          <w:szCs w:val="20"/>
        </w:rPr>
      </w:pPr>
    </w:p>
    <w:p w14:paraId="02897800" w14:textId="44CCEFEC" w:rsidR="00F544BA" w:rsidRPr="00D61480" w:rsidRDefault="00F544BA" w:rsidP="00F544BA">
      <w:pPr>
        <w:jc w:val="center"/>
        <w:rPr>
          <w:rFonts w:ascii="Arial" w:hAnsi="Arial"/>
          <w:sz w:val="20"/>
          <w:szCs w:val="20"/>
        </w:rPr>
      </w:pPr>
      <w:r w:rsidRPr="00D61480">
        <w:rPr>
          <w:noProof/>
          <w:sz w:val="20"/>
          <w:szCs w:val="20"/>
        </w:rPr>
        <w:drawing>
          <wp:inline distT="0" distB="0" distL="0" distR="0" wp14:anchorId="0E695625" wp14:editId="169D33CD">
            <wp:extent cx="2066925" cy="2568770"/>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a:extLst>
                        <a:ext uri="{28A0092B-C50C-407E-A947-70E740481C1C}">
                          <a14:useLocalDpi xmlns:a14="http://schemas.microsoft.com/office/drawing/2010/main" val="0"/>
                        </a:ext>
                      </a:extLst>
                    </a:blip>
                    <a:srcRect b="1051"/>
                    <a:stretch>
                      <a:fillRect/>
                    </a:stretch>
                  </pic:blipFill>
                  <pic:spPr bwMode="auto">
                    <a:xfrm>
                      <a:off x="0" y="0"/>
                      <a:ext cx="2074208" cy="2577821"/>
                    </a:xfrm>
                    <a:prstGeom prst="rect">
                      <a:avLst/>
                    </a:prstGeom>
                    <a:noFill/>
                    <a:ln>
                      <a:noFill/>
                    </a:ln>
                  </pic:spPr>
                </pic:pic>
              </a:graphicData>
            </a:graphic>
          </wp:inline>
        </w:drawing>
      </w:r>
    </w:p>
    <w:p w14:paraId="52B8F14F" w14:textId="2FD8A980" w:rsidR="00F544BA" w:rsidRPr="00D61480" w:rsidRDefault="00F544BA" w:rsidP="00423DE6">
      <w:pPr>
        <w:pStyle w:val="Figura"/>
        <w:rPr>
          <w:sz w:val="16"/>
          <w:szCs w:val="16"/>
        </w:rPr>
      </w:pPr>
      <w:r w:rsidRPr="00D61480">
        <w:rPr>
          <w:sz w:val="16"/>
          <w:szCs w:val="16"/>
        </w:rPr>
        <w:t xml:space="preserve">Figura </w:t>
      </w:r>
      <w:r w:rsidRPr="00D61480">
        <w:rPr>
          <w:sz w:val="16"/>
          <w:szCs w:val="16"/>
        </w:rPr>
        <w:fldChar w:fldCharType="begin"/>
      </w:r>
      <w:r w:rsidRPr="00D61480">
        <w:rPr>
          <w:sz w:val="16"/>
          <w:szCs w:val="16"/>
        </w:rPr>
        <w:instrText xml:space="preserve"> SEQ Figura \* ARABIC </w:instrText>
      </w:r>
      <w:r w:rsidRPr="00D61480">
        <w:rPr>
          <w:sz w:val="16"/>
          <w:szCs w:val="16"/>
        </w:rPr>
        <w:fldChar w:fldCharType="separate"/>
      </w:r>
      <w:r w:rsidRPr="00D61480">
        <w:rPr>
          <w:noProof/>
          <w:sz w:val="16"/>
          <w:szCs w:val="16"/>
        </w:rPr>
        <w:t>4</w:t>
      </w:r>
      <w:r w:rsidRPr="00D61480">
        <w:rPr>
          <w:sz w:val="16"/>
          <w:szCs w:val="16"/>
        </w:rPr>
        <w:fldChar w:fldCharType="end"/>
      </w:r>
      <w:r w:rsidRPr="00D61480">
        <w:rPr>
          <w:sz w:val="16"/>
          <w:szCs w:val="16"/>
        </w:rPr>
        <w:t>. Proyección FNCER</w:t>
      </w:r>
      <w:r w:rsidR="00423DE6" w:rsidRPr="00D61480">
        <w:rPr>
          <w:sz w:val="16"/>
          <w:szCs w:val="16"/>
        </w:rPr>
        <w:t xml:space="preserve">. </w:t>
      </w:r>
      <w:r w:rsidRPr="00D61480">
        <w:rPr>
          <w:sz w:val="16"/>
          <w:szCs w:val="16"/>
        </w:rPr>
        <w:t>Fuente: UPME</w:t>
      </w:r>
    </w:p>
    <w:p w14:paraId="681F7707" w14:textId="3ACEB7CE" w:rsidR="00F544BA" w:rsidRPr="00D61480" w:rsidRDefault="00F544BA" w:rsidP="00F544BA">
      <w:pPr>
        <w:rPr>
          <w:rFonts w:ascii="Arial" w:hAnsi="Arial"/>
          <w:sz w:val="20"/>
          <w:szCs w:val="20"/>
        </w:rPr>
      </w:pPr>
      <w:r w:rsidRPr="00D61480">
        <w:rPr>
          <w:rFonts w:ascii="Arial" w:hAnsi="Arial"/>
          <w:sz w:val="20"/>
          <w:szCs w:val="20"/>
        </w:rPr>
        <w:lastRenderedPageBreak/>
        <w:t>Las Fuentes No Convencionales de Energía Renovable-FNCER presentan diversos desafíos en cuanto a la operación y su integración con el SIN, tales como:</w:t>
      </w:r>
    </w:p>
    <w:p w14:paraId="276E3985" w14:textId="77777777" w:rsidR="00515BB1" w:rsidRPr="00D61480" w:rsidRDefault="00515BB1" w:rsidP="00F544BA">
      <w:pPr>
        <w:rPr>
          <w:rFonts w:ascii="Arial" w:hAnsi="Arial"/>
          <w:sz w:val="20"/>
          <w:szCs w:val="20"/>
        </w:rPr>
      </w:pPr>
    </w:p>
    <w:p w14:paraId="1A264041" w14:textId="77777777" w:rsidR="00F544BA" w:rsidRPr="00D61480" w:rsidRDefault="00F544BA" w:rsidP="004E0B95">
      <w:pPr>
        <w:pStyle w:val="Prrafodelista"/>
        <w:numPr>
          <w:ilvl w:val="0"/>
          <w:numId w:val="14"/>
        </w:numPr>
        <w:spacing w:line="256" w:lineRule="auto"/>
        <w:rPr>
          <w:rFonts w:ascii="Arial" w:hAnsi="Arial"/>
          <w:sz w:val="20"/>
          <w:szCs w:val="20"/>
        </w:rPr>
      </w:pPr>
      <w:r w:rsidRPr="00D61480">
        <w:rPr>
          <w:rFonts w:ascii="Arial" w:hAnsi="Arial"/>
          <w:sz w:val="20"/>
          <w:szCs w:val="20"/>
        </w:rPr>
        <w:t>Variabilidad: se deben tener en cuenta rampas y tiempos de arranque/parada. Puede aumentar el requerimiento de recursos flexibles.</w:t>
      </w:r>
    </w:p>
    <w:p w14:paraId="27A2D0CA" w14:textId="77777777" w:rsidR="00515BB1" w:rsidRPr="00D61480" w:rsidRDefault="00515BB1" w:rsidP="00515BB1">
      <w:pPr>
        <w:pStyle w:val="Prrafodelista"/>
        <w:spacing w:line="256" w:lineRule="auto"/>
        <w:ind w:left="360"/>
        <w:rPr>
          <w:rFonts w:ascii="Arial" w:hAnsi="Arial"/>
          <w:sz w:val="20"/>
          <w:szCs w:val="20"/>
        </w:rPr>
      </w:pPr>
    </w:p>
    <w:p w14:paraId="487BC8FE" w14:textId="6E540077" w:rsidR="00F544BA" w:rsidRPr="00D61480" w:rsidRDefault="00F544BA" w:rsidP="004E0B95">
      <w:pPr>
        <w:pStyle w:val="Prrafodelista"/>
        <w:numPr>
          <w:ilvl w:val="0"/>
          <w:numId w:val="14"/>
        </w:numPr>
        <w:spacing w:line="256" w:lineRule="auto"/>
        <w:rPr>
          <w:rFonts w:ascii="Arial" w:hAnsi="Arial"/>
          <w:sz w:val="20"/>
          <w:szCs w:val="20"/>
        </w:rPr>
      </w:pPr>
      <w:r w:rsidRPr="00D61480">
        <w:rPr>
          <w:rFonts w:ascii="Arial" w:hAnsi="Arial"/>
          <w:sz w:val="20"/>
          <w:szCs w:val="20"/>
        </w:rPr>
        <w:t>Incertidumbre: pueden afectar el despacho y comprometer la confiabilidad del sistema. Según sea el caso, debe existir una coordinación adicional para la disponibilidad de combustible.</w:t>
      </w:r>
    </w:p>
    <w:p w14:paraId="60074EAD" w14:textId="77777777" w:rsidR="00515BB1" w:rsidRPr="00D61480" w:rsidRDefault="00515BB1" w:rsidP="00515BB1">
      <w:pPr>
        <w:pStyle w:val="Prrafodelista"/>
        <w:spacing w:line="256" w:lineRule="auto"/>
        <w:ind w:left="360"/>
        <w:rPr>
          <w:rFonts w:ascii="Arial" w:hAnsi="Arial"/>
          <w:sz w:val="20"/>
          <w:szCs w:val="20"/>
        </w:rPr>
      </w:pPr>
    </w:p>
    <w:p w14:paraId="4FDA87C6" w14:textId="6227B3EF" w:rsidR="00F544BA" w:rsidRPr="00D61480" w:rsidRDefault="00F544BA" w:rsidP="004E0B95">
      <w:pPr>
        <w:pStyle w:val="Prrafodelista"/>
        <w:numPr>
          <w:ilvl w:val="0"/>
          <w:numId w:val="14"/>
        </w:numPr>
        <w:spacing w:line="256" w:lineRule="auto"/>
        <w:rPr>
          <w:rFonts w:ascii="Arial" w:hAnsi="Arial"/>
          <w:sz w:val="20"/>
          <w:szCs w:val="20"/>
        </w:rPr>
      </w:pPr>
      <w:r w:rsidRPr="00D61480">
        <w:rPr>
          <w:rFonts w:ascii="Arial" w:hAnsi="Arial"/>
          <w:sz w:val="20"/>
          <w:szCs w:val="20"/>
        </w:rPr>
        <w:t xml:space="preserve">Generación </w:t>
      </w:r>
      <w:r w:rsidR="00515BB1" w:rsidRPr="00D61480">
        <w:rPr>
          <w:rFonts w:ascii="Arial" w:hAnsi="Arial"/>
          <w:sz w:val="20"/>
          <w:szCs w:val="20"/>
        </w:rPr>
        <w:t>n</w:t>
      </w:r>
      <w:r w:rsidRPr="00D61480">
        <w:rPr>
          <w:rFonts w:ascii="Arial" w:hAnsi="Arial"/>
          <w:sz w:val="20"/>
          <w:szCs w:val="20"/>
        </w:rPr>
        <w:t>o síncrona: No presentan inercia. Pueden tener una reacción diferente a las plantas convencionales ante eventos en el sistema y tienen una capacidad diferente para el control de voltaje y frecuencia.</w:t>
      </w:r>
    </w:p>
    <w:p w14:paraId="35DC5EA5" w14:textId="77777777" w:rsidR="00515BB1" w:rsidRPr="00D61480" w:rsidRDefault="00515BB1" w:rsidP="00515BB1">
      <w:pPr>
        <w:pStyle w:val="Prrafodelista"/>
        <w:spacing w:line="256" w:lineRule="auto"/>
        <w:ind w:left="360"/>
        <w:rPr>
          <w:rFonts w:ascii="Arial" w:hAnsi="Arial"/>
          <w:sz w:val="20"/>
          <w:szCs w:val="20"/>
        </w:rPr>
      </w:pPr>
    </w:p>
    <w:p w14:paraId="39FB2A74" w14:textId="6D3C20BA" w:rsidR="00F544BA" w:rsidRPr="00D61480" w:rsidRDefault="00F544BA" w:rsidP="004E0B95">
      <w:pPr>
        <w:pStyle w:val="Prrafodelista"/>
        <w:numPr>
          <w:ilvl w:val="0"/>
          <w:numId w:val="14"/>
        </w:numPr>
        <w:spacing w:line="256" w:lineRule="auto"/>
        <w:rPr>
          <w:rFonts w:ascii="Arial" w:hAnsi="Arial"/>
          <w:sz w:val="20"/>
          <w:szCs w:val="20"/>
        </w:rPr>
      </w:pPr>
      <w:r w:rsidRPr="00D61480">
        <w:rPr>
          <w:rFonts w:ascii="Arial" w:hAnsi="Arial"/>
          <w:sz w:val="20"/>
          <w:szCs w:val="20"/>
        </w:rPr>
        <w:t>Alta concentración en puntos específicos de la red: esto puede afectar los flujos de potencia y el control de tensión.</w:t>
      </w:r>
    </w:p>
    <w:p w14:paraId="1E783DFE" w14:textId="77777777" w:rsidR="00515BB1" w:rsidRPr="00D61480" w:rsidRDefault="00515BB1" w:rsidP="00F544BA">
      <w:pPr>
        <w:rPr>
          <w:rFonts w:ascii="Arial" w:hAnsi="Arial"/>
          <w:b/>
          <w:sz w:val="20"/>
          <w:szCs w:val="20"/>
        </w:rPr>
      </w:pPr>
    </w:p>
    <w:p w14:paraId="5E62151E" w14:textId="238174AF" w:rsidR="00F544BA" w:rsidRPr="00D61480" w:rsidRDefault="00515BB1" w:rsidP="00515BB1">
      <w:pPr>
        <w:pStyle w:val="Prrafodelista"/>
        <w:numPr>
          <w:ilvl w:val="1"/>
          <w:numId w:val="12"/>
        </w:numPr>
        <w:rPr>
          <w:rFonts w:ascii="Arial" w:hAnsi="Arial"/>
          <w:b/>
          <w:sz w:val="20"/>
          <w:szCs w:val="20"/>
        </w:rPr>
      </w:pPr>
      <w:r w:rsidRPr="00D61480">
        <w:rPr>
          <w:rFonts w:ascii="Arial" w:hAnsi="Arial"/>
          <w:b/>
          <w:sz w:val="20"/>
          <w:szCs w:val="20"/>
        </w:rPr>
        <w:t>Regulación aplicable.</w:t>
      </w:r>
    </w:p>
    <w:p w14:paraId="491D05A6" w14:textId="77777777" w:rsidR="00515BB1" w:rsidRPr="00D61480" w:rsidRDefault="00515BB1" w:rsidP="00F544BA">
      <w:pPr>
        <w:rPr>
          <w:rFonts w:ascii="Arial" w:hAnsi="Arial"/>
          <w:bCs/>
          <w:sz w:val="20"/>
          <w:szCs w:val="20"/>
        </w:rPr>
      </w:pPr>
    </w:p>
    <w:p w14:paraId="3722CA21" w14:textId="1B53FF4E" w:rsidR="00F544BA" w:rsidRPr="00D61480" w:rsidRDefault="00F544BA" w:rsidP="00F544BA">
      <w:pPr>
        <w:rPr>
          <w:rFonts w:ascii="Arial" w:hAnsi="Arial"/>
          <w:bCs/>
          <w:sz w:val="20"/>
          <w:szCs w:val="20"/>
        </w:rPr>
      </w:pPr>
      <w:r w:rsidRPr="00D61480">
        <w:rPr>
          <w:rFonts w:ascii="Arial" w:hAnsi="Arial"/>
          <w:bCs/>
          <w:sz w:val="20"/>
          <w:szCs w:val="20"/>
        </w:rPr>
        <w:t>En la Resolución CREG 060 de 2019, se hacen modificaciones y adiciones transitorias al Reglamento de Operación para permitir la conexión y operación de plantas solares fotovoltaicas y eólicas en el SIN y se dictan otras disposiciones. Esta resolución es el marco regulatorio para la planeación, conexión, operación y supervisión, de plantas fotovoltaicas y eólicas</w:t>
      </w:r>
      <w:r w:rsidR="00515BB1" w:rsidRPr="00D61480">
        <w:rPr>
          <w:rFonts w:ascii="Arial" w:hAnsi="Arial"/>
          <w:bCs/>
          <w:sz w:val="20"/>
          <w:szCs w:val="20"/>
        </w:rPr>
        <w:t>.</w:t>
      </w:r>
      <w:r w:rsidRPr="00D61480">
        <w:rPr>
          <w:rFonts w:ascii="Arial" w:hAnsi="Arial"/>
          <w:bCs/>
          <w:sz w:val="20"/>
          <w:szCs w:val="20"/>
        </w:rPr>
        <w:t xml:space="preserve"> </w:t>
      </w:r>
      <w:r w:rsidR="00515BB1" w:rsidRPr="00D61480">
        <w:rPr>
          <w:rFonts w:ascii="Arial" w:hAnsi="Arial"/>
          <w:bCs/>
          <w:sz w:val="20"/>
          <w:szCs w:val="20"/>
        </w:rPr>
        <w:t>Asimismo, el Acuerdo</w:t>
      </w:r>
      <w:r w:rsidRPr="00D61480">
        <w:rPr>
          <w:rFonts w:ascii="Arial" w:hAnsi="Arial"/>
          <w:bCs/>
          <w:sz w:val="20"/>
          <w:szCs w:val="20"/>
        </w:rPr>
        <w:t xml:space="preserve"> CNO 1228 establece la metodología</w:t>
      </w:r>
      <w:r w:rsidR="00515BB1" w:rsidRPr="00D61480">
        <w:rPr>
          <w:rFonts w:ascii="Arial" w:hAnsi="Arial"/>
          <w:bCs/>
          <w:sz w:val="20"/>
          <w:szCs w:val="20"/>
        </w:rPr>
        <w:t xml:space="preserve">, </w:t>
      </w:r>
      <w:r w:rsidRPr="00D61480">
        <w:rPr>
          <w:rFonts w:ascii="Arial" w:hAnsi="Arial"/>
          <w:bCs/>
          <w:sz w:val="20"/>
          <w:szCs w:val="20"/>
        </w:rPr>
        <w:t>los criterios de calidad y confiabilidad para las medi</w:t>
      </w:r>
      <w:r w:rsidR="00515BB1" w:rsidRPr="00D61480">
        <w:rPr>
          <w:rFonts w:ascii="Arial" w:hAnsi="Arial"/>
          <w:bCs/>
          <w:sz w:val="20"/>
          <w:szCs w:val="20"/>
        </w:rPr>
        <w:t>ciones</w:t>
      </w:r>
      <w:r w:rsidRPr="00D61480">
        <w:rPr>
          <w:rFonts w:ascii="Arial" w:hAnsi="Arial"/>
          <w:bCs/>
          <w:sz w:val="20"/>
          <w:szCs w:val="20"/>
        </w:rPr>
        <w:t xml:space="preserve"> de las variables análogas y digitales de las plantas eólicas y solares que se conecten al STR y al STN, y en el cual se hace</w:t>
      </w:r>
      <w:r w:rsidR="00515BB1" w:rsidRPr="00D61480">
        <w:rPr>
          <w:rFonts w:ascii="Arial" w:hAnsi="Arial"/>
          <w:bCs/>
          <w:sz w:val="20"/>
          <w:szCs w:val="20"/>
        </w:rPr>
        <w:t>n</w:t>
      </w:r>
      <w:r w:rsidRPr="00D61480">
        <w:rPr>
          <w:rFonts w:ascii="Arial" w:hAnsi="Arial"/>
          <w:bCs/>
          <w:sz w:val="20"/>
          <w:szCs w:val="20"/>
        </w:rPr>
        <w:t xml:space="preserve"> la</w:t>
      </w:r>
      <w:r w:rsidR="00515BB1" w:rsidRPr="00D61480">
        <w:rPr>
          <w:rFonts w:ascii="Arial" w:hAnsi="Arial"/>
          <w:bCs/>
          <w:sz w:val="20"/>
          <w:szCs w:val="20"/>
        </w:rPr>
        <w:t>s</w:t>
      </w:r>
      <w:r w:rsidRPr="00D61480">
        <w:rPr>
          <w:rFonts w:ascii="Arial" w:hAnsi="Arial"/>
          <w:bCs/>
          <w:sz w:val="20"/>
          <w:szCs w:val="20"/>
        </w:rPr>
        <w:t xml:space="preserve"> siguiente</w:t>
      </w:r>
      <w:r w:rsidR="00515BB1" w:rsidRPr="00D61480">
        <w:rPr>
          <w:rFonts w:ascii="Arial" w:hAnsi="Arial"/>
          <w:bCs/>
          <w:sz w:val="20"/>
          <w:szCs w:val="20"/>
        </w:rPr>
        <w:t>s</w:t>
      </w:r>
      <w:r w:rsidRPr="00D61480">
        <w:rPr>
          <w:rFonts w:ascii="Arial" w:hAnsi="Arial"/>
          <w:bCs/>
          <w:sz w:val="20"/>
          <w:szCs w:val="20"/>
        </w:rPr>
        <w:t xml:space="preserve"> definiciones para el sector eléctrico en Colombia:</w:t>
      </w:r>
    </w:p>
    <w:p w14:paraId="7D09B290" w14:textId="77777777" w:rsidR="00515BB1" w:rsidRPr="00D61480" w:rsidRDefault="00515BB1" w:rsidP="00F544BA">
      <w:pPr>
        <w:rPr>
          <w:rFonts w:ascii="Arial" w:hAnsi="Arial"/>
          <w:bCs/>
          <w:sz w:val="20"/>
          <w:szCs w:val="20"/>
        </w:rPr>
      </w:pPr>
    </w:p>
    <w:p w14:paraId="4CB1256F" w14:textId="00761281" w:rsidR="00F544BA" w:rsidRPr="00D61480" w:rsidRDefault="00F544BA" w:rsidP="004E0B95">
      <w:pPr>
        <w:pStyle w:val="Prrafodelista"/>
        <w:numPr>
          <w:ilvl w:val="0"/>
          <w:numId w:val="15"/>
        </w:numPr>
        <w:spacing w:line="256" w:lineRule="auto"/>
        <w:rPr>
          <w:rFonts w:ascii="Arial" w:hAnsi="Arial"/>
          <w:bCs/>
          <w:sz w:val="20"/>
          <w:szCs w:val="20"/>
        </w:rPr>
      </w:pPr>
      <w:r w:rsidRPr="00D61480">
        <w:rPr>
          <w:rFonts w:ascii="Arial" w:hAnsi="Arial"/>
          <w:bCs/>
          <w:sz w:val="20"/>
          <w:szCs w:val="20"/>
        </w:rPr>
        <w:t>Plantas eólicas y solares fotovoltaicas: Se refiere a todas las plantas de generación solares fotovoltaicas y eólicas conectadas en el denominado Punto de Conexión al SIN, las cuales están compuestas por conjuntos de módulos solares fotovoltaicos y aerogeneradores, incluyendo sus inversores y controles asociados.</w:t>
      </w:r>
    </w:p>
    <w:p w14:paraId="4CB0970F" w14:textId="77777777" w:rsidR="00515BB1" w:rsidRPr="00D61480" w:rsidRDefault="00515BB1" w:rsidP="00515BB1">
      <w:pPr>
        <w:pStyle w:val="Prrafodelista"/>
        <w:spacing w:line="256" w:lineRule="auto"/>
        <w:ind w:left="360"/>
        <w:rPr>
          <w:rFonts w:ascii="Arial" w:hAnsi="Arial"/>
          <w:bCs/>
          <w:sz w:val="20"/>
          <w:szCs w:val="20"/>
        </w:rPr>
      </w:pPr>
    </w:p>
    <w:p w14:paraId="42F5FE2C" w14:textId="77777777" w:rsidR="00F544BA" w:rsidRPr="00D61480" w:rsidRDefault="00F544BA" w:rsidP="004E0B95">
      <w:pPr>
        <w:pStyle w:val="Prrafodelista"/>
        <w:numPr>
          <w:ilvl w:val="0"/>
          <w:numId w:val="15"/>
        </w:numPr>
        <w:spacing w:line="256" w:lineRule="auto"/>
        <w:rPr>
          <w:rFonts w:ascii="Arial" w:hAnsi="Arial"/>
          <w:bCs/>
          <w:sz w:val="20"/>
          <w:szCs w:val="20"/>
        </w:rPr>
      </w:pPr>
      <w:r w:rsidRPr="00D61480">
        <w:rPr>
          <w:rFonts w:ascii="Arial" w:hAnsi="Arial"/>
          <w:bCs/>
          <w:sz w:val="20"/>
          <w:szCs w:val="20"/>
        </w:rPr>
        <w:t>Planta de generación variable despachada centralmente o generación variable: Se considerará planta de generación variable: las plantas eólicas, solares fotovoltaicas y plantas filo de agua, que son despachadas centralmente. (CREG, 2019).</w:t>
      </w:r>
    </w:p>
    <w:p w14:paraId="7224B892" w14:textId="77777777" w:rsidR="00F544BA" w:rsidRPr="00D61480" w:rsidRDefault="00F544BA" w:rsidP="00F544BA">
      <w:pPr>
        <w:rPr>
          <w:rFonts w:ascii="Arial" w:hAnsi="Arial"/>
          <w:b/>
          <w:sz w:val="20"/>
          <w:szCs w:val="20"/>
        </w:rPr>
      </w:pPr>
    </w:p>
    <w:p w14:paraId="05C9AA09" w14:textId="309F857C" w:rsidR="00F544BA" w:rsidRPr="00D61480" w:rsidRDefault="00515BB1" w:rsidP="00515BB1">
      <w:pPr>
        <w:pStyle w:val="Prrafodelista"/>
        <w:numPr>
          <w:ilvl w:val="1"/>
          <w:numId w:val="12"/>
        </w:numPr>
        <w:rPr>
          <w:rFonts w:ascii="Arial" w:hAnsi="Arial"/>
          <w:b/>
          <w:sz w:val="20"/>
          <w:szCs w:val="20"/>
        </w:rPr>
      </w:pPr>
      <w:r w:rsidRPr="00D61480">
        <w:rPr>
          <w:rFonts w:ascii="Arial" w:hAnsi="Arial"/>
          <w:b/>
          <w:sz w:val="20"/>
          <w:szCs w:val="20"/>
        </w:rPr>
        <w:t>La arquitectura de operación actual.</w:t>
      </w:r>
    </w:p>
    <w:p w14:paraId="248CCB73" w14:textId="77777777" w:rsidR="00F544BA" w:rsidRPr="00D61480" w:rsidRDefault="00F544BA" w:rsidP="00F544BA">
      <w:pPr>
        <w:rPr>
          <w:rFonts w:ascii="Arial" w:hAnsi="Arial"/>
          <w:sz w:val="20"/>
          <w:szCs w:val="20"/>
        </w:rPr>
      </w:pPr>
    </w:p>
    <w:p w14:paraId="4865CCC0" w14:textId="2916609A" w:rsidR="00F544BA" w:rsidRPr="00D61480" w:rsidRDefault="00F544BA" w:rsidP="00F544BA">
      <w:pPr>
        <w:rPr>
          <w:rFonts w:ascii="Arial" w:hAnsi="Arial"/>
          <w:sz w:val="20"/>
          <w:szCs w:val="20"/>
        </w:rPr>
      </w:pPr>
      <w:r w:rsidRPr="00D61480">
        <w:rPr>
          <w:rFonts w:ascii="Arial" w:hAnsi="Arial"/>
          <w:sz w:val="20"/>
          <w:szCs w:val="20"/>
        </w:rPr>
        <w:t xml:space="preserve">De acuerdo con las nuevas tecnologías y la transformación digital de la red, Colombia ha definido la política de AMI a través de las Resoluciones 4 0072 de 2018 (modificadas por las resoluciones 4 0483 de 2019 y 4 0142 de 2020), emitidas por el Ministerio de Minas y Energía, en donde se establecen los lineamientos de política pública en materia de la infraestructura de la medición avanzada, así como las metas de masificación de esta infraestructura al año 2030. Dicha política ministerial tiene como fin la promoción de la gestión eficiente de energía, y permitir la incorporación de nuevas tecnologías en los sistemas eléctricos, además de identificar funcionalidades propias de AMI de las cuales derivarán beneficios tanto para los usuarios como para los agentes prestadores del servicio público domiciliario de energía eléctrica. Adicionalmente, se cuenta a la fecha con una resolución en consulta, emitida a través de la Resolución CREG 131 del 2020, en donde la Comisión define el AMI como eje fundamental para el desarrollo de nuevas tecnologías DER y la participación de la demanda en el mercado eléctrico. </w:t>
      </w:r>
      <w:r w:rsidRPr="00D61480">
        <w:rPr>
          <w:rFonts w:ascii="Arial" w:hAnsi="Arial"/>
          <w:sz w:val="20"/>
          <w:szCs w:val="20"/>
        </w:rPr>
        <w:lastRenderedPageBreak/>
        <w:t>Por tanto, para el logro de estos propósitos</w:t>
      </w:r>
      <w:r w:rsidR="00515BB1" w:rsidRPr="00D61480">
        <w:rPr>
          <w:rFonts w:ascii="Arial" w:hAnsi="Arial"/>
          <w:sz w:val="20"/>
          <w:szCs w:val="20"/>
        </w:rPr>
        <w:t>,</w:t>
      </w:r>
      <w:r w:rsidRPr="00D61480">
        <w:rPr>
          <w:rFonts w:ascii="Arial" w:hAnsi="Arial"/>
          <w:sz w:val="20"/>
          <w:szCs w:val="20"/>
        </w:rPr>
        <w:t xml:space="preserve"> el operador de red agregará la medida de tal forma que le permita la observabilidad de la red, el acoplamiento de red, la flexibilidad, el intercambio óptimo de información y la seguridad con los DER.</w:t>
      </w:r>
    </w:p>
    <w:p w14:paraId="046CB0A7" w14:textId="77777777" w:rsidR="00F544BA" w:rsidRPr="00D61480" w:rsidRDefault="00F544BA" w:rsidP="00F544BA">
      <w:pPr>
        <w:rPr>
          <w:rFonts w:ascii="Arial" w:hAnsi="Arial"/>
          <w:sz w:val="20"/>
          <w:szCs w:val="20"/>
        </w:rPr>
      </w:pPr>
    </w:p>
    <w:p w14:paraId="58C1B468" w14:textId="026C4316" w:rsidR="00F544BA" w:rsidRPr="00D61480" w:rsidRDefault="00515BB1" w:rsidP="00515BB1">
      <w:pPr>
        <w:pStyle w:val="Prrafodelista"/>
        <w:numPr>
          <w:ilvl w:val="1"/>
          <w:numId w:val="12"/>
        </w:numPr>
        <w:rPr>
          <w:rFonts w:ascii="Arial" w:hAnsi="Arial"/>
          <w:b/>
          <w:sz w:val="20"/>
          <w:szCs w:val="20"/>
        </w:rPr>
      </w:pPr>
      <w:r w:rsidRPr="00D61480">
        <w:rPr>
          <w:rFonts w:ascii="Arial" w:hAnsi="Arial"/>
          <w:b/>
          <w:sz w:val="20"/>
          <w:szCs w:val="20"/>
        </w:rPr>
        <w:t>Supervisión del SIN.</w:t>
      </w:r>
    </w:p>
    <w:p w14:paraId="1A32ED66" w14:textId="77777777" w:rsidR="00F544BA" w:rsidRPr="00D61480" w:rsidRDefault="00F544BA" w:rsidP="00F544BA">
      <w:pPr>
        <w:rPr>
          <w:rFonts w:ascii="Arial" w:hAnsi="Arial"/>
          <w:sz w:val="20"/>
          <w:szCs w:val="20"/>
        </w:rPr>
      </w:pPr>
    </w:p>
    <w:p w14:paraId="2ECA1FF2" w14:textId="0AB9C8D4" w:rsidR="00F544BA" w:rsidRPr="00D61480" w:rsidRDefault="00F544BA" w:rsidP="00F544BA">
      <w:pPr>
        <w:rPr>
          <w:rFonts w:ascii="Arial" w:hAnsi="Arial"/>
          <w:sz w:val="20"/>
          <w:szCs w:val="20"/>
        </w:rPr>
      </w:pPr>
      <w:r w:rsidRPr="00D61480">
        <w:rPr>
          <w:rFonts w:ascii="Arial" w:hAnsi="Arial"/>
          <w:sz w:val="20"/>
          <w:szCs w:val="20"/>
        </w:rPr>
        <w:t xml:space="preserve">La supervisión del sector eléctrico en Colombia se encuentra reglamentada mediante </w:t>
      </w:r>
      <w:r w:rsidR="00E647C7" w:rsidRPr="00D61480">
        <w:rPr>
          <w:rFonts w:ascii="Arial" w:hAnsi="Arial"/>
          <w:sz w:val="20"/>
          <w:szCs w:val="20"/>
        </w:rPr>
        <w:t>A</w:t>
      </w:r>
      <w:r w:rsidRPr="00D61480">
        <w:rPr>
          <w:rFonts w:ascii="Arial" w:hAnsi="Arial"/>
          <w:sz w:val="20"/>
          <w:szCs w:val="20"/>
        </w:rPr>
        <w:t>cuerdo CNO 1041, y enlaza los siguientes procesos del SIN, los cuales se realizan desde XM con reportes e indicadores mensuales.</w:t>
      </w:r>
    </w:p>
    <w:p w14:paraId="1B38621B" w14:textId="77777777" w:rsidR="00F544BA" w:rsidRPr="00D61480" w:rsidRDefault="00F544BA" w:rsidP="00F544BA">
      <w:pPr>
        <w:rPr>
          <w:rFonts w:ascii="Arial" w:hAnsi="Arial"/>
          <w:sz w:val="20"/>
          <w:szCs w:val="20"/>
        </w:rPr>
      </w:pPr>
    </w:p>
    <w:p w14:paraId="5D185B75" w14:textId="168BA29F" w:rsidR="00F544BA" w:rsidRPr="00D61480" w:rsidRDefault="00F544BA" w:rsidP="00E647C7">
      <w:pPr>
        <w:jc w:val="center"/>
        <w:rPr>
          <w:rFonts w:ascii="Arial" w:hAnsi="Arial"/>
          <w:sz w:val="20"/>
          <w:szCs w:val="20"/>
        </w:rPr>
      </w:pPr>
      <w:r w:rsidRPr="00D61480">
        <w:rPr>
          <w:noProof/>
          <w:sz w:val="20"/>
          <w:szCs w:val="20"/>
        </w:rPr>
        <w:drawing>
          <wp:inline distT="0" distB="0" distL="0" distR="0" wp14:anchorId="66174AF4" wp14:editId="1F7D7BC4">
            <wp:extent cx="4848225" cy="184095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t="6622" b="12709"/>
                    <a:stretch>
                      <a:fillRect/>
                    </a:stretch>
                  </pic:blipFill>
                  <pic:spPr bwMode="auto">
                    <a:xfrm>
                      <a:off x="0" y="0"/>
                      <a:ext cx="4885241" cy="1855011"/>
                    </a:xfrm>
                    <a:prstGeom prst="rect">
                      <a:avLst/>
                    </a:prstGeom>
                    <a:noFill/>
                    <a:ln>
                      <a:noFill/>
                    </a:ln>
                  </pic:spPr>
                </pic:pic>
              </a:graphicData>
            </a:graphic>
          </wp:inline>
        </w:drawing>
      </w:r>
    </w:p>
    <w:p w14:paraId="704E8B04" w14:textId="3AB32B3C" w:rsidR="00F544BA" w:rsidRPr="00D61480" w:rsidRDefault="00F544BA" w:rsidP="00E647C7">
      <w:pPr>
        <w:pStyle w:val="Figura"/>
        <w:rPr>
          <w:sz w:val="16"/>
          <w:szCs w:val="16"/>
        </w:rPr>
      </w:pPr>
      <w:r w:rsidRPr="00D61480">
        <w:rPr>
          <w:sz w:val="16"/>
          <w:szCs w:val="16"/>
        </w:rPr>
        <w:t xml:space="preserve">Figura </w:t>
      </w:r>
      <w:r w:rsidRPr="00D61480">
        <w:rPr>
          <w:sz w:val="16"/>
          <w:szCs w:val="16"/>
        </w:rPr>
        <w:fldChar w:fldCharType="begin"/>
      </w:r>
      <w:r w:rsidRPr="00D61480">
        <w:rPr>
          <w:sz w:val="16"/>
          <w:szCs w:val="16"/>
        </w:rPr>
        <w:instrText xml:space="preserve"> SEQ Figura \* ARABIC </w:instrText>
      </w:r>
      <w:r w:rsidRPr="00D61480">
        <w:rPr>
          <w:sz w:val="16"/>
          <w:szCs w:val="16"/>
        </w:rPr>
        <w:fldChar w:fldCharType="separate"/>
      </w:r>
      <w:r w:rsidR="00E647C7" w:rsidRPr="00D61480">
        <w:rPr>
          <w:noProof/>
          <w:sz w:val="16"/>
          <w:szCs w:val="16"/>
        </w:rPr>
        <w:t>5</w:t>
      </w:r>
      <w:r w:rsidRPr="00D61480">
        <w:rPr>
          <w:sz w:val="16"/>
          <w:szCs w:val="16"/>
        </w:rPr>
        <w:fldChar w:fldCharType="end"/>
      </w:r>
      <w:r w:rsidRPr="00D61480">
        <w:rPr>
          <w:sz w:val="16"/>
          <w:szCs w:val="16"/>
        </w:rPr>
        <w:t>. Comunicaciones entre agentes</w:t>
      </w:r>
      <w:r w:rsidR="00E647C7" w:rsidRPr="00D61480">
        <w:rPr>
          <w:sz w:val="16"/>
          <w:szCs w:val="16"/>
        </w:rPr>
        <w:t xml:space="preserve">. </w:t>
      </w:r>
      <w:r w:rsidRPr="00D61480">
        <w:rPr>
          <w:sz w:val="16"/>
          <w:szCs w:val="16"/>
        </w:rPr>
        <w:t>Fuente: XM</w:t>
      </w:r>
    </w:p>
    <w:p w14:paraId="103817E9" w14:textId="77777777" w:rsidR="00F544BA" w:rsidRPr="00D61480" w:rsidRDefault="00F544BA" w:rsidP="00F544BA">
      <w:pPr>
        <w:rPr>
          <w:rFonts w:ascii="Arial" w:hAnsi="Arial"/>
          <w:sz w:val="20"/>
          <w:szCs w:val="20"/>
        </w:rPr>
      </w:pPr>
    </w:p>
    <w:p w14:paraId="52F9F812" w14:textId="77777777" w:rsidR="00F544BA" w:rsidRPr="00D61480" w:rsidRDefault="00F544BA" w:rsidP="00F544BA">
      <w:pPr>
        <w:rPr>
          <w:rFonts w:ascii="Arial" w:hAnsi="Arial"/>
          <w:sz w:val="20"/>
          <w:szCs w:val="20"/>
        </w:rPr>
      </w:pPr>
      <w:r w:rsidRPr="00D61480">
        <w:rPr>
          <w:rFonts w:ascii="Arial" w:hAnsi="Arial"/>
          <w:sz w:val="20"/>
          <w:szCs w:val="20"/>
        </w:rPr>
        <w:t>Con el fin de llevar a cabo una operación segura y confiable del SIN las variables a supervisar son:</w:t>
      </w:r>
    </w:p>
    <w:p w14:paraId="5AAEADBE" w14:textId="77777777" w:rsidR="00F544BA" w:rsidRPr="00D61480" w:rsidRDefault="00F544BA" w:rsidP="00F544BA">
      <w:pPr>
        <w:rPr>
          <w:rFonts w:ascii="Arial" w:hAnsi="Arial"/>
          <w:sz w:val="20"/>
          <w:szCs w:val="20"/>
        </w:rPr>
      </w:pPr>
    </w:p>
    <w:tbl>
      <w:tblPr>
        <w:tblStyle w:val="Tablaconcuadrcula"/>
        <w:tblW w:w="0" w:type="auto"/>
        <w:tblLook w:val="04A0" w:firstRow="1" w:lastRow="0" w:firstColumn="1" w:lastColumn="0" w:noHBand="0" w:noVBand="1"/>
      </w:tblPr>
      <w:tblGrid>
        <w:gridCol w:w="2154"/>
        <w:gridCol w:w="2160"/>
        <w:gridCol w:w="2160"/>
        <w:gridCol w:w="2075"/>
      </w:tblGrid>
      <w:tr w:rsidR="00F544BA" w:rsidRPr="00D61480" w14:paraId="1C69965D" w14:textId="77777777" w:rsidTr="00F544BA">
        <w:trPr>
          <w:trHeight w:val="620"/>
        </w:trPr>
        <w:tc>
          <w:tcPr>
            <w:tcW w:w="2207" w:type="dxa"/>
            <w:tcBorders>
              <w:top w:val="single" w:sz="4" w:space="0" w:color="auto"/>
              <w:left w:val="single" w:sz="4" w:space="0" w:color="auto"/>
              <w:bottom w:val="single" w:sz="4" w:space="0" w:color="auto"/>
              <w:right w:val="single" w:sz="4" w:space="0" w:color="auto"/>
            </w:tcBorders>
            <w:vAlign w:val="center"/>
            <w:hideMark/>
          </w:tcPr>
          <w:p w14:paraId="7A4C3EBE" w14:textId="77777777" w:rsidR="00F544BA" w:rsidRPr="00D61480" w:rsidRDefault="00F544BA">
            <w:pPr>
              <w:jc w:val="center"/>
              <w:rPr>
                <w:rFonts w:ascii="Arial" w:hAnsi="Arial"/>
                <w:sz w:val="20"/>
                <w:szCs w:val="20"/>
                <w:lang w:val="es-CO"/>
              </w:rPr>
            </w:pPr>
            <w:r w:rsidRPr="00D61480">
              <w:rPr>
                <w:rFonts w:ascii="Arial" w:hAnsi="Arial"/>
                <w:b/>
                <w:sz w:val="20"/>
                <w:szCs w:val="20"/>
                <w:lang w:val="es-CO"/>
              </w:rPr>
              <w:t>Equipos</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A0FEE5E" w14:textId="77777777" w:rsidR="00F544BA" w:rsidRPr="00D61480" w:rsidRDefault="00F544BA">
            <w:pPr>
              <w:jc w:val="center"/>
              <w:rPr>
                <w:rFonts w:ascii="Arial" w:hAnsi="Arial"/>
                <w:b/>
                <w:sz w:val="20"/>
                <w:szCs w:val="20"/>
                <w:lang w:val="es-CO"/>
              </w:rPr>
            </w:pPr>
            <w:r w:rsidRPr="00D61480">
              <w:rPr>
                <w:rFonts w:ascii="Arial" w:hAnsi="Arial"/>
                <w:b/>
                <w:sz w:val="20"/>
                <w:szCs w:val="20"/>
                <w:lang w:val="es-CO"/>
              </w:rPr>
              <w:t>Potencia Activa</w:t>
            </w:r>
          </w:p>
          <w:p w14:paraId="303862FE" w14:textId="77777777" w:rsidR="00F544BA" w:rsidRPr="00D61480" w:rsidRDefault="00F544BA">
            <w:pPr>
              <w:jc w:val="center"/>
              <w:rPr>
                <w:rFonts w:ascii="Arial" w:hAnsi="Arial"/>
                <w:sz w:val="20"/>
                <w:szCs w:val="20"/>
                <w:lang w:val="es-CO"/>
              </w:rPr>
            </w:pPr>
            <w:r w:rsidRPr="00D61480">
              <w:rPr>
                <w:rFonts w:ascii="Arial" w:hAnsi="Arial"/>
                <w:b/>
                <w:sz w:val="20"/>
                <w:szCs w:val="20"/>
                <w:lang w:val="es-CO"/>
              </w:rPr>
              <w:t xml:space="preserve"> (P)</w:t>
            </w:r>
          </w:p>
        </w:tc>
        <w:tc>
          <w:tcPr>
            <w:tcW w:w="2207" w:type="dxa"/>
            <w:tcBorders>
              <w:top w:val="single" w:sz="4" w:space="0" w:color="auto"/>
              <w:left w:val="single" w:sz="4" w:space="0" w:color="auto"/>
              <w:bottom w:val="single" w:sz="4" w:space="0" w:color="auto"/>
              <w:right w:val="single" w:sz="4" w:space="0" w:color="auto"/>
            </w:tcBorders>
            <w:vAlign w:val="center"/>
            <w:hideMark/>
          </w:tcPr>
          <w:p w14:paraId="7E3A71C0" w14:textId="77777777" w:rsidR="00F544BA" w:rsidRPr="00D61480" w:rsidRDefault="00F544BA">
            <w:pPr>
              <w:jc w:val="center"/>
              <w:rPr>
                <w:rFonts w:ascii="Arial" w:hAnsi="Arial"/>
                <w:sz w:val="20"/>
                <w:szCs w:val="20"/>
                <w:lang w:val="es-CO"/>
              </w:rPr>
            </w:pPr>
            <w:r w:rsidRPr="00D61480">
              <w:rPr>
                <w:rFonts w:ascii="Arial" w:hAnsi="Arial"/>
                <w:b/>
                <w:sz w:val="20"/>
                <w:szCs w:val="20"/>
                <w:lang w:val="es-CO"/>
              </w:rPr>
              <w:t>Potencia Reactiva (Q)</w:t>
            </w:r>
          </w:p>
        </w:tc>
        <w:tc>
          <w:tcPr>
            <w:tcW w:w="2207" w:type="dxa"/>
            <w:tcBorders>
              <w:top w:val="single" w:sz="4" w:space="0" w:color="auto"/>
              <w:left w:val="single" w:sz="4" w:space="0" w:color="auto"/>
              <w:bottom w:val="single" w:sz="4" w:space="0" w:color="auto"/>
              <w:right w:val="single" w:sz="4" w:space="0" w:color="auto"/>
            </w:tcBorders>
            <w:vAlign w:val="center"/>
            <w:hideMark/>
          </w:tcPr>
          <w:p w14:paraId="232ADDE5" w14:textId="77777777" w:rsidR="00F544BA" w:rsidRPr="00D61480" w:rsidRDefault="00F544BA">
            <w:pPr>
              <w:jc w:val="center"/>
              <w:rPr>
                <w:rFonts w:ascii="Arial" w:hAnsi="Arial"/>
                <w:b/>
                <w:sz w:val="20"/>
                <w:szCs w:val="20"/>
                <w:lang w:val="es-CO"/>
              </w:rPr>
            </w:pPr>
            <w:r w:rsidRPr="00D61480">
              <w:rPr>
                <w:rFonts w:ascii="Arial" w:hAnsi="Arial"/>
                <w:b/>
                <w:sz w:val="20"/>
                <w:szCs w:val="20"/>
                <w:lang w:val="es-CO"/>
              </w:rPr>
              <w:t>Tensión</w:t>
            </w:r>
          </w:p>
          <w:p w14:paraId="3E8F5982" w14:textId="77777777" w:rsidR="00F544BA" w:rsidRPr="00D61480" w:rsidRDefault="00F544BA">
            <w:pPr>
              <w:jc w:val="center"/>
              <w:rPr>
                <w:rFonts w:ascii="Arial" w:hAnsi="Arial"/>
                <w:sz w:val="20"/>
                <w:szCs w:val="20"/>
                <w:lang w:val="es-CO"/>
              </w:rPr>
            </w:pPr>
            <w:r w:rsidRPr="00D61480">
              <w:rPr>
                <w:rFonts w:ascii="Arial" w:hAnsi="Arial"/>
                <w:b/>
                <w:sz w:val="20"/>
                <w:szCs w:val="20"/>
                <w:lang w:val="es-CO"/>
              </w:rPr>
              <w:t>(U)</w:t>
            </w:r>
          </w:p>
        </w:tc>
      </w:tr>
      <w:tr w:rsidR="00F544BA" w:rsidRPr="00D61480" w14:paraId="75F0505D" w14:textId="77777777" w:rsidTr="00F544BA">
        <w:tc>
          <w:tcPr>
            <w:tcW w:w="2207" w:type="dxa"/>
            <w:tcBorders>
              <w:top w:val="single" w:sz="4" w:space="0" w:color="auto"/>
              <w:left w:val="single" w:sz="4" w:space="0" w:color="auto"/>
              <w:bottom w:val="single" w:sz="4" w:space="0" w:color="auto"/>
              <w:right w:val="single" w:sz="4" w:space="0" w:color="auto"/>
            </w:tcBorders>
            <w:vAlign w:val="center"/>
            <w:hideMark/>
          </w:tcPr>
          <w:p w14:paraId="19BA21DD" w14:textId="77777777" w:rsidR="00F544BA" w:rsidRPr="00D61480" w:rsidRDefault="00F544BA" w:rsidP="004E0B95">
            <w:pPr>
              <w:pStyle w:val="Prrafodelista"/>
              <w:numPr>
                <w:ilvl w:val="0"/>
                <w:numId w:val="16"/>
              </w:numPr>
              <w:ind w:left="171" w:hanging="171"/>
              <w:jc w:val="left"/>
              <w:rPr>
                <w:rFonts w:ascii="Arial" w:hAnsi="Arial"/>
                <w:sz w:val="20"/>
                <w:szCs w:val="20"/>
                <w:lang w:val="es-CO"/>
              </w:rPr>
            </w:pPr>
            <w:r w:rsidRPr="00D61480">
              <w:rPr>
                <w:rFonts w:ascii="Arial" w:hAnsi="Arial"/>
                <w:sz w:val="20"/>
                <w:szCs w:val="20"/>
                <w:lang w:val="es-CO"/>
              </w:rPr>
              <w:t xml:space="preserve">Posición o estado de Interruptores y Seccionadores </w:t>
            </w:r>
          </w:p>
          <w:p w14:paraId="14B1D7FB" w14:textId="77777777" w:rsidR="00F544BA" w:rsidRPr="00D61480" w:rsidRDefault="00F544BA" w:rsidP="004E0B95">
            <w:pPr>
              <w:pStyle w:val="Prrafodelista"/>
              <w:numPr>
                <w:ilvl w:val="0"/>
                <w:numId w:val="16"/>
              </w:numPr>
              <w:ind w:left="171" w:hanging="171"/>
              <w:jc w:val="left"/>
              <w:rPr>
                <w:rFonts w:ascii="Arial" w:hAnsi="Arial"/>
                <w:sz w:val="20"/>
                <w:szCs w:val="20"/>
                <w:lang w:val="es-CO"/>
              </w:rPr>
            </w:pPr>
            <w:r w:rsidRPr="00D61480">
              <w:rPr>
                <w:rFonts w:ascii="Arial" w:hAnsi="Arial"/>
                <w:sz w:val="20"/>
                <w:szCs w:val="20"/>
                <w:lang w:val="es-CO"/>
              </w:rPr>
              <w:t>Alarmas</w:t>
            </w:r>
          </w:p>
        </w:tc>
        <w:tc>
          <w:tcPr>
            <w:tcW w:w="2207" w:type="dxa"/>
            <w:tcBorders>
              <w:top w:val="single" w:sz="4" w:space="0" w:color="auto"/>
              <w:left w:val="single" w:sz="4" w:space="0" w:color="auto"/>
              <w:bottom w:val="single" w:sz="4" w:space="0" w:color="auto"/>
              <w:right w:val="single" w:sz="4" w:space="0" w:color="auto"/>
            </w:tcBorders>
            <w:vAlign w:val="center"/>
            <w:hideMark/>
          </w:tcPr>
          <w:p w14:paraId="05B7709C" w14:textId="77777777" w:rsidR="00F544BA" w:rsidRPr="00D61480" w:rsidRDefault="00F544BA" w:rsidP="004E0B95">
            <w:pPr>
              <w:pStyle w:val="Prrafodelista"/>
              <w:numPr>
                <w:ilvl w:val="0"/>
                <w:numId w:val="16"/>
              </w:numPr>
              <w:ind w:left="171" w:hanging="171"/>
              <w:jc w:val="left"/>
              <w:rPr>
                <w:rFonts w:ascii="Arial" w:hAnsi="Arial"/>
                <w:sz w:val="20"/>
                <w:szCs w:val="20"/>
                <w:lang w:val="es-CO"/>
              </w:rPr>
            </w:pPr>
            <w:r w:rsidRPr="00D61480">
              <w:rPr>
                <w:rFonts w:ascii="Arial" w:hAnsi="Arial"/>
                <w:sz w:val="20"/>
                <w:szCs w:val="20"/>
                <w:lang w:val="es-CO"/>
              </w:rPr>
              <w:t>Bahías de Línea</w:t>
            </w:r>
          </w:p>
          <w:p w14:paraId="6967BB87" w14:textId="77777777" w:rsidR="00F544BA" w:rsidRPr="00D61480" w:rsidRDefault="00F544BA" w:rsidP="004E0B95">
            <w:pPr>
              <w:pStyle w:val="Prrafodelista"/>
              <w:numPr>
                <w:ilvl w:val="0"/>
                <w:numId w:val="16"/>
              </w:numPr>
              <w:ind w:left="171" w:hanging="171"/>
              <w:jc w:val="left"/>
              <w:rPr>
                <w:rFonts w:ascii="Arial" w:hAnsi="Arial"/>
                <w:sz w:val="20"/>
                <w:szCs w:val="20"/>
                <w:lang w:val="es-CO"/>
              </w:rPr>
            </w:pPr>
            <w:r w:rsidRPr="00D61480">
              <w:rPr>
                <w:rFonts w:ascii="Arial" w:hAnsi="Arial"/>
                <w:sz w:val="20"/>
                <w:szCs w:val="20"/>
                <w:lang w:val="es-CO"/>
              </w:rPr>
              <w:t>Bahías de Transformación</w:t>
            </w:r>
          </w:p>
          <w:p w14:paraId="4B922659" w14:textId="77777777" w:rsidR="00F544BA" w:rsidRPr="00D61480" w:rsidRDefault="00F544BA" w:rsidP="004E0B95">
            <w:pPr>
              <w:pStyle w:val="Prrafodelista"/>
              <w:numPr>
                <w:ilvl w:val="0"/>
                <w:numId w:val="16"/>
              </w:numPr>
              <w:ind w:left="171" w:hanging="171"/>
              <w:jc w:val="left"/>
              <w:rPr>
                <w:rFonts w:ascii="Arial" w:hAnsi="Arial"/>
                <w:sz w:val="20"/>
                <w:szCs w:val="20"/>
                <w:lang w:val="es-CO"/>
              </w:rPr>
            </w:pPr>
            <w:r w:rsidRPr="00D61480">
              <w:rPr>
                <w:rFonts w:ascii="Arial" w:hAnsi="Arial"/>
                <w:sz w:val="20"/>
                <w:szCs w:val="20"/>
                <w:lang w:val="es-CO"/>
              </w:rPr>
              <w:t>Unidades de Generación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40D60B49" w14:textId="77777777" w:rsidR="00F544BA" w:rsidRPr="00D61480" w:rsidRDefault="00F544BA" w:rsidP="004E0B95">
            <w:pPr>
              <w:pStyle w:val="Prrafodelista"/>
              <w:numPr>
                <w:ilvl w:val="0"/>
                <w:numId w:val="16"/>
              </w:numPr>
              <w:ind w:left="171" w:hanging="171"/>
              <w:jc w:val="left"/>
              <w:rPr>
                <w:rFonts w:ascii="Arial" w:hAnsi="Arial"/>
                <w:sz w:val="20"/>
                <w:szCs w:val="20"/>
                <w:lang w:val="es-CO"/>
              </w:rPr>
            </w:pPr>
            <w:r w:rsidRPr="00D61480">
              <w:rPr>
                <w:rFonts w:ascii="Arial" w:hAnsi="Arial"/>
                <w:sz w:val="20"/>
                <w:szCs w:val="20"/>
                <w:lang w:val="es-CO"/>
              </w:rPr>
              <w:t>Bahías de Línea</w:t>
            </w:r>
          </w:p>
          <w:p w14:paraId="6E7BB906" w14:textId="77777777" w:rsidR="00F544BA" w:rsidRPr="00D61480" w:rsidRDefault="00F544BA" w:rsidP="004E0B95">
            <w:pPr>
              <w:pStyle w:val="Prrafodelista"/>
              <w:numPr>
                <w:ilvl w:val="0"/>
                <w:numId w:val="16"/>
              </w:numPr>
              <w:ind w:left="171" w:hanging="171"/>
              <w:jc w:val="left"/>
              <w:rPr>
                <w:rFonts w:ascii="Arial" w:hAnsi="Arial"/>
                <w:sz w:val="20"/>
                <w:szCs w:val="20"/>
                <w:lang w:val="es-CO"/>
              </w:rPr>
            </w:pPr>
            <w:r w:rsidRPr="00D61480">
              <w:rPr>
                <w:rFonts w:ascii="Arial" w:hAnsi="Arial"/>
                <w:sz w:val="20"/>
                <w:szCs w:val="20"/>
                <w:lang w:val="es-CO"/>
              </w:rPr>
              <w:t>Bahías de Transformación</w:t>
            </w:r>
          </w:p>
          <w:p w14:paraId="1B75FC4A" w14:textId="77777777" w:rsidR="00F544BA" w:rsidRPr="00D61480" w:rsidRDefault="00F544BA" w:rsidP="004E0B95">
            <w:pPr>
              <w:pStyle w:val="Prrafodelista"/>
              <w:numPr>
                <w:ilvl w:val="0"/>
                <w:numId w:val="16"/>
              </w:numPr>
              <w:ind w:left="171" w:hanging="171"/>
              <w:jc w:val="left"/>
              <w:rPr>
                <w:rFonts w:ascii="Arial" w:hAnsi="Arial"/>
                <w:sz w:val="20"/>
                <w:szCs w:val="20"/>
                <w:lang w:val="es-CO"/>
              </w:rPr>
            </w:pPr>
            <w:r w:rsidRPr="00D61480">
              <w:rPr>
                <w:rFonts w:ascii="Arial" w:hAnsi="Arial"/>
                <w:sz w:val="20"/>
                <w:szCs w:val="20"/>
                <w:lang w:val="es-CO"/>
              </w:rPr>
              <w:t>Unidades de Generación</w:t>
            </w:r>
          </w:p>
          <w:p w14:paraId="185C65F2" w14:textId="77777777" w:rsidR="00F544BA" w:rsidRPr="00D61480" w:rsidRDefault="00F544BA" w:rsidP="004E0B95">
            <w:pPr>
              <w:pStyle w:val="Prrafodelista"/>
              <w:numPr>
                <w:ilvl w:val="0"/>
                <w:numId w:val="16"/>
              </w:numPr>
              <w:ind w:left="171" w:hanging="171"/>
              <w:jc w:val="left"/>
              <w:rPr>
                <w:rFonts w:ascii="Arial" w:hAnsi="Arial"/>
                <w:sz w:val="20"/>
                <w:szCs w:val="20"/>
                <w:lang w:val="es-CO"/>
              </w:rPr>
            </w:pPr>
            <w:r w:rsidRPr="00D61480">
              <w:rPr>
                <w:rFonts w:ascii="Arial" w:hAnsi="Arial"/>
                <w:sz w:val="20"/>
                <w:szCs w:val="20"/>
                <w:lang w:val="es-CO"/>
              </w:rPr>
              <w:t>Compensación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2BBFBE32" w14:textId="77777777" w:rsidR="00F544BA" w:rsidRPr="00D61480" w:rsidRDefault="00F544BA" w:rsidP="004E0B95">
            <w:pPr>
              <w:pStyle w:val="Prrafodelista"/>
              <w:numPr>
                <w:ilvl w:val="0"/>
                <w:numId w:val="16"/>
              </w:numPr>
              <w:ind w:left="171" w:hanging="171"/>
              <w:jc w:val="left"/>
              <w:rPr>
                <w:rFonts w:ascii="Arial" w:hAnsi="Arial"/>
                <w:sz w:val="20"/>
                <w:szCs w:val="20"/>
                <w:lang w:val="es-CO"/>
              </w:rPr>
            </w:pPr>
            <w:r w:rsidRPr="00D61480">
              <w:rPr>
                <w:rFonts w:ascii="Arial" w:hAnsi="Arial"/>
                <w:sz w:val="20"/>
                <w:szCs w:val="20"/>
                <w:lang w:val="es-CO"/>
              </w:rPr>
              <w:t>Barras</w:t>
            </w:r>
          </w:p>
        </w:tc>
      </w:tr>
    </w:tbl>
    <w:p w14:paraId="1F47F593" w14:textId="77777777" w:rsidR="00F544BA" w:rsidRPr="00D61480" w:rsidRDefault="00F544BA" w:rsidP="00F544BA">
      <w:pPr>
        <w:jc w:val="center"/>
        <w:rPr>
          <w:rFonts w:ascii="Arial" w:hAnsi="Arial"/>
          <w:sz w:val="16"/>
          <w:szCs w:val="16"/>
          <w:lang w:eastAsia="en-US"/>
        </w:rPr>
      </w:pPr>
      <w:r w:rsidRPr="00D61480">
        <w:rPr>
          <w:rFonts w:ascii="Arial" w:hAnsi="Arial"/>
          <w:sz w:val="16"/>
          <w:szCs w:val="16"/>
        </w:rPr>
        <w:t>Tabla 1. Variables para la supervisión</w:t>
      </w:r>
    </w:p>
    <w:p w14:paraId="5DA05D27" w14:textId="77777777" w:rsidR="00E647C7" w:rsidRPr="00D61480" w:rsidRDefault="00E647C7" w:rsidP="00F544BA">
      <w:pPr>
        <w:rPr>
          <w:rFonts w:ascii="Arial" w:hAnsi="Arial"/>
          <w:sz w:val="20"/>
          <w:szCs w:val="20"/>
        </w:rPr>
      </w:pPr>
    </w:p>
    <w:p w14:paraId="26A4D08F" w14:textId="3E1C579C" w:rsidR="00F544BA" w:rsidRPr="00D61480" w:rsidRDefault="00F544BA" w:rsidP="00F544BA">
      <w:pPr>
        <w:rPr>
          <w:rFonts w:ascii="Arial" w:hAnsi="Arial"/>
          <w:sz w:val="20"/>
          <w:szCs w:val="20"/>
        </w:rPr>
      </w:pPr>
      <w:r w:rsidRPr="00D61480">
        <w:rPr>
          <w:rFonts w:ascii="Arial" w:hAnsi="Arial"/>
          <w:sz w:val="20"/>
          <w:szCs w:val="20"/>
        </w:rPr>
        <w:t>Las variables deben ser supervisadas por los agentes de acuerdo con la normatividad y regulación aplicable</w:t>
      </w:r>
      <w:r w:rsidR="005D3292" w:rsidRPr="00D61480">
        <w:rPr>
          <w:rFonts w:ascii="Arial" w:hAnsi="Arial"/>
          <w:sz w:val="20"/>
          <w:szCs w:val="20"/>
        </w:rPr>
        <w:t>, a saber:</w:t>
      </w:r>
    </w:p>
    <w:p w14:paraId="6059D356" w14:textId="77777777" w:rsidR="005D3292" w:rsidRPr="00D61480" w:rsidRDefault="005D3292" w:rsidP="00F544BA">
      <w:pPr>
        <w:rPr>
          <w:rFonts w:ascii="Arial" w:hAnsi="Arial"/>
          <w:sz w:val="20"/>
          <w:szCs w:val="20"/>
        </w:rPr>
      </w:pPr>
    </w:p>
    <w:p w14:paraId="1BE1D4B8" w14:textId="4EF34402" w:rsidR="00F544BA" w:rsidRPr="00D61480" w:rsidRDefault="00F544BA" w:rsidP="004E0B95">
      <w:pPr>
        <w:pStyle w:val="Prrafodelista"/>
        <w:numPr>
          <w:ilvl w:val="0"/>
          <w:numId w:val="17"/>
        </w:numPr>
        <w:spacing w:line="256" w:lineRule="auto"/>
        <w:rPr>
          <w:rFonts w:ascii="Arial" w:hAnsi="Arial"/>
          <w:sz w:val="20"/>
          <w:szCs w:val="20"/>
        </w:rPr>
      </w:pPr>
      <w:r w:rsidRPr="00D61480">
        <w:rPr>
          <w:rFonts w:ascii="Arial" w:hAnsi="Arial"/>
          <w:sz w:val="20"/>
          <w:szCs w:val="20"/>
        </w:rPr>
        <w:t>Resolución CREG 025 del año 1995: Coordinación, Supervisión y Control de la Operación del SIN</w:t>
      </w:r>
      <w:r w:rsidR="005E2AF8" w:rsidRPr="00D61480">
        <w:rPr>
          <w:rFonts w:ascii="Arial" w:hAnsi="Arial"/>
          <w:sz w:val="20"/>
          <w:szCs w:val="20"/>
        </w:rPr>
        <w:t xml:space="preserve">. </w:t>
      </w:r>
      <w:r w:rsidRPr="00D61480">
        <w:rPr>
          <w:rFonts w:ascii="Arial" w:hAnsi="Arial"/>
          <w:sz w:val="20"/>
          <w:szCs w:val="20"/>
        </w:rPr>
        <w:t>Anexo CC.6 requisitos técnicos del sistema de supervisión</w:t>
      </w:r>
    </w:p>
    <w:p w14:paraId="66670FE7" w14:textId="77777777" w:rsidR="005D3292" w:rsidRPr="00D61480" w:rsidRDefault="005D3292" w:rsidP="005D3292">
      <w:pPr>
        <w:pStyle w:val="Prrafodelista"/>
        <w:spacing w:line="256" w:lineRule="auto"/>
        <w:ind w:left="360"/>
        <w:rPr>
          <w:rFonts w:ascii="Arial" w:hAnsi="Arial"/>
          <w:sz w:val="20"/>
          <w:szCs w:val="20"/>
        </w:rPr>
      </w:pPr>
    </w:p>
    <w:p w14:paraId="41AA575B" w14:textId="6584DC10" w:rsidR="00F544BA" w:rsidRPr="00D61480" w:rsidRDefault="00F544BA" w:rsidP="004E0B95">
      <w:pPr>
        <w:pStyle w:val="Prrafodelista"/>
        <w:numPr>
          <w:ilvl w:val="0"/>
          <w:numId w:val="17"/>
        </w:numPr>
        <w:spacing w:line="256" w:lineRule="auto"/>
        <w:rPr>
          <w:rFonts w:ascii="Arial" w:hAnsi="Arial"/>
          <w:sz w:val="20"/>
          <w:szCs w:val="20"/>
        </w:rPr>
      </w:pPr>
      <w:r w:rsidRPr="00D61480">
        <w:rPr>
          <w:rFonts w:ascii="Arial" w:hAnsi="Arial"/>
          <w:sz w:val="20"/>
          <w:szCs w:val="20"/>
        </w:rPr>
        <w:t>Resolución CREG 054 del año 1996: Articulo 20 información que deben suministrar los centros de despacho</w:t>
      </w:r>
      <w:r w:rsidR="005E2AF8" w:rsidRPr="00D61480">
        <w:rPr>
          <w:rFonts w:ascii="Arial" w:hAnsi="Arial"/>
          <w:sz w:val="20"/>
          <w:szCs w:val="20"/>
        </w:rPr>
        <w:t>.</w:t>
      </w:r>
    </w:p>
    <w:p w14:paraId="3AB2E53A" w14:textId="77777777" w:rsidR="005D3292" w:rsidRPr="00D61480" w:rsidRDefault="005D3292" w:rsidP="005D3292">
      <w:pPr>
        <w:pStyle w:val="Prrafodelista"/>
        <w:spacing w:line="256" w:lineRule="auto"/>
        <w:ind w:left="360"/>
        <w:rPr>
          <w:rFonts w:ascii="Arial" w:hAnsi="Arial"/>
          <w:sz w:val="20"/>
          <w:szCs w:val="20"/>
        </w:rPr>
      </w:pPr>
    </w:p>
    <w:p w14:paraId="3EE626F5" w14:textId="1ADA1060" w:rsidR="00F544BA" w:rsidRPr="00D61480" w:rsidRDefault="00F544BA" w:rsidP="004E0B95">
      <w:pPr>
        <w:pStyle w:val="Prrafodelista"/>
        <w:numPr>
          <w:ilvl w:val="0"/>
          <w:numId w:val="17"/>
        </w:numPr>
        <w:spacing w:line="256" w:lineRule="auto"/>
        <w:rPr>
          <w:rFonts w:ascii="Arial" w:hAnsi="Arial"/>
          <w:sz w:val="20"/>
          <w:szCs w:val="20"/>
        </w:rPr>
      </w:pPr>
      <w:r w:rsidRPr="00D61480">
        <w:rPr>
          <w:rFonts w:ascii="Arial" w:hAnsi="Arial"/>
          <w:sz w:val="20"/>
          <w:szCs w:val="20"/>
        </w:rPr>
        <w:t xml:space="preserve">Resolución CREG 083 del año 1999: Articulo 20 (054/96). Información que deben adquirir o suministrar los agentes del SIN. Artículo 50 (Modificación Numeral 5. CREG 025/95). CND </w:t>
      </w:r>
      <w:r w:rsidRPr="00D61480">
        <w:rPr>
          <w:rFonts w:ascii="Arial" w:hAnsi="Arial"/>
          <w:sz w:val="20"/>
          <w:szCs w:val="20"/>
        </w:rPr>
        <w:lastRenderedPageBreak/>
        <w:t>determina la supervisión y coordinación directa o a través de los CRD Artículo6°.CND podrá realizar auditorías.</w:t>
      </w:r>
    </w:p>
    <w:p w14:paraId="2961A72E" w14:textId="77777777" w:rsidR="005D3292" w:rsidRPr="00D61480" w:rsidRDefault="005D3292" w:rsidP="005D3292">
      <w:pPr>
        <w:pStyle w:val="Prrafodelista"/>
        <w:spacing w:line="256" w:lineRule="auto"/>
        <w:ind w:left="360"/>
        <w:rPr>
          <w:rFonts w:ascii="Arial" w:hAnsi="Arial"/>
          <w:sz w:val="20"/>
          <w:szCs w:val="20"/>
        </w:rPr>
      </w:pPr>
    </w:p>
    <w:p w14:paraId="1E716A3C" w14:textId="7C10BE4E" w:rsidR="00F544BA" w:rsidRPr="00D61480" w:rsidRDefault="00F544BA" w:rsidP="004E0B95">
      <w:pPr>
        <w:pStyle w:val="Prrafodelista"/>
        <w:numPr>
          <w:ilvl w:val="0"/>
          <w:numId w:val="17"/>
        </w:numPr>
        <w:spacing w:line="256" w:lineRule="auto"/>
        <w:rPr>
          <w:rFonts w:ascii="Arial" w:hAnsi="Arial"/>
          <w:sz w:val="20"/>
          <w:szCs w:val="20"/>
        </w:rPr>
      </w:pPr>
      <w:r w:rsidRPr="00D61480">
        <w:rPr>
          <w:rFonts w:ascii="Arial" w:hAnsi="Arial"/>
          <w:sz w:val="20"/>
          <w:szCs w:val="20"/>
        </w:rPr>
        <w:t>Resolución CREG 080 de 1999: Requisitos de supervisión CND.</w:t>
      </w:r>
    </w:p>
    <w:p w14:paraId="7798051F" w14:textId="77777777" w:rsidR="005D3292" w:rsidRPr="00D61480" w:rsidRDefault="005D3292" w:rsidP="005E2AF8">
      <w:pPr>
        <w:spacing w:line="256" w:lineRule="auto"/>
        <w:rPr>
          <w:rFonts w:ascii="Arial" w:hAnsi="Arial"/>
          <w:sz w:val="20"/>
          <w:szCs w:val="20"/>
        </w:rPr>
      </w:pPr>
    </w:p>
    <w:p w14:paraId="64D45BD9" w14:textId="698EA1F2" w:rsidR="00F544BA" w:rsidRPr="00D61480" w:rsidRDefault="00F544BA" w:rsidP="004E0B95">
      <w:pPr>
        <w:pStyle w:val="Prrafodelista"/>
        <w:numPr>
          <w:ilvl w:val="0"/>
          <w:numId w:val="17"/>
        </w:numPr>
        <w:spacing w:line="256" w:lineRule="auto"/>
        <w:rPr>
          <w:rFonts w:ascii="Arial" w:hAnsi="Arial"/>
          <w:sz w:val="20"/>
          <w:szCs w:val="20"/>
        </w:rPr>
      </w:pPr>
      <w:r w:rsidRPr="00D61480">
        <w:rPr>
          <w:rFonts w:ascii="Arial" w:hAnsi="Arial"/>
          <w:sz w:val="20"/>
          <w:szCs w:val="20"/>
        </w:rPr>
        <w:t>Acuerdo CNO  1041 del 2018 sobre la Calidad de la supervisión con un mínimo del 95 % en calidad.</w:t>
      </w:r>
    </w:p>
    <w:p w14:paraId="41D474A4" w14:textId="77777777" w:rsidR="00F544BA" w:rsidRPr="00D61480" w:rsidRDefault="00F544BA" w:rsidP="00F544BA">
      <w:pPr>
        <w:rPr>
          <w:rFonts w:ascii="Arial" w:hAnsi="Arial"/>
          <w:sz w:val="20"/>
          <w:szCs w:val="20"/>
        </w:rPr>
      </w:pPr>
    </w:p>
    <w:p w14:paraId="1CC3965F" w14:textId="6403AC30" w:rsidR="00F544BA" w:rsidRPr="00D61480" w:rsidRDefault="00F544BA" w:rsidP="00C24DC2">
      <w:pPr>
        <w:rPr>
          <w:rFonts w:ascii="Arial" w:hAnsi="Arial"/>
          <w:sz w:val="20"/>
          <w:szCs w:val="20"/>
        </w:rPr>
      </w:pPr>
      <w:r w:rsidRPr="00D61480">
        <w:rPr>
          <w:rFonts w:ascii="Arial" w:hAnsi="Arial"/>
          <w:sz w:val="20"/>
          <w:szCs w:val="20"/>
        </w:rPr>
        <w:t>Por lo tanto</w:t>
      </w:r>
      <w:r w:rsidR="005E2AF8" w:rsidRPr="00D61480">
        <w:rPr>
          <w:rFonts w:ascii="Arial" w:hAnsi="Arial"/>
          <w:sz w:val="20"/>
          <w:szCs w:val="20"/>
        </w:rPr>
        <w:t>,</w:t>
      </w:r>
      <w:r w:rsidRPr="00D61480">
        <w:rPr>
          <w:rFonts w:ascii="Arial" w:hAnsi="Arial"/>
          <w:sz w:val="20"/>
          <w:szCs w:val="20"/>
        </w:rPr>
        <w:t xml:space="preserve"> y ante el ingreso de las DER, la supervisión toma especial relevancia</w:t>
      </w:r>
      <w:r w:rsidR="005E2AF8" w:rsidRPr="00D61480">
        <w:rPr>
          <w:rFonts w:ascii="Arial" w:hAnsi="Arial"/>
          <w:sz w:val="20"/>
          <w:szCs w:val="20"/>
        </w:rPr>
        <w:t>. Adicionalmente,</w:t>
      </w:r>
      <w:r w:rsidRPr="00D61480">
        <w:rPr>
          <w:rFonts w:ascii="Arial" w:hAnsi="Arial"/>
          <w:sz w:val="20"/>
          <w:szCs w:val="20"/>
        </w:rPr>
        <w:t xml:space="preserve"> toda la información requerida para el planeamiento y operación del SIN debe ser suministrada o recibida de manera oportuna y confiable por parte de los agentes hacia el CND. E</w:t>
      </w:r>
      <w:r w:rsidR="005E2AF8" w:rsidRPr="00D61480">
        <w:rPr>
          <w:rFonts w:ascii="Arial" w:hAnsi="Arial"/>
          <w:sz w:val="20"/>
          <w:szCs w:val="20"/>
        </w:rPr>
        <w:t>llo solo</w:t>
      </w:r>
      <w:r w:rsidRPr="00D61480">
        <w:rPr>
          <w:rFonts w:ascii="Arial" w:hAnsi="Arial"/>
          <w:sz w:val="20"/>
          <w:szCs w:val="20"/>
        </w:rPr>
        <w:t xml:space="preserve"> se logra con una estrecha relación entre los agentes y el CND, al tener en estado de calidad que requieren las medidas de los equipos a supervisar.</w:t>
      </w:r>
    </w:p>
    <w:p w14:paraId="7BF18879" w14:textId="7C0D7E64" w:rsidR="00C24DC2" w:rsidRPr="00D61480" w:rsidRDefault="00C24DC2" w:rsidP="00C24DC2">
      <w:pPr>
        <w:rPr>
          <w:rFonts w:ascii="Arial" w:hAnsi="Arial"/>
          <w:sz w:val="20"/>
          <w:szCs w:val="20"/>
        </w:rPr>
      </w:pPr>
    </w:p>
    <w:p w14:paraId="7AB572AB" w14:textId="6D299F96" w:rsidR="00C24DC2" w:rsidRPr="00D61480" w:rsidRDefault="00C24DC2" w:rsidP="00C24DC2">
      <w:pPr>
        <w:pStyle w:val="Enelcorpodeltesto"/>
        <w:numPr>
          <w:ilvl w:val="0"/>
          <w:numId w:val="12"/>
        </w:numPr>
        <w:contextualSpacing/>
        <w:outlineLvl w:val="0"/>
        <w:rPr>
          <w:rFonts w:ascii="Arial" w:hAnsi="Arial" w:cs="Arial"/>
          <w:b/>
          <w:sz w:val="20"/>
          <w:szCs w:val="20"/>
          <w:lang w:val="es-CO" w:eastAsia="es-ES"/>
        </w:rPr>
      </w:pPr>
      <w:bookmarkStart w:id="3" w:name="_Toc52213528"/>
      <w:r w:rsidRPr="00D61480">
        <w:rPr>
          <w:rFonts w:ascii="Arial" w:hAnsi="Arial" w:cs="Arial"/>
          <w:b/>
          <w:sz w:val="20"/>
          <w:szCs w:val="20"/>
          <w:lang w:val="es-CO" w:eastAsia="es-ES"/>
        </w:rPr>
        <w:t>Análisis sectorial y tecnológico</w:t>
      </w:r>
      <w:bookmarkEnd w:id="3"/>
      <w:r w:rsidRPr="00D61480">
        <w:rPr>
          <w:rFonts w:ascii="Arial" w:hAnsi="Arial" w:cs="Arial"/>
          <w:b/>
          <w:sz w:val="20"/>
          <w:szCs w:val="20"/>
          <w:lang w:val="es-CO" w:eastAsia="es-ES"/>
        </w:rPr>
        <w:t>.</w:t>
      </w:r>
    </w:p>
    <w:p w14:paraId="1DFD095A" w14:textId="77777777" w:rsidR="00C24DC2" w:rsidRPr="00D61480" w:rsidRDefault="00C24DC2" w:rsidP="00C24DC2">
      <w:pPr>
        <w:rPr>
          <w:rFonts w:ascii="Arial" w:eastAsiaTheme="minorHAnsi" w:hAnsi="Arial"/>
          <w:sz w:val="20"/>
          <w:szCs w:val="20"/>
        </w:rPr>
      </w:pPr>
    </w:p>
    <w:p w14:paraId="0F5C85A9" w14:textId="77777777" w:rsidR="00C24DC2" w:rsidRPr="00D61480" w:rsidRDefault="00C24DC2" w:rsidP="00C24DC2">
      <w:pPr>
        <w:rPr>
          <w:rFonts w:ascii="Arial" w:hAnsi="Arial"/>
          <w:sz w:val="20"/>
          <w:szCs w:val="20"/>
          <w:lang w:val="es-ES_tradnl"/>
        </w:rPr>
      </w:pPr>
      <w:r w:rsidRPr="00D61480">
        <w:rPr>
          <w:rFonts w:ascii="Arial" w:hAnsi="Arial"/>
          <w:sz w:val="20"/>
          <w:szCs w:val="20"/>
          <w:lang w:val="es-ES_tradnl"/>
        </w:rPr>
        <w:t>Las nuevas tecnologías del lado de la demanda y DER traen nuevos retos a los operadores de red y al SIN, que requieren nuevos enfoques y modelos de planeación, desarrollo, operación y control de los SDL, respaldados por soluciones significativas de monitoreo, control y administración, que utilicen tecnologías en tiempo real y/u online con grandes centros de datos para permitir las decisiones oportunas de operación. Utilizando la analítica, los operadores de red pueden interactuar con los consumidores</w:t>
      </w:r>
      <w:r w:rsidRPr="00D61480">
        <w:rPr>
          <w:sz w:val="20"/>
          <w:szCs w:val="20"/>
          <w:lang w:val="es-ES_tradnl"/>
        </w:rPr>
        <w:t xml:space="preserve"> </w:t>
      </w:r>
      <w:r w:rsidRPr="00D61480">
        <w:rPr>
          <w:rFonts w:ascii="Arial" w:hAnsi="Arial"/>
          <w:sz w:val="20"/>
          <w:szCs w:val="20"/>
          <w:lang w:val="es-ES_tradnl"/>
        </w:rPr>
        <w:t>activos y móviles, facilitar el desarrollo de sus inversiones y operación como prosumidores, además de alinearlos con las demandas reales del sistema.</w:t>
      </w:r>
    </w:p>
    <w:p w14:paraId="6B804E34" w14:textId="77777777" w:rsidR="00C24DC2" w:rsidRPr="00D61480" w:rsidRDefault="00C24DC2" w:rsidP="00C24DC2">
      <w:pPr>
        <w:rPr>
          <w:rFonts w:ascii="Arial" w:hAnsi="Arial"/>
          <w:sz w:val="20"/>
          <w:szCs w:val="20"/>
          <w:lang w:val="es-ES_tradnl"/>
        </w:rPr>
      </w:pPr>
    </w:p>
    <w:p w14:paraId="3445085E" w14:textId="3C7123A2" w:rsidR="00C24DC2" w:rsidRPr="00D61480" w:rsidRDefault="00C24DC2" w:rsidP="00C24DC2">
      <w:pPr>
        <w:rPr>
          <w:rFonts w:ascii="Arial" w:hAnsi="Arial"/>
          <w:sz w:val="20"/>
          <w:szCs w:val="20"/>
          <w:lang w:val="es-CO"/>
        </w:rPr>
      </w:pPr>
      <w:r w:rsidRPr="00D61480">
        <w:rPr>
          <w:rFonts w:ascii="Arial" w:hAnsi="Arial"/>
          <w:sz w:val="20"/>
          <w:szCs w:val="20"/>
        </w:rPr>
        <w:t>Las recomendaciones de supervisión y ciberseguridad están enfocadas en la estandarización de integración de las nuevas tecnologías DER de plantas fotovoltaicas y eólicas al SDL, sin embargo, la forma como está organizada la planeación de los operadores de red del SDL (DSO) debe concebir la integración de otros recursos de energía distribuida como los VPP, sistemas de almacenamiento, estaciones de carga, entre otros.</w:t>
      </w:r>
    </w:p>
    <w:p w14:paraId="1015B53F" w14:textId="77777777" w:rsidR="00C24DC2" w:rsidRPr="00D61480" w:rsidRDefault="00C24DC2" w:rsidP="00C24DC2">
      <w:pPr>
        <w:rPr>
          <w:rFonts w:ascii="Arial" w:hAnsi="Arial"/>
          <w:sz w:val="20"/>
          <w:szCs w:val="20"/>
        </w:rPr>
      </w:pPr>
    </w:p>
    <w:p w14:paraId="575ED224" w14:textId="2BD6F6D3" w:rsidR="00C24DC2" w:rsidRPr="00D61480" w:rsidRDefault="00C24DC2" w:rsidP="00C24DC2">
      <w:pPr>
        <w:rPr>
          <w:rFonts w:ascii="Arial" w:hAnsi="Arial"/>
          <w:sz w:val="20"/>
          <w:szCs w:val="20"/>
        </w:rPr>
      </w:pPr>
      <w:r w:rsidRPr="00D61480">
        <w:rPr>
          <w:rFonts w:ascii="Arial" w:hAnsi="Arial"/>
          <w:sz w:val="20"/>
          <w:szCs w:val="20"/>
        </w:rPr>
        <w:t>El desarrollo de las energías renovables tales como la fotovoltaica y eólica, tienen grandes oportunidades para el desarrollo eficiente del SIN y significan un gran reto para la distribución de energía, sin embargo, los estándares y nuevas tecnologías permiten su inserción con costos transaccionales eficientes de tal forma que se permita su despliegue masivo, y nuevas oportunidades de servicios como prosumidores.</w:t>
      </w:r>
    </w:p>
    <w:p w14:paraId="6BB0A0AB" w14:textId="77777777" w:rsidR="00C24DC2" w:rsidRPr="00D61480" w:rsidRDefault="00C24DC2" w:rsidP="00C24DC2">
      <w:pPr>
        <w:rPr>
          <w:rFonts w:ascii="Arial" w:hAnsi="Arial"/>
          <w:sz w:val="20"/>
          <w:szCs w:val="20"/>
        </w:rPr>
      </w:pPr>
    </w:p>
    <w:p w14:paraId="6DBF251B" w14:textId="32B0C36A" w:rsidR="00C24DC2" w:rsidRPr="00D61480" w:rsidRDefault="00C24DC2" w:rsidP="00C24DC2">
      <w:pPr>
        <w:pStyle w:val="Ttulo2"/>
        <w:numPr>
          <w:ilvl w:val="1"/>
          <w:numId w:val="12"/>
        </w:numPr>
        <w:jc w:val="both"/>
        <w:rPr>
          <w:rFonts w:ascii="Arial" w:hAnsi="Arial"/>
          <w:sz w:val="20"/>
          <w:szCs w:val="20"/>
        </w:rPr>
      </w:pPr>
      <w:bookmarkStart w:id="4" w:name="_Toc52213529"/>
      <w:r w:rsidRPr="00D61480">
        <w:rPr>
          <w:rFonts w:ascii="Arial" w:hAnsi="Arial"/>
          <w:sz w:val="20"/>
          <w:szCs w:val="20"/>
        </w:rPr>
        <w:t>Desafíos actuales para la industria eléctrica a escala global</w:t>
      </w:r>
      <w:bookmarkEnd w:id="4"/>
      <w:r w:rsidRPr="00D61480">
        <w:rPr>
          <w:rFonts w:ascii="Arial" w:hAnsi="Arial"/>
          <w:sz w:val="20"/>
          <w:szCs w:val="20"/>
        </w:rPr>
        <w:t>.</w:t>
      </w:r>
    </w:p>
    <w:p w14:paraId="040BABCE" w14:textId="77777777" w:rsidR="00C24DC2" w:rsidRPr="00D61480" w:rsidRDefault="00C24DC2" w:rsidP="00C24DC2">
      <w:pPr>
        <w:rPr>
          <w:rFonts w:ascii="Arial" w:hAnsi="Arial"/>
          <w:sz w:val="20"/>
          <w:szCs w:val="20"/>
        </w:rPr>
      </w:pPr>
    </w:p>
    <w:p w14:paraId="4ECAB069" w14:textId="6304F882" w:rsidR="00C24DC2" w:rsidRPr="00D61480" w:rsidRDefault="00C24DC2" w:rsidP="00C24DC2">
      <w:pPr>
        <w:rPr>
          <w:rFonts w:ascii="Arial" w:hAnsi="Arial"/>
          <w:sz w:val="20"/>
          <w:szCs w:val="20"/>
        </w:rPr>
      </w:pPr>
      <w:r w:rsidRPr="00D61480">
        <w:rPr>
          <w:rFonts w:ascii="Arial" w:hAnsi="Arial"/>
          <w:sz w:val="20"/>
          <w:szCs w:val="20"/>
        </w:rPr>
        <w:t>Dado el impacto de la energía eléctrica en el bienestar personal y la efectividad económica, los proveedores del servicio de energía eléctrica deben mantener estrictos criterios de calidad y satisfacer altos niveles de desempeño. Asimismo, deben colaborar efectivamente para desarrollar una infraestructura que garantice el servicio en el mediano y largo plazo, y mantenerse respetuosos del medio ambiente. De ahí la importancia de la masificación de las energías renovables y especialmente los DER, que aportan mayor eficiencia a la demanda.</w:t>
      </w:r>
    </w:p>
    <w:p w14:paraId="50DE9D49" w14:textId="77777777" w:rsidR="00C24DC2" w:rsidRPr="00D61480" w:rsidRDefault="00C24DC2" w:rsidP="00C24DC2">
      <w:pPr>
        <w:rPr>
          <w:rFonts w:ascii="Arial" w:hAnsi="Arial"/>
          <w:sz w:val="20"/>
          <w:szCs w:val="20"/>
        </w:rPr>
      </w:pPr>
    </w:p>
    <w:p w14:paraId="0744DE01" w14:textId="6E8F558E" w:rsidR="00C24DC2" w:rsidRPr="00D61480" w:rsidRDefault="00C24DC2" w:rsidP="00C24DC2">
      <w:pPr>
        <w:rPr>
          <w:rFonts w:ascii="Arial" w:hAnsi="Arial"/>
          <w:sz w:val="20"/>
          <w:szCs w:val="20"/>
          <w:lang w:val="es-ES_tradnl"/>
        </w:rPr>
      </w:pPr>
      <w:r w:rsidRPr="00D61480">
        <w:rPr>
          <w:rFonts w:ascii="Arial" w:hAnsi="Arial"/>
          <w:sz w:val="20"/>
          <w:szCs w:val="20"/>
          <w:lang w:val="es-ES_tradnl"/>
        </w:rPr>
        <w:t xml:space="preserve">Teniendo en cuenta las condiciones actuales de servicio, las compañías de electricidad deben modificar sus modelos de administración, contemplando aspectos como reducciones de precios (que implican márgenes más estrechos), requerimientos en la mejora de la calidad del suministro, nuevos servicios demandados por usuarios más activos con respecto a los procesos de </w:t>
      </w:r>
      <w:r w:rsidRPr="00D61480">
        <w:rPr>
          <w:rFonts w:ascii="Arial" w:hAnsi="Arial"/>
          <w:sz w:val="20"/>
          <w:szCs w:val="20"/>
          <w:lang w:val="es-ES_tradnl"/>
        </w:rPr>
        <w:lastRenderedPageBreak/>
        <w:t xml:space="preserve">generación de energía, mayor enfoque en la protección del medio ambiente, nuevas tecnologías que modifican el alcance tradicional de los negocios al centrar la atención en la administración técnica de los activos y muchos otros.  El diseño y desarrollo de servicios del sector eléctrico deben comprender aspectos como: </w:t>
      </w:r>
    </w:p>
    <w:p w14:paraId="0BD22CD6" w14:textId="77777777" w:rsidR="00C24DC2" w:rsidRPr="00D61480" w:rsidRDefault="00C24DC2" w:rsidP="00C24DC2">
      <w:pPr>
        <w:rPr>
          <w:rFonts w:ascii="Arial" w:hAnsi="Arial"/>
          <w:sz w:val="20"/>
          <w:szCs w:val="20"/>
          <w:lang w:val="es-ES_tradnl"/>
        </w:rPr>
      </w:pPr>
    </w:p>
    <w:p w14:paraId="384F4114" w14:textId="77777777" w:rsidR="00C24DC2" w:rsidRPr="00D61480" w:rsidRDefault="00C24DC2" w:rsidP="004E0B95">
      <w:pPr>
        <w:pStyle w:val="Prrafodelista"/>
        <w:numPr>
          <w:ilvl w:val="0"/>
          <w:numId w:val="20"/>
        </w:numPr>
        <w:rPr>
          <w:rFonts w:ascii="Arial" w:hAnsi="Arial"/>
          <w:sz w:val="20"/>
          <w:szCs w:val="20"/>
          <w:lang w:val="es-ES_tradnl"/>
        </w:rPr>
      </w:pPr>
      <w:r w:rsidRPr="00D61480">
        <w:rPr>
          <w:rFonts w:ascii="Arial" w:hAnsi="Arial"/>
          <w:sz w:val="20"/>
          <w:szCs w:val="20"/>
          <w:lang w:val="es-ES_tradnl"/>
        </w:rPr>
        <w:t>Un enfoque que se centre en el cliente y proporcione servicios con más alto valor.</w:t>
      </w:r>
    </w:p>
    <w:p w14:paraId="46A2B77A" w14:textId="77777777" w:rsidR="00C24DC2" w:rsidRPr="00D61480" w:rsidRDefault="00C24DC2" w:rsidP="00C24DC2">
      <w:pPr>
        <w:pStyle w:val="Prrafodelista"/>
        <w:ind w:left="502"/>
        <w:rPr>
          <w:rFonts w:ascii="Arial" w:hAnsi="Arial"/>
          <w:sz w:val="20"/>
          <w:szCs w:val="20"/>
          <w:lang w:val="es-ES_tradnl"/>
        </w:rPr>
      </w:pPr>
    </w:p>
    <w:p w14:paraId="324B64AF" w14:textId="22CDA795" w:rsidR="00C24DC2" w:rsidRPr="00D61480" w:rsidRDefault="00C24DC2" w:rsidP="004E0B95">
      <w:pPr>
        <w:pStyle w:val="Prrafodelista"/>
        <w:numPr>
          <w:ilvl w:val="0"/>
          <w:numId w:val="20"/>
        </w:numPr>
        <w:rPr>
          <w:rFonts w:ascii="Arial" w:hAnsi="Arial"/>
          <w:sz w:val="20"/>
          <w:szCs w:val="20"/>
          <w:lang w:val="es-ES_tradnl"/>
        </w:rPr>
      </w:pPr>
      <w:r w:rsidRPr="00D61480">
        <w:rPr>
          <w:rFonts w:ascii="Arial" w:hAnsi="Arial"/>
          <w:sz w:val="20"/>
          <w:szCs w:val="20"/>
          <w:lang w:val="es-ES_tradnl"/>
        </w:rPr>
        <w:t>Modelo de negocios con una ventaja competitiva en la toma de conciencia en relación con el medio ambiente.</w:t>
      </w:r>
    </w:p>
    <w:p w14:paraId="31F51A78" w14:textId="77777777" w:rsidR="00C24DC2" w:rsidRPr="00D61480" w:rsidRDefault="00C24DC2" w:rsidP="00C24DC2">
      <w:pPr>
        <w:pStyle w:val="Prrafodelista"/>
        <w:ind w:left="502"/>
        <w:rPr>
          <w:rFonts w:ascii="Arial" w:hAnsi="Arial"/>
          <w:sz w:val="20"/>
          <w:szCs w:val="20"/>
          <w:lang w:val="es-ES_tradnl"/>
        </w:rPr>
      </w:pPr>
    </w:p>
    <w:p w14:paraId="6F45AB53" w14:textId="77777777" w:rsidR="00C24DC2" w:rsidRPr="00D61480" w:rsidRDefault="00C24DC2" w:rsidP="004E0B95">
      <w:pPr>
        <w:pStyle w:val="Prrafodelista"/>
        <w:numPr>
          <w:ilvl w:val="0"/>
          <w:numId w:val="20"/>
        </w:numPr>
        <w:rPr>
          <w:rFonts w:ascii="Arial" w:hAnsi="Arial"/>
          <w:sz w:val="20"/>
          <w:szCs w:val="20"/>
          <w:lang w:val="es-ES_tradnl"/>
        </w:rPr>
      </w:pPr>
      <w:r w:rsidRPr="00D61480">
        <w:rPr>
          <w:rFonts w:ascii="Arial" w:hAnsi="Arial"/>
          <w:sz w:val="20"/>
          <w:szCs w:val="20"/>
          <w:lang w:val="es-ES_tradnl"/>
        </w:rPr>
        <w:t>Infraestructura que se administre teniendo en cuenta nuevos requerimientos y mejorando sus estándares de calidad.</w:t>
      </w:r>
    </w:p>
    <w:p w14:paraId="5ECA9293" w14:textId="77777777" w:rsidR="00C24DC2" w:rsidRPr="00D61480" w:rsidRDefault="00C24DC2" w:rsidP="00C24DC2">
      <w:pPr>
        <w:pStyle w:val="Prrafodelista"/>
        <w:rPr>
          <w:rFonts w:ascii="Arial" w:hAnsi="Arial"/>
          <w:sz w:val="20"/>
          <w:szCs w:val="20"/>
          <w:lang w:val="es-ES_tradnl"/>
        </w:rPr>
      </w:pPr>
    </w:p>
    <w:p w14:paraId="1F5CEB4B" w14:textId="77777777" w:rsidR="00C24DC2" w:rsidRPr="00D61480" w:rsidRDefault="00C24DC2" w:rsidP="004E0B95">
      <w:pPr>
        <w:pStyle w:val="Prrafodelista"/>
        <w:numPr>
          <w:ilvl w:val="0"/>
          <w:numId w:val="20"/>
        </w:numPr>
        <w:rPr>
          <w:rFonts w:ascii="Arial" w:hAnsi="Arial"/>
          <w:sz w:val="20"/>
          <w:szCs w:val="20"/>
          <w:lang w:val="es-ES_tradnl"/>
        </w:rPr>
      </w:pPr>
      <w:r w:rsidRPr="00D61480">
        <w:rPr>
          <w:rFonts w:ascii="Arial" w:hAnsi="Arial"/>
          <w:sz w:val="20"/>
          <w:szCs w:val="20"/>
          <w:lang w:val="es-ES_tradnl"/>
        </w:rPr>
        <w:t>Uso intensivo de las tecnologías de información y las telecomunicaciones. Existe un gran reto por disponibilidad, ancho de banda y calidad de las comunicaciones.</w:t>
      </w:r>
    </w:p>
    <w:p w14:paraId="4ABB5365" w14:textId="77777777" w:rsidR="00C24DC2" w:rsidRPr="00D61480" w:rsidRDefault="00C24DC2" w:rsidP="00C24DC2">
      <w:pPr>
        <w:pStyle w:val="Prrafodelista"/>
        <w:rPr>
          <w:rFonts w:ascii="Arial" w:hAnsi="Arial"/>
          <w:sz w:val="20"/>
          <w:szCs w:val="20"/>
          <w:lang w:val="es-ES_tradnl"/>
        </w:rPr>
      </w:pPr>
    </w:p>
    <w:p w14:paraId="3ED2B7C8" w14:textId="541B3F71" w:rsidR="00C24DC2" w:rsidRPr="00D61480" w:rsidRDefault="00C24DC2" w:rsidP="004E0B95">
      <w:pPr>
        <w:pStyle w:val="Prrafodelista"/>
        <w:numPr>
          <w:ilvl w:val="0"/>
          <w:numId w:val="20"/>
        </w:numPr>
        <w:rPr>
          <w:rFonts w:ascii="Arial" w:hAnsi="Arial"/>
          <w:sz w:val="20"/>
          <w:szCs w:val="20"/>
          <w:lang w:val="es-ES_tradnl"/>
        </w:rPr>
      </w:pPr>
      <w:r w:rsidRPr="00D61480">
        <w:rPr>
          <w:rFonts w:ascii="Arial" w:hAnsi="Arial"/>
          <w:sz w:val="20"/>
          <w:szCs w:val="20"/>
          <w:lang w:val="es-ES_tradnl"/>
        </w:rPr>
        <w:t>Operar en mercados con demanda activa, que busca participar en el mercado y recoger beneficios compartidos.</w:t>
      </w:r>
    </w:p>
    <w:p w14:paraId="08365FE7" w14:textId="77777777" w:rsidR="00C24DC2" w:rsidRPr="00D61480" w:rsidRDefault="00C24DC2" w:rsidP="00C24DC2">
      <w:pPr>
        <w:rPr>
          <w:rFonts w:ascii="Arial" w:hAnsi="Arial"/>
          <w:sz w:val="20"/>
          <w:szCs w:val="20"/>
        </w:rPr>
      </w:pPr>
    </w:p>
    <w:p w14:paraId="34E1525E" w14:textId="2C3B2871" w:rsidR="00C24DC2" w:rsidRPr="00D61480" w:rsidRDefault="00C24DC2" w:rsidP="00C24DC2">
      <w:pPr>
        <w:rPr>
          <w:rFonts w:ascii="Arial" w:hAnsi="Arial"/>
          <w:sz w:val="20"/>
          <w:szCs w:val="20"/>
          <w:lang w:val="es-CO"/>
        </w:rPr>
      </w:pPr>
      <w:r w:rsidRPr="00D61480">
        <w:rPr>
          <w:rFonts w:ascii="Arial" w:hAnsi="Arial"/>
          <w:sz w:val="20"/>
          <w:szCs w:val="20"/>
        </w:rPr>
        <w:t>La digitalización y otros avances tecnológicos, como las nuevas fuentes de energía renovable y las mejoras en la capacidad de almacenamiento con baterías, están impactando la industria de la energía. El surgimiento de estas tecnologías está cambiando el panorama competitivo de la industria, brindando ventajas de costos para los operadores, así como una apertura para nuevos entrantes (prosumidores). Como resultado, las empresas del sector eléctrico y de servicios públicos deben adoptar aspectos claves de la digitalización</w:t>
      </w:r>
      <w:r w:rsidR="004A2303" w:rsidRPr="00D61480">
        <w:rPr>
          <w:rFonts w:ascii="Arial" w:hAnsi="Arial"/>
          <w:sz w:val="20"/>
          <w:szCs w:val="20"/>
        </w:rPr>
        <w:t>,</w:t>
      </w:r>
      <w:r w:rsidRPr="00D61480">
        <w:rPr>
          <w:rFonts w:ascii="Arial" w:hAnsi="Arial"/>
          <w:sz w:val="20"/>
          <w:szCs w:val="20"/>
        </w:rPr>
        <w:t xml:space="preserve"> que son esenciales para mejorar su capacidad de conducir la ola de transformación hacia el futuro.</w:t>
      </w:r>
    </w:p>
    <w:p w14:paraId="0D2C5444" w14:textId="77777777" w:rsidR="00C24DC2" w:rsidRPr="00D61480" w:rsidRDefault="00C24DC2" w:rsidP="00C24DC2">
      <w:pPr>
        <w:rPr>
          <w:rFonts w:ascii="Arial" w:hAnsi="Arial"/>
          <w:sz w:val="20"/>
          <w:szCs w:val="20"/>
        </w:rPr>
      </w:pPr>
    </w:p>
    <w:p w14:paraId="78A95B70" w14:textId="360AA264" w:rsidR="00C24DC2" w:rsidRPr="00D61480" w:rsidRDefault="00C24DC2" w:rsidP="00C24DC2">
      <w:pPr>
        <w:rPr>
          <w:rFonts w:ascii="Arial" w:hAnsi="Arial"/>
          <w:sz w:val="20"/>
          <w:szCs w:val="20"/>
        </w:rPr>
      </w:pPr>
      <w:r w:rsidRPr="00D61480">
        <w:rPr>
          <w:rFonts w:ascii="Arial" w:hAnsi="Arial"/>
          <w:sz w:val="20"/>
          <w:szCs w:val="20"/>
        </w:rPr>
        <w:t>El tradicional entorno competitivo al que estaban acostumbrados los operadores, en el cual las empresas producían y comercializaban energía a un grupo de clientes ubicados en un área geográfica con poca o ninguna competencia está transformándose para siempre. A menudo nuevas empresas de base tecnológica encabezan los avances en almacenamiento de baterías, hogares inteligentes y dispositivos de administración de energía para proporcionar servicios de energía distribuida potencialmente menos costosos.  Eso está acelerando el desarrollo de productos y servicios digitales y la adopción de herramientas digitales en el sector de servicios públicos.  Así, las personas utilizan la energía para una gama cada vez más amplia de propósitos, fomentando ideas innovadoras de vida urbana y nuevas opciones para trasladarse de un lugar a otro.</w:t>
      </w:r>
    </w:p>
    <w:p w14:paraId="1425D45F" w14:textId="77777777" w:rsidR="00C24DC2" w:rsidRPr="00D61480" w:rsidRDefault="00C24DC2" w:rsidP="00C24DC2">
      <w:pPr>
        <w:rPr>
          <w:rFonts w:ascii="Arial" w:hAnsi="Arial"/>
          <w:sz w:val="20"/>
          <w:szCs w:val="20"/>
        </w:rPr>
      </w:pPr>
    </w:p>
    <w:p w14:paraId="0A50FD95" w14:textId="510496FE" w:rsidR="00C24DC2" w:rsidRPr="00D61480" w:rsidRDefault="00C24DC2" w:rsidP="00C24DC2">
      <w:pPr>
        <w:rPr>
          <w:rFonts w:ascii="Arial" w:hAnsi="Arial"/>
          <w:sz w:val="20"/>
          <w:szCs w:val="20"/>
        </w:rPr>
      </w:pPr>
      <w:r w:rsidRPr="00D61480">
        <w:rPr>
          <w:rFonts w:ascii="Arial" w:hAnsi="Arial"/>
          <w:sz w:val="20"/>
          <w:szCs w:val="20"/>
        </w:rPr>
        <w:t>En virtud de la necesidad de mantener costos competitivos mientras se presta un servicio de calidad a los usuarios, las compañías de servicios del sector eléctrico enfrentan retos a corto plazo, que generan la necesidad de transformar sus organizaciones. Como parte de esta transformación, algunas compañías de servicios están desarrollando procesos que permitan:</w:t>
      </w:r>
    </w:p>
    <w:p w14:paraId="38215EBF" w14:textId="77777777" w:rsidR="004A2303" w:rsidRPr="00D61480" w:rsidRDefault="004A2303" w:rsidP="00C24DC2">
      <w:pPr>
        <w:rPr>
          <w:rFonts w:ascii="Arial" w:hAnsi="Arial"/>
          <w:sz w:val="20"/>
          <w:szCs w:val="20"/>
        </w:rPr>
      </w:pPr>
    </w:p>
    <w:p w14:paraId="517DD986" w14:textId="77777777" w:rsidR="00C24DC2" w:rsidRPr="00D61480" w:rsidRDefault="00C24DC2" w:rsidP="004E0B95">
      <w:pPr>
        <w:pStyle w:val="Prrafodelista"/>
        <w:numPr>
          <w:ilvl w:val="0"/>
          <w:numId w:val="18"/>
        </w:numPr>
        <w:rPr>
          <w:rFonts w:ascii="Arial" w:hAnsi="Arial"/>
          <w:sz w:val="20"/>
          <w:szCs w:val="20"/>
          <w:lang w:val="es-ES_tradnl"/>
        </w:rPr>
      </w:pPr>
      <w:r w:rsidRPr="00D61480">
        <w:rPr>
          <w:rFonts w:ascii="Arial" w:hAnsi="Arial"/>
          <w:sz w:val="20"/>
          <w:szCs w:val="20"/>
          <w:lang w:val="es-ES_tradnl"/>
        </w:rPr>
        <w:t>Integrar fuentes de generación de electricidad múltiples, desde renovables de pequeña escala generadas por microrredes y otras fuentes de generación de energía distribuida, hasta plantas de energía eléctrica a escala mayor.</w:t>
      </w:r>
    </w:p>
    <w:p w14:paraId="7235EC62" w14:textId="77777777" w:rsidR="004A2303" w:rsidRPr="00D61480" w:rsidRDefault="004A2303" w:rsidP="004A2303">
      <w:pPr>
        <w:pStyle w:val="Prrafodelista"/>
        <w:ind w:left="360"/>
        <w:rPr>
          <w:rFonts w:ascii="Arial" w:hAnsi="Arial"/>
          <w:sz w:val="20"/>
          <w:szCs w:val="20"/>
          <w:lang w:val="es-ES_tradnl"/>
        </w:rPr>
      </w:pPr>
    </w:p>
    <w:p w14:paraId="640EC17E" w14:textId="337031DE" w:rsidR="00C24DC2" w:rsidRPr="00D61480" w:rsidRDefault="00C24DC2" w:rsidP="004E0B95">
      <w:pPr>
        <w:pStyle w:val="Prrafodelista"/>
        <w:numPr>
          <w:ilvl w:val="0"/>
          <w:numId w:val="18"/>
        </w:numPr>
        <w:rPr>
          <w:rFonts w:ascii="Arial" w:hAnsi="Arial"/>
          <w:sz w:val="20"/>
          <w:szCs w:val="20"/>
          <w:lang w:val="es-ES_tradnl"/>
        </w:rPr>
      </w:pPr>
      <w:r w:rsidRPr="00D61480">
        <w:rPr>
          <w:rFonts w:ascii="Arial" w:hAnsi="Arial"/>
          <w:sz w:val="20"/>
          <w:szCs w:val="20"/>
          <w:lang w:val="es-ES_tradnl"/>
        </w:rPr>
        <w:t>Promover el desarrollo de nuevas tecnologías, que faciliten la administración adecuada de aquellos sistemas de electricidad que tienen una mayor integración de generación a partir de fuentes renovables, generación distribuida, almacenamiento de energía, programas de gestión de la demanda, etc.</w:t>
      </w:r>
    </w:p>
    <w:p w14:paraId="2521FA7B" w14:textId="19BA6A88" w:rsidR="00C24DC2" w:rsidRPr="00D61480" w:rsidRDefault="00C24DC2" w:rsidP="004E0B95">
      <w:pPr>
        <w:pStyle w:val="Prrafodelista"/>
        <w:numPr>
          <w:ilvl w:val="0"/>
          <w:numId w:val="18"/>
        </w:numPr>
        <w:rPr>
          <w:rFonts w:ascii="Arial" w:hAnsi="Arial"/>
          <w:sz w:val="20"/>
          <w:szCs w:val="20"/>
          <w:lang w:val="es-ES_tradnl"/>
        </w:rPr>
      </w:pPr>
      <w:r w:rsidRPr="00D61480">
        <w:rPr>
          <w:rFonts w:ascii="Arial" w:hAnsi="Arial"/>
          <w:sz w:val="20"/>
          <w:szCs w:val="20"/>
          <w:lang w:val="es-ES_tradnl"/>
        </w:rPr>
        <w:lastRenderedPageBreak/>
        <w:t>Adoptar tecnologías de TI a gran escala para mejorar la prestación de los servicios.</w:t>
      </w:r>
    </w:p>
    <w:p w14:paraId="224FC6F6" w14:textId="77777777" w:rsidR="004A2303" w:rsidRPr="00D61480" w:rsidRDefault="004A2303" w:rsidP="004A2303">
      <w:pPr>
        <w:pStyle w:val="Prrafodelista"/>
        <w:ind w:left="360"/>
        <w:rPr>
          <w:rFonts w:ascii="Arial" w:hAnsi="Arial"/>
          <w:sz w:val="20"/>
          <w:szCs w:val="20"/>
          <w:lang w:val="es-ES_tradnl"/>
        </w:rPr>
      </w:pPr>
    </w:p>
    <w:p w14:paraId="23931641" w14:textId="6898480B" w:rsidR="00C24DC2" w:rsidRPr="00D61480" w:rsidRDefault="00C24DC2" w:rsidP="004E0B95">
      <w:pPr>
        <w:pStyle w:val="Prrafodelista"/>
        <w:numPr>
          <w:ilvl w:val="0"/>
          <w:numId w:val="18"/>
        </w:numPr>
        <w:rPr>
          <w:rFonts w:ascii="Arial" w:hAnsi="Arial"/>
          <w:sz w:val="20"/>
          <w:szCs w:val="20"/>
          <w:lang w:val="es-ES_tradnl"/>
        </w:rPr>
      </w:pPr>
      <w:r w:rsidRPr="00D61480">
        <w:rPr>
          <w:rFonts w:ascii="Arial" w:hAnsi="Arial"/>
          <w:sz w:val="20"/>
          <w:szCs w:val="20"/>
          <w:lang w:val="es-ES_tradnl"/>
        </w:rPr>
        <w:t>Predecir, anticipar y prepararse para continuos cambios normativos, políticos y medioambientales.</w:t>
      </w:r>
    </w:p>
    <w:p w14:paraId="3935BA51" w14:textId="77777777" w:rsidR="00C24DC2" w:rsidRPr="00D61480" w:rsidRDefault="00C24DC2" w:rsidP="00C24DC2">
      <w:pPr>
        <w:rPr>
          <w:rFonts w:ascii="Arial" w:hAnsi="Arial"/>
          <w:sz w:val="20"/>
          <w:szCs w:val="20"/>
          <w:lang w:val="es-ES_tradnl"/>
        </w:rPr>
      </w:pPr>
    </w:p>
    <w:p w14:paraId="5D3994A8" w14:textId="066E3FD7" w:rsidR="00C24DC2" w:rsidRPr="00D61480" w:rsidRDefault="00C24DC2" w:rsidP="00C24DC2">
      <w:pPr>
        <w:rPr>
          <w:rFonts w:ascii="Arial" w:hAnsi="Arial"/>
          <w:sz w:val="20"/>
          <w:szCs w:val="20"/>
          <w:lang w:val="es-CO"/>
        </w:rPr>
      </w:pPr>
      <w:r w:rsidRPr="00D61480">
        <w:rPr>
          <w:rFonts w:ascii="Arial" w:hAnsi="Arial"/>
          <w:sz w:val="20"/>
          <w:szCs w:val="20"/>
        </w:rPr>
        <w:t xml:space="preserve">Los análisis del sector apuntan a un sistema de energía con infraestructura sofisticada e inteligente, con capacidad de conectar nuevas tecnologías con consumidores más activos, manteniendo la capacidad de recuperación y la confiabilidad.  El panorama energético involucra el desarrollo de fuentes de energía cada vez menos dependientes de combustibles fósiles, un cambio de procesos tradicionales a nuevos procesos descentralizados impulsados por pequeñas formas de generación, como la energía solar, que </w:t>
      </w:r>
      <w:r w:rsidR="004A2303" w:rsidRPr="00D61480">
        <w:rPr>
          <w:rFonts w:ascii="Arial" w:hAnsi="Arial"/>
          <w:sz w:val="20"/>
          <w:szCs w:val="20"/>
        </w:rPr>
        <w:t>facilitarán</w:t>
      </w:r>
      <w:r w:rsidRPr="00D61480">
        <w:rPr>
          <w:rFonts w:ascii="Arial" w:hAnsi="Arial"/>
          <w:sz w:val="20"/>
          <w:szCs w:val="20"/>
        </w:rPr>
        <w:t xml:space="preserve"> la generación de energía más cerca de los puntos de consumo </w:t>
      </w:r>
      <w:r w:rsidR="004A2303" w:rsidRPr="00D61480">
        <w:rPr>
          <w:rFonts w:ascii="Arial" w:hAnsi="Arial"/>
          <w:sz w:val="20"/>
          <w:szCs w:val="20"/>
        </w:rPr>
        <w:t xml:space="preserve">y </w:t>
      </w:r>
      <w:r w:rsidRPr="00D61480">
        <w:rPr>
          <w:rFonts w:ascii="Arial" w:hAnsi="Arial"/>
          <w:sz w:val="20"/>
          <w:szCs w:val="20"/>
        </w:rPr>
        <w:t xml:space="preserve">la implementación de medidores inteligentes. Sin embargo, esta tendencia se encuentra actualmente en desarrollo, sin llegar al punto de adopción </w:t>
      </w:r>
      <w:sdt>
        <w:sdtPr>
          <w:rPr>
            <w:rFonts w:ascii="Arial" w:hAnsi="Arial"/>
            <w:sz w:val="20"/>
            <w:szCs w:val="20"/>
          </w:rPr>
          <w:id w:val="598541711"/>
          <w:citation/>
        </w:sdtPr>
        <w:sdtEndPr/>
        <w:sdtContent>
          <w:r w:rsidRPr="00D61480">
            <w:rPr>
              <w:rFonts w:ascii="Arial" w:hAnsi="Arial"/>
              <w:sz w:val="20"/>
              <w:szCs w:val="20"/>
            </w:rPr>
            <w:fldChar w:fldCharType="begin"/>
          </w:r>
          <w:r w:rsidRPr="00D61480">
            <w:rPr>
              <w:rFonts w:ascii="Arial" w:hAnsi="Arial"/>
              <w:sz w:val="20"/>
              <w:szCs w:val="20"/>
            </w:rPr>
            <w:instrText xml:space="preserve"> CITATION NAT18 \l 9226 </w:instrText>
          </w:r>
          <w:r w:rsidRPr="00D61480">
            <w:rPr>
              <w:rFonts w:ascii="Arial" w:hAnsi="Arial"/>
              <w:sz w:val="20"/>
              <w:szCs w:val="20"/>
            </w:rPr>
            <w:fldChar w:fldCharType="separate"/>
          </w:r>
          <w:r w:rsidRPr="00D61480">
            <w:rPr>
              <w:rFonts w:ascii="Arial" w:hAnsi="Arial"/>
              <w:noProof/>
              <w:sz w:val="20"/>
              <w:szCs w:val="20"/>
            </w:rPr>
            <w:t>(NATIONAL GRID, 2018)</w:t>
          </w:r>
          <w:r w:rsidRPr="00D61480">
            <w:rPr>
              <w:rFonts w:ascii="Arial" w:hAnsi="Arial"/>
              <w:sz w:val="20"/>
              <w:szCs w:val="20"/>
            </w:rPr>
            <w:fldChar w:fldCharType="end"/>
          </w:r>
        </w:sdtContent>
      </w:sdt>
      <w:r w:rsidRPr="00D61480">
        <w:rPr>
          <w:rFonts w:ascii="Arial" w:hAnsi="Arial"/>
          <w:sz w:val="20"/>
          <w:szCs w:val="20"/>
        </w:rPr>
        <w:t>.</w:t>
      </w:r>
    </w:p>
    <w:p w14:paraId="0508EC11" w14:textId="77777777" w:rsidR="00C24DC2" w:rsidRPr="00D61480" w:rsidRDefault="00C24DC2" w:rsidP="00C24DC2">
      <w:pPr>
        <w:rPr>
          <w:rFonts w:ascii="Arial" w:hAnsi="Arial"/>
          <w:sz w:val="20"/>
          <w:szCs w:val="20"/>
        </w:rPr>
      </w:pPr>
    </w:p>
    <w:p w14:paraId="42550564" w14:textId="6383A7D0" w:rsidR="00C24DC2" w:rsidRPr="00D61480" w:rsidRDefault="00C24DC2" w:rsidP="00C24DC2">
      <w:pPr>
        <w:rPr>
          <w:rFonts w:ascii="Arial" w:hAnsi="Arial"/>
          <w:sz w:val="20"/>
          <w:szCs w:val="20"/>
        </w:rPr>
      </w:pPr>
      <w:r w:rsidRPr="00D61480">
        <w:rPr>
          <w:rFonts w:ascii="Arial" w:hAnsi="Arial"/>
          <w:sz w:val="20"/>
          <w:szCs w:val="20"/>
        </w:rPr>
        <w:t xml:space="preserve">Para lograr este objetivo, las compañías del sector de electricidad deben transformarse hasta convertirse en compañías que generen soluciones. Factores </w:t>
      </w:r>
      <w:r w:rsidR="004A2303" w:rsidRPr="00D61480">
        <w:rPr>
          <w:rFonts w:ascii="Arial" w:hAnsi="Arial"/>
          <w:sz w:val="20"/>
          <w:szCs w:val="20"/>
        </w:rPr>
        <w:t>el c</w:t>
      </w:r>
      <w:r w:rsidRPr="00D61480">
        <w:rPr>
          <w:rFonts w:ascii="Arial" w:hAnsi="Arial"/>
          <w:sz w:val="20"/>
          <w:szCs w:val="20"/>
        </w:rPr>
        <w:t xml:space="preserve">ambio en el comportamiento de </w:t>
      </w:r>
      <w:r w:rsidR="004A2303" w:rsidRPr="00D61480">
        <w:rPr>
          <w:rFonts w:ascii="Arial" w:hAnsi="Arial"/>
          <w:sz w:val="20"/>
          <w:szCs w:val="20"/>
        </w:rPr>
        <w:t xml:space="preserve">los </w:t>
      </w:r>
      <w:r w:rsidRPr="00D61480">
        <w:rPr>
          <w:rFonts w:ascii="Arial" w:hAnsi="Arial"/>
          <w:sz w:val="20"/>
          <w:szCs w:val="20"/>
        </w:rPr>
        <w:t xml:space="preserve">consumidores finales (como por ejemplo por el uso de vehículos eléctricos EV), avances en sistemas asociados con la implementación de medidores inteligentes y la introducción de herramientas de gestión de energía en el hogar, generarán en un futuro próximo que la energía eléctrica fluya más dinámicamente entre los actores conectados a los procesos de la transmisión y la distribución, mientras se mantiene la seguridad del suministro </w:t>
      </w:r>
      <w:sdt>
        <w:sdtPr>
          <w:rPr>
            <w:rFonts w:ascii="Arial" w:hAnsi="Arial"/>
            <w:sz w:val="20"/>
            <w:szCs w:val="20"/>
          </w:rPr>
          <w:id w:val="-1787723469"/>
          <w:citation/>
        </w:sdtPr>
        <w:sdtEndPr/>
        <w:sdtContent>
          <w:r w:rsidRPr="00D61480">
            <w:rPr>
              <w:rFonts w:ascii="Arial" w:hAnsi="Arial"/>
              <w:sz w:val="20"/>
              <w:szCs w:val="20"/>
            </w:rPr>
            <w:fldChar w:fldCharType="begin"/>
          </w:r>
          <w:r w:rsidRPr="00D61480">
            <w:rPr>
              <w:rFonts w:ascii="Arial" w:hAnsi="Arial"/>
              <w:sz w:val="20"/>
              <w:szCs w:val="20"/>
            </w:rPr>
            <w:instrText xml:space="preserve"> CITATION NAT18 \l 9226 </w:instrText>
          </w:r>
          <w:r w:rsidRPr="00D61480">
            <w:rPr>
              <w:rFonts w:ascii="Arial" w:hAnsi="Arial"/>
              <w:sz w:val="20"/>
              <w:szCs w:val="20"/>
            </w:rPr>
            <w:fldChar w:fldCharType="separate"/>
          </w:r>
          <w:r w:rsidRPr="00D61480">
            <w:rPr>
              <w:rFonts w:ascii="Arial" w:hAnsi="Arial"/>
              <w:noProof/>
              <w:sz w:val="20"/>
              <w:szCs w:val="20"/>
            </w:rPr>
            <w:t>(NATIONAL GRID, 2018)</w:t>
          </w:r>
          <w:r w:rsidRPr="00D61480">
            <w:rPr>
              <w:rFonts w:ascii="Arial" w:hAnsi="Arial"/>
              <w:sz w:val="20"/>
              <w:szCs w:val="20"/>
            </w:rPr>
            <w:fldChar w:fldCharType="end"/>
          </w:r>
        </w:sdtContent>
      </w:sdt>
      <w:r w:rsidRPr="00D61480">
        <w:rPr>
          <w:rFonts w:ascii="Arial" w:hAnsi="Arial"/>
          <w:sz w:val="20"/>
          <w:szCs w:val="20"/>
        </w:rPr>
        <w:t xml:space="preserve">. </w:t>
      </w:r>
    </w:p>
    <w:p w14:paraId="52BCB687" w14:textId="77777777" w:rsidR="00C24DC2" w:rsidRPr="00D61480" w:rsidRDefault="00C24DC2" w:rsidP="00C24DC2">
      <w:pPr>
        <w:rPr>
          <w:rFonts w:ascii="Arial" w:hAnsi="Arial"/>
          <w:sz w:val="20"/>
          <w:szCs w:val="20"/>
          <w:lang w:val="es-ES_tradnl"/>
        </w:rPr>
      </w:pPr>
    </w:p>
    <w:p w14:paraId="2CB333C8" w14:textId="77777777" w:rsidR="00C24DC2" w:rsidRPr="00D61480" w:rsidRDefault="00C24DC2" w:rsidP="00C24DC2">
      <w:pPr>
        <w:rPr>
          <w:rFonts w:ascii="Arial" w:hAnsi="Arial"/>
          <w:sz w:val="20"/>
          <w:szCs w:val="20"/>
          <w:lang w:val="es-ES_tradnl"/>
        </w:rPr>
      </w:pPr>
      <w:r w:rsidRPr="00D61480">
        <w:rPr>
          <w:rFonts w:ascii="Arial" w:hAnsi="Arial"/>
          <w:sz w:val="20"/>
          <w:szCs w:val="20"/>
          <w:lang w:val="es-ES_tradnl"/>
        </w:rPr>
        <w:t>Las problemáticas asociadas con confiabilidad del suministro eléctrico se relacionan actualmente con los sistemas de intercambio de información, que no son suficientemente robustos para prepararse para contingencias. Si se desea plantear mejoramiento en los procesos de toma de decisiones, será necesario tener información oportuna, suficiente y en tiempo real, con respecto a los recursos energéticos disponibles y su nivel de disponibilidad. No solo para la coordinación de los recursos en el mercado, su despacho y redespacho, sino también para la supervisión y coordinación de la red, especialmente la de distribución, que, con la incorporación de los DER, se impacta significativamente.</w:t>
      </w:r>
    </w:p>
    <w:p w14:paraId="71D65838" w14:textId="77777777" w:rsidR="00C24DC2" w:rsidRPr="00D61480" w:rsidRDefault="00C24DC2" w:rsidP="00C24DC2">
      <w:pPr>
        <w:rPr>
          <w:rFonts w:ascii="Arial" w:hAnsi="Arial"/>
          <w:sz w:val="20"/>
          <w:szCs w:val="20"/>
          <w:lang w:val="es-ES_tradnl"/>
        </w:rPr>
      </w:pPr>
    </w:p>
    <w:p w14:paraId="47035102" w14:textId="0004A9C7" w:rsidR="00C24DC2" w:rsidRPr="00D61480" w:rsidRDefault="00C24DC2" w:rsidP="00C24DC2">
      <w:pPr>
        <w:rPr>
          <w:rFonts w:ascii="Arial" w:hAnsi="Arial"/>
          <w:sz w:val="20"/>
          <w:szCs w:val="20"/>
          <w:lang w:val="es-ES_tradnl"/>
        </w:rPr>
      </w:pPr>
      <w:r w:rsidRPr="00D61480">
        <w:rPr>
          <w:rFonts w:ascii="Arial" w:hAnsi="Arial"/>
          <w:sz w:val="20"/>
          <w:szCs w:val="20"/>
          <w:lang w:val="es-ES_tradnl"/>
        </w:rPr>
        <w:t>Estos nuevos esquemas de generación y distribución, con fuentes no convencionales de energía como la eólica y solar, plantean varios desafíos por su naturaleza intermitente. Estos desafíos incluyen la necesidad de consolidar los procesos de comunicaciones, los sistemas de información y los datos que generan todas las fuentes, los cuales actualmente se manejan en la cadena de energía, a partir de los procesos de generación convencional y en los procesos de generación distribuida (como por ejemplo las granjas solares)</w:t>
      </w:r>
      <w:r w:rsidR="00A53D15" w:rsidRPr="00D61480">
        <w:rPr>
          <w:rFonts w:ascii="Arial" w:hAnsi="Arial"/>
          <w:sz w:val="20"/>
          <w:szCs w:val="20"/>
          <w:lang w:val="es-ES_tradnl"/>
        </w:rPr>
        <w:t>,</w:t>
      </w:r>
      <w:r w:rsidRPr="00D61480">
        <w:rPr>
          <w:rFonts w:ascii="Arial" w:hAnsi="Arial"/>
          <w:sz w:val="20"/>
          <w:szCs w:val="20"/>
          <w:lang w:val="es-ES_tradnl"/>
        </w:rPr>
        <w:t xml:space="preserve"> con el fin de tener información en tiempo real que permita, como se mencionó anteriormente, tomar decisiones con base en información oportuna y suficiente. Adicionalmente, en la actualidad se tiene una estructura convencional de red y de procesos, que incluyen sistemas de información y comunicación de los sistemas de distribución principalmente para media y baja tensión, mientras que</w:t>
      </w:r>
      <w:r w:rsidR="00A53D15" w:rsidRPr="00D61480">
        <w:rPr>
          <w:rFonts w:ascii="Arial" w:hAnsi="Arial"/>
          <w:sz w:val="20"/>
          <w:szCs w:val="20"/>
          <w:lang w:val="es-ES_tradnl"/>
        </w:rPr>
        <w:t>,</w:t>
      </w:r>
      <w:r w:rsidRPr="00D61480">
        <w:rPr>
          <w:rFonts w:ascii="Arial" w:hAnsi="Arial"/>
          <w:sz w:val="20"/>
          <w:szCs w:val="20"/>
          <w:lang w:val="es-ES_tradnl"/>
        </w:rPr>
        <w:t xml:space="preserve"> para lograr el nivel de automatización y la gestión de la red con información</w:t>
      </w:r>
      <w:r w:rsidR="00A53D15" w:rsidRPr="00D61480">
        <w:rPr>
          <w:rFonts w:ascii="Arial" w:hAnsi="Arial"/>
          <w:sz w:val="20"/>
          <w:szCs w:val="20"/>
          <w:lang w:val="es-ES_tradnl"/>
        </w:rPr>
        <w:t>,</w:t>
      </w:r>
      <w:r w:rsidRPr="00D61480">
        <w:rPr>
          <w:rFonts w:ascii="Arial" w:hAnsi="Arial"/>
          <w:sz w:val="20"/>
          <w:szCs w:val="20"/>
          <w:lang w:val="es-ES_tradnl"/>
        </w:rPr>
        <w:t xml:space="preserve"> se tiene la necesidad de incluir sensores y otros dispositivos, que permitan incrementar la capacidad de absorción de información de las tecnologías emergentes y las microrredes.</w:t>
      </w:r>
    </w:p>
    <w:p w14:paraId="65478C85" w14:textId="77777777" w:rsidR="00C24DC2" w:rsidRPr="00D61480" w:rsidRDefault="00C24DC2" w:rsidP="00C24DC2">
      <w:pPr>
        <w:rPr>
          <w:rFonts w:ascii="Arial" w:hAnsi="Arial"/>
          <w:sz w:val="20"/>
          <w:szCs w:val="20"/>
          <w:lang w:val="es-CO"/>
        </w:rPr>
      </w:pPr>
    </w:p>
    <w:p w14:paraId="7FB40A63" w14:textId="4DF1E5AC" w:rsidR="00C24DC2" w:rsidRPr="00D61480" w:rsidRDefault="00C24DC2" w:rsidP="00A53D15">
      <w:pPr>
        <w:rPr>
          <w:rFonts w:ascii="Arial" w:hAnsi="Arial"/>
          <w:sz w:val="20"/>
          <w:szCs w:val="20"/>
          <w:lang w:val="es-ES_tradnl"/>
        </w:rPr>
      </w:pPr>
      <w:r w:rsidRPr="00D61480">
        <w:rPr>
          <w:rFonts w:ascii="Arial" w:hAnsi="Arial"/>
          <w:sz w:val="20"/>
          <w:szCs w:val="20"/>
          <w:lang w:val="es-ES_tradnl"/>
        </w:rPr>
        <w:t xml:space="preserve">La información que hoy se recibe de las tecnologías y procesos DER en cada una de las áreas de distribución, corresponde al sistema convencional. Hay algunos pocos datos asociados a las granjas solares y otras fuentes de generación, para los procesos de distribución. Sin embargo, no se tienen las capacidades de red, los sistemas de información o las herramientas para </w:t>
      </w:r>
      <w:r w:rsidRPr="00D61480">
        <w:rPr>
          <w:rFonts w:ascii="Arial" w:hAnsi="Arial"/>
          <w:sz w:val="20"/>
          <w:szCs w:val="20"/>
          <w:lang w:val="es-ES_tradnl"/>
        </w:rPr>
        <w:lastRenderedPageBreak/>
        <w:t xml:space="preserve">combinar variables a partir de lo que en la red está sucediendo, que permitan por ejemplo una mejor planeación de red, desarrollar rutas para procesos de mantenimiento, gestión y monitoreo.  </w:t>
      </w:r>
    </w:p>
    <w:p w14:paraId="38FF7D1D" w14:textId="77777777" w:rsidR="00C24DC2" w:rsidRPr="00D61480" w:rsidRDefault="00C24DC2" w:rsidP="00C24DC2">
      <w:pPr>
        <w:rPr>
          <w:rFonts w:ascii="Arial" w:hAnsi="Arial"/>
          <w:sz w:val="20"/>
          <w:szCs w:val="20"/>
          <w:lang w:val="es-ES_tradnl"/>
        </w:rPr>
      </w:pPr>
    </w:p>
    <w:p w14:paraId="1F60D24B" w14:textId="743BE037" w:rsidR="00C24DC2" w:rsidRPr="00D61480" w:rsidRDefault="00C24DC2" w:rsidP="00A53D15">
      <w:pPr>
        <w:pStyle w:val="Ttulo2"/>
        <w:numPr>
          <w:ilvl w:val="1"/>
          <w:numId w:val="12"/>
        </w:numPr>
        <w:jc w:val="both"/>
        <w:rPr>
          <w:rFonts w:ascii="Arial" w:hAnsi="Arial"/>
          <w:sz w:val="20"/>
          <w:szCs w:val="20"/>
        </w:rPr>
      </w:pPr>
      <w:bookmarkStart w:id="5" w:name="_Toc52213530"/>
      <w:r w:rsidRPr="00D61480">
        <w:rPr>
          <w:rFonts w:ascii="Arial" w:hAnsi="Arial"/>
          <w:sz w:val="20"/>
          <w:szCs w:val="20"/>
        </w:rPr>
        <w:t>Referentes internacionales</w:t>
      </w:r>
      <w:bookmarkEnd w:id="5"/>
      <w:r w:rsidR="00A53D15" w:rsidRPr="00D61480">
        <w:rPr>
          <w:rFonts w:ascii="Arial" w:hAnsi="Arial"/>
          <w:sz w:val="20"/>
          <w:szCs w:val="20"/>
        </w:rPr>
        <w:t>.</w:t>
      </w:r>
    </w:p>
    <w:p w14:paraId="607043B6" w14:textId="77777777" w:rsidR="00C24DC2" w:rsidRPr="00D61480" w:rsidRDefault="00C24DC2" w:rsidP="00C24DC2">
      <w:pPr>
        <w:rPr>
          <w:rFonts w:ascii="Arial" w:hAnsi="Arial"/>
          <w:sz w:val="20"/>
          <w:szCs w:val="20"/>
        </w:rPr>
      </w:pPr>
    </w:p>
    <w:p w14:paraId="4DE28D5C" w14:textId="3E7CED6E" w:rsidR="00C24DC2" w:rsidRPr="00D61480" w:rsidRDefault="00C24DC2" w:rsidP="00C24DC2">
      <w:pPr>
        <w:rPr>
          <w:rFonts w:ascii="Arial" w:hAnsi="Arial"/>
          <w:sz w:val="20"/>
          <w:szCs w:val="20"/>
        </w:rPr>
      </w:pPr>
      <w:r w:rsidRPr="00D61480">
        <w:rPr>
          <w:rFonts w:ascii="Arial" w:hAnsi="Arial"/>
          <w:sz w:val="20"/>
          <w:szCs w:val="20"/>
        </w:rPr>
        <w:t>De acuerdo con el documento 1748 del CIRED</w:t>
      </w:r>
      <w:r w:rsidR="00A53D15" w:rsidRPr="00D61480">
        <w:rPr>
          <w:rFonts w:ascii="Arial" w:hAnsi="Arial"/>
          <w:sz w:val="20"/>
          <w:szCs w:val="20"/>
        </w:rPr>
        <w:t>,</w:t>
      </w:r>
      <w:r w:rsidRPr="00D61480">
        <w:rPr>
          <w:rFonts w:ascii="Arial" w:hAnsi="Arial"/>
          <w:sz w:val="20"/>
          <w:szCs w:val="20"/>
        </w:rPr>
        <w:t xml:space="preserve"> 2019 la evolución de los sistemas tiene un gran impacto ante los cambios tecnológicos. Lograr un sistema energético descarbonizado, descentralizado y digitalizado altera drásticamente las suposiciones sobre los roles y modelos comerciales futuros para las empresas de redes. Los operadores de redes de distribución (OR) deben revisar sus modelos operacionales y comerciales, y considerar su evolución a operadores de sistemas de distribución (DSO). </w:t>
      </w:r>
    </w:p>
    <w:p w14:paraId="0755E003" w14:textId="499B7D17" w:rsidR="00C24DC2" w:rsidRPr="00D61480" w:rsidRDefault="00C24DC2" w:rsidP="00C24DC2">
      <w:pPr>
        <w:rPr>
          <w:rFonts w:ascii="Arial" w:hAnsi="Arial"/>
          <w:sz w:val="20"/>
          <w:szCs w:val="20"/>
        </w:rPr>
      </w:pPr>
      <w:r w:rsidRPr="00D61480">
        <w:rPr>
          <w:rFonts w:ascii="Arial" w:hAnsi="Arial"/>
          <w:sz w:val="20"/>
          <w:szCs w:val="20"/>
        </w:rPr>
        <w:t xml:space="preserve">Por ejemplo, en el Reino Unido, el Proyecto de Redes Abiertas (ON-PRJ) de la Asociación de Redes de Energía (ENA) ha definido las capacidades funcionales </w:t>
      </w:r>
      <w:r w:rsidR="00A53D15" w:rsidRPr="00D61480">
        <w:rPr>
          <w:rFonts w:ascii="Arial" w:hAnsi="Arial"/>
          <w:sz w:val="20"/>
          <w:szCs w:val="20"/>
        </w:rPr>
        <w:t>para</w:t>
      </w:r>
      <w:r w:rsidRPr="00D61480">
        <w:rPr>
          <w:rFonts w:ascii="Arial" w:hAnsi="Arial"/>
          <w:sz w:val="20"/>
          <w:szCs w:val="20"/>
        </w:rPr>
        <w:t xml:space="preserve"> el futuro DSO</w:t>
      </w:r>
      <w:r w:rsidR="00A53D15" w:rsidRPr="00D61480">
        <w:rPr>
          <w:rFonts w:ascii="Arial" w:hAnsi="Arial"/>
          <w:sz w:val="20"/>
          <w:szCs w:val="20"/>
        </w:rPr>
        <w:t>,</w:t>
      </w:r>
      <w:r w:rsidRPr="00D61480">
        <w:rPr>
          <w:rFonts w:ascii="Arial" w:hAnsi="Arial"/>
          <w:sz w:val="20"/>
          <w:szCs w:val="20"/>
        </w:rPr>
        <w:t xml:space="preserve"> y un estudio desarrollado por IRENA (IRENA 2020) describió cinco opciones de modelo de mercado para llevar a cabo la transformación del sector.</w:t>
      </w:r>
    </w:p>
    <w:p w14:paraId="047F818D" w14:textId="77777777" w:rsidR="00C24DC2" w:rsidRPr="00D61480" w:rsidRDefault="00C24DC2" w:rsidP="00C24DC2">
      <w:pPr>
        <w:rPr>
          <w:rFonts w:ascii="Arial" w:hAnsi="Arial"/>
          <w:sz w:val="20"/>
          <w:szCs w:val="20"/>
        </w:rPr>
      </w:pPr>
    </w:p>
    <w:p w14:paraId="2A99A304" w14:textId="7542FB2A" w:rsidR="00C24DC2" w:rsidRPr="00D61480" w:rsidRDefault="00C24DC2" w:rsidP="00C24DC2">
      <w:pPr>
        <w:rPr>
          <w:rFonts w:ascii="Arial" w:hAnsi="Arial"/>
          <w:sz w:val="20"/>
          <w:szCs w:val="20"/>
        </w:rPr>
      </w:pPr>
      <w:r w:rsidRPr="00D61480">
        <w:rPr>
          <w:rFonts w:ascii="Arial" w:hAnsi="Arial"/>
          <w:sz w:val="20"/>
          <w:szCs w:val="20"/>
        </w:rPr>
        <w:t>Algunas funciones y retos de los DSO en una red inteligente/flexible, se describen en la siguiente la gráfica:</w:t>
      </w:r>
    </w:p>
    <w:p w14:paraId="630F8B0C" w14:textId="77777777" w:rsidR="00C24DC2" w:rsidRPr="00D61480" w:rsidRDefault="00C24DC2" w:rsidP="00C24DC2">
      <w:pPr>
        <w:rPr>
          <w:rFonts w:ascii="Arial" w:hAnsi="Arial"/>
          <w:sz w:val="20"/>
          <w:szCs w:val="20"/>
        </w:rPr>
      </w:pPr>
    </w:p>
    <w:tbl>
      <w:tblPr>
        <w:tblStyle w:val="Tablaconcuadrcula"/>
        <w:tblW w:w="8926" w:type="dxa"/>
        <w:tblLook w:val="04A0" w:firstRow="1" w:lastRow="0" w:firstColumn="1" w:lastColumn="0" w:noHBand="0" w:noVBand="1"/>
      </w:tblPr>
      <w:tblGrid>
        <w:gridCol w:w="1367"/>
        <w:gridCol w:w="235"/>
        <w:gridCol w:w="1367"/>
        <w:gridCol w:w="1229"/>
        <w:gridCol w:w="181"/>
        <w:gridCol w:w="256"/>
        <w:gridCol w:w="650"/>
        <w:gridCol w:w="637"/>
        <w:gridCol w:w="456"/>
        <w:gridCol w:w="1132"/>
        <w:gridCol w:w="1416"/>
      </w:tblGrid>
      <w:tr w:rsidR="00C24DC2" w:rsidRPr="00D61480" w14:paraId="121D245B" w14:textId="77777777" w:rsidTr="00C24DC2">
        <w:trPr>
          <w:trHeight w:val="461"/>
        </w:trPr>
        <w:tc>
          <w:tcPr>
            <w:tcW w:w="8926" w:type="dxa"/>
            <w:gridSpan w:val="11"/>
            <w:tcBorders>
              <w:top w:val="single" w:sz="4" w:space="0" w:color="auto"/>
              <w:left w:val="single" w:sz="4" w:space="0" w:color="auto"/>
              <w:bottom w:val="single" w:sz="4" w:space="0" w:color="auto"/>
              <w:right w:val="single" w:sz="4" w:space="0" w:color="auto"/>
            </w:tcBorders>
            <w:vAlign w:val="center"/>
            <w:hideMark/>
          </w:tcPr>
          <w:p w14:paraId="665626D8" w14:textId="77777777" w:rsidR="00C24DC2" w:rsidRPr="00D61480" w:rsidRDefault="00C24DC2">
            <w:pPr>
              <w:rPr>
                <w:rFonts w:ascii="Arial" w:hAnsi="Arial"/>
                <w:b/>
                <w:bCs/>
                <w:sz w:val="20"/>
                <w:szCs w:val="20"/>
                <w:lang w:val="es-CO"/>
              </w:rPr>
            </w:pPr>
            <w:r w:rsidRPr="00D61480">
              <w:rPr>
                <w:rFonts w:ascii="Arial" w:hAnsi="Arial"/>
                <w:b/>
                <w:bCs/>
                <w:sz w:val="20"/>
                <w:szCs w:val="20"/>
                <w:lang w:val="es-CO"/>
              </w:rPr>
              <w:t>Incremento de las responsabilidades al DSO</w:t>
            </w:r>
          </w:p>
        </w:tc>
      </w:tr>
      <w:tr w:rsidR="00C24DC2" w:rsidRPr="00D61480" w14:paraId="6F52B474" w14:textId="77777777" w:rsidTr="00C24DC2">
        <w:trPr>
          <w:trHeight w:val="270"/>
        </w:trPr>
        <w:tc>
          <w:tcPr>
            <w:tcW w:w="4384" w:type="dxa"/>
            <w:gridSpan w:val="5"/>
            <w:tcBorders>
              <w:top w:val="single" w:sz="4" w:space="0" w:color="auto"/>
              <w:left w:val="single" w:sz="4" w:space="0" w:color="auto"/>
              <w:bottom w:val="single" w:sz="4" w:space="0" w:color="auto"/>
              <w:right w:val="dashed" w:sz="4" w:space="0" w:color="BFBFBF" w:themeColor="background1" w:themeShade="BF"/>
            </w:tcBorders>
            <w:vAlign w:val="center"/>
            <w:hideMark/>
          </w:tcPr>
          <w:p w14:paraId="03088284"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Estructura tradicional del sistema de potencia</w:t>
            </w:r>
          </w:p>
        </w:tc>
        <w:tc>
          <w:tcPr>
            <w:tcW w:w="4542" w:type="dxa"/>
            <w:gridSpan w:val="6"/>
            <w:tcBorders>
              <w:top w:val="single" w:sz="4" w:space="0" w:color="auto"/>
              <w:left w:val="dashed" w:sz="4" w:space="0" w:color="BFBFBF" w:themeColor="background1" w:themeShade="BF"/>
              <w:bottom w:val="single" w:sz="4" w:space="0" w:color="auto"/>
              <w:right w:val="single" w:sz="4" w:space="0" w:color="auto"/>
            </w:tcBorders>
            <w:vAlign w:val="center"/>
            <w:hideMark/>
          </w:tcPr>
          <w:p w14:paraId="7883B20E"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Estructura del sistema de potencia con DER</w:t>
            </w:r>
          </w:p>
        </w:tc>
      </w:tr>
      <w:tr w:rsidR="00C24DC2" w:rsidRPr="00D61480" w14:paraId="479F698A" w14:textId="77777777" w:rsidTr="00C24DC2">
        <w:trPr>
          <w:trHeight w:val="53"/>
        </w:trPr>
        <w:tc>
          <w:tcPr>
            <w:tcW w:w="160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2E1B02A" w14:textId="5CA613F1" w:rsidR="00C24DC2" w:rsidRPr="00D61480" w:rsidRDefault="00C24DC2">
            <w:pPr>
              <w:jc w:val="center"/>
              <w:rPr>
                <w:rFonts w:ascii="Arial" w:hAnsi="Arial"/>
                <w:sz w:val="18"/>
                <w:szCs w:val="18"/>
                <w:lang w:val="es-CO"/>
              </w:rPr>
            </w:pPr>
            <w:r w:rsidRPr="00D61480">
              <w:rPr>
                <w:rFonts w:ascii="Arial" w:hAnsi="Arial"/>
                <w:noProof/>
                <w:sz w:val="18"/>
                <w:szCs w:val="18"/>
                <w:lang w:val="es-CO"/>
              </w:rPr>
              <w:drawing>
                <wp:inline distT="0" distB="0" distL="0" distR="0" wp14:anchorId="4B788E4B" wp14:editId="7AD8724E">
                  <wp:extent cx="438150" cy="438150"/>
                  <wp:effectExtent l="0" t="0" r="0" b="0"/>
                  <wp:docPr id="29" name="Gráfico 29" descr="Torre eléctrica"/>
                  <wp:cNvGraphicFramePr/>
                  <a:graphic xmlns:a="http://schemas.openxmlformats.org/drawingml/2006/main">
                    <a:graphicData uri="http://schemas.openxmlformats.org/drawingml/2006/picture">
                      <pic:pic xmlns:pic="http://schemas.openxmlformats.org/drawingml/2006/picture">
                        <pic:nvPicPr>
                          <pic:cNvPr id="23" name="Gráfico 23" descr="Torre eléctrica"/>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6880" cy="436880"/>
                          </a:xfrm>
                          <a:prstGeom prst="rect">
                            <a:avLst/>
                          </a:prstGeom>
                        </pic:spPr>
                      </pic:pic>
                    </a:graphicData>
                  </a:graphic>
                </wp:inline>
              </w:drawing>
            </w:r>
          </w:p>
        </w:tc>
        <w:tc>
          <w:tcPr>
            <w:tcW w:w="1369" w:type="dxa"/>
            <w:vMerge w:val="restart"/>
            <w:tcBorders>
              <w:top w:val="single" w:sz="4" w:space="0" w:color="auto"/>
              <w:left w:val="single" w:sz="4" w:space="0" w:color="auto"/>
              <w:bottom w:val="single" w:sz="4" w:space="0" w:color="auto"/>
              <w:right w:val="single" w:sz="4" w:space="0" w:color="auto"/>
            </w:tcBorders>
            <w:vAlign w:val="center"/>
            <w:hideMark/>
          </w:tcPr>
          <w:p w14:paraId="373015FF" w14:textId="2DB0C048" w:rsidR="00C24DC2" w:rsidRPr="00D61480" w:rsidRDefault="00C24DC2">
            <w:pPr>
              <w:jc w:val="center"/>
              <w:rPr>
                <w:rFonts w:ascii="Arial" w:hAnsi="Arial"/>
                <w:sz w:val="18"/>
                <w:szCs w:val="18"/>
                <w:lang w:val="es-CO"/>
              </w:rPr>
            </w:pPr>
            <w:r w:rsidRPr="00D61480">
              <w:rPr>
                <w:rFonts w:ascii="Arial" w:hAnsi="Arial"/>
                <w:noProof/>
                <w:sz w:val="18"/>
                <w:szCs w:val="18"/>
                <w:lang w:val="es-CO"/>
              </w:rPr>
              <w:drawing>
                <wp:inline distT="0" distB="0" distL="0" distR="0" wp14:anchorId="6AF7BC38" wp14:editId="2319BE93">
                  <wp:extent cx="257175" cy="257175"/>
                  <wp:effectExtent l="0" t="0" r="0" b="9525"/>
                  <wp:docPr id="48" name="Gráfico 48" descr="Torre eléctrica"/>
                  <wp:cNvGraphicFramePr/>
                  <a:graphic xmlns:a="http://schemas.openxmlformats.org/drawingml/2006/main">
                    <a:graphicData uri="http://schemas.openxmlformats.org/drawingml/2006/picture">
                      <pic:pic xmlns:pic="http://schemas.openxmlformats.org/drawingml/2006/picture">
                        <pic:nvPicPr>
                          <pic:cNvPr id="48" name="Gráfico 48" descr="Torre eléctric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4000" cy="254000"/>
                          </a:xfrm>
                          <a:prstGeom prst="rect">
                            <a:avLst/>
                          </a:prstGeom>
                        </pic:spPr>
                      </pic:pic>
                    </a:graphicData>
                  </a:graphic>
                </wp:inline>
              </w:drawing>
            </w:r>
            <w:r w:rsidRPr="00D61480">
              <w:rPr>
                <w:rFonts w:ascii="Arial" w:hAnsi="Arial"/>
                <w:noProof/>
                <w:sz w:val="18"/>
                <w:szCs w:val="18"/>
                <w:lang w:val="es-CO"/>
              </w:rPr>
              <w:drawing>
                <wp:inline distT="0" distB="0" distL="0" distR="0" wp14:anchorId="3CFC9C8A" wp14:editId="6716FDF2">
                  <wp:extent cx="257175" cy="257175"/>
                  <wp:effectExtent l="0" t="0" r="0" b="9525"/>
                  <wp:docPr id="46" name="Gráfico 46" descr="Farol"/>
                  <wp:cNvGraphicFramePr/>
                  <a:graphic xmlns:a="http://schemas.openxmlformats.org/drawingml/2006/main">
                    <a:graphicData uri="http://schemas.openxmlformats.org/drawingml/2006/picture">
                      <pic:pic xmlns:pic="http://schemas.openxmlformats.org/drawingml/2006/picture">
                        <pic:nvPicPr>
                          <pic:cNvPr id="46" name="Gráfico 46" descr="Faro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4000" cy="254000"/>
                          </a:xfrm>
                          <a:prstGeom prst="rect">
                            <a:avLst/>
                          </a:prstGeom>
                        </pic:spPr>
                      </pic:pic>
                    </a:graphicData>
                  </a:graphic>
                </wp:inline>
              </w:drawing>
            </w:r>
          </w:p>
        </w:tc>
        <w:tc>
          <w:tcPr>
            <w:tcW w:w="1411" w:type="dxa"/>
            <w:gridSpan w:val="2"/>
            <w:vMerge w:val="restart"/>
            <w:tcBorders>
              <w:top w:val="single" w:sz="4" w:space="0" w:color="auto"/>
              <w:left w:val="single" w:sz="4" w:space="0" w:color="auto"/>
              <w:bottom w:val="single" w:sz="4" w:space="0" w:color="auto"/>
              <w:right w:val="dashed" w:sz="4" w:space="0" w:color="BFBFBF" w:themeColor="background1" w:themeShade="BF"/>
            </w:tcBorders>
            <w:vAlign w:val="center"/>
            <w:hideMark/>
          </w:tcPr>
          <w:p w14:paraId="4AC8B034" w14:textId="51E96903" w:rsidR="00C24DC2" w:rsidRPr="00D61480" w:rsidRDefault="00C24DC2">
            <w:pPr>
              <w:jc w:val="center"/>
              <w:rPr>
                <w:rFonts w:ascii="Arial" w:hAnsi="Arial"/>
                <w:sz w:val="18"/>
                <w:szCs w:val="18"/>
                <w:lang w:val="es-CO"/>
              </w:rPr>
            </w:pPr>
            <w:r w:rsidRPr="00D61480">
              <w:rPr>
                <w:rFonts w:ascii="Arial" w:hAnsi="Arial"/>
                <w:noProof/>
                <w:sz w:val="18"/>
                <w:szCs w:val="18"/>
                <w:lang w:val="es-CO"/>
              </w:rPr>
              <w:drawing>
                <wp:inline distT="0" distB="0" distL="0" distR="0" wp14:anchorId="420E3F10" wp14:editId="7C4A8551">
                  <wp:extent cx="438150" cy="438150"/>
                  <wp:effectExtent l="0" t="0" r="0" b="0"/>
                  <wp:docPr id="25" name="Gráfico 25" descr="Edificio"/>
                  <wp:cNvGraphicFramePr/>
                  <a:graphic xmlns:a="http://schemas.openxmlformats.org/drawingml/2006/main">
                    <a:graphicData uri="http://schemas.openxmlformats.org/drawingml/2006/picture">
                      <pic:pic xmlns:pic="http://schemas.openxmlformats.org/drawingml/2006/picture">
                        <pic:nvPicPr>
                          <pic:cNvPr id="22" name="Gráfico 22" descr="Edificio"/>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6880" cy="436880"/>
                          </a:xfrm>
                          <a:prstGeom prst="rect">
                            <a:avLst/>
                          </a:prstGeom>
                        </pic:spPr>
                      </pic:pic>
                    </a:graphicData>
                  </a:graphic>
                </wp:inline>
              </w:drawing>
            </w:r>
          </w:p>
        </w:tc>
        <w:tc>
          <w:tcPr>
            <w:tcW w:w="896" w:type="dxa"/>
            <w:gridSpan w:val="2"/>
            <w:vMerge w:val="restart"/>
            <w:tcBorders>
              <w:top w:val="single" w:sz="4" w:space="0" w:color="auto"/>
              <w:left w:val="dashed" w:sz="4" w:space="0" w:color="BFBFBF" w:themeColor="background1" w:themeShade="BF"/>
              <w:bottom w:val="single" w:sz="4" w:space="0" w:color="auto"/>
              <w:right w:val="single" w:sz="4" w:space="0" w:color="auto"/>
            </w:tcBorders>
            <w:vAlign w:val="center"/>
            <w:hideMark/>
          </w:tcPr>
          <w:p w14:paraId="101C8932" w14:textId="7B54F530" w:rsidR="00C24DC2" w:rsidRPr="00D61480" w:rsidRDefault="00C24DC2">
            <w:pPr>
              <w:jc w:val="center"/>
              <w:rPr>
                <w:rFonts w:ascii="Arial" w:hAnsi="Arial"/>
                <w:sz w:val="18"/>
                <w:szCs w:val="18"/>
                <w:lang w:val="es-CO"/>
              </w:rPr>
            </w:pPr>
            <w:r w:rsidRPr="00D61480">
              <w:rPr>
                <w:rFonts w:ascii="Arial" w:hAnsi="Arial"/>
                <w:noProof/>
                <w:sz w:val="18"/>
                <w:szCs w:val="18"/>
                <w:lang w:val="es-CO"/>
              </w:rPr>
              <w:drawing>
                <wp:inline distT="0" distB="0" distL="0" distR="0" wp14:anchorId="379615FD" wp14:editId="609CD2EF">
                  <wp:extent cx="438150" cy="438150"/>
                  <wp:effectExtent l="0" t="0" r="0" b="0"/>
                  <wp:docPr id="24" name="Gráfico 24" descr="Torre eléctrica"/>
                  <wp:cNvGraphicFramePr/>
                  <a:graphic xmlns:a="http://schemas.openxmlformats.org/drawingml/2006/main">
                    <a:graphicData uri="http://schemas.openxmlformats.org/drawingml/2006/picture">
                      <pic:pic xmlns:pic="http://schemas.openxmlformats.org/drawingml/2006/picture">
                        <pic:nvPicPr>
                          <pic:cNvPr id="21" name="Gráfico 21" descr="Torre eléctrica"/>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6880" cy="436880"/>
                          </a:xfrm>
                          <a:prstGeom prst="rect">
                            <a:avLst/>
                          </a:prstGeom>
                        </pic:spPr>
                      </pic:pic>
                    </a:graphicData>
                  </a:graphic>
                </wp:inline>
              </w:drawing>
            </w:r>
          </w:p>
        </w:tc>
        <w:tc>
          <w:tcPr>
            <w:tcW w:w="109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1C7EF86" w14:textId="68CD89EE" w:rsidR="00C24DC2" w:rsidRPr="00D61480" w:rsidRDefault="00C24DC2">
            <w:pPr>
              <w:jc w:val="center"/>
              <w:rPr>
                <w:rFonts w:ascii="Arial" w:hAnsi="Arial"/>
                <w:sz w:val="18"/>
                <w:szCs w:val="18"/>
                <w:lang w:val="es-CO"/>
              </w:rPr>
            </w:pPr>
            <w:r w:rsidRPr="00D61480">
              <w:rPr>
                <w:rFonts w:ascii="Arial" w:hAnsi="Arial"/>
                <w:noProof/>
                <w:sz w:val="18"/>
                <w:szCs w:val="18"/>
                <w:lang w:val="es-CO"/>
              </w:rPr>
              <w:drawing>
                <wp:inline distT="0" distB="0" distL="0" distR="0" wp14:anchorId="13D66833" wp14:editId="5A18143F">
                  <wp:extent cx="257175" cy="257175"/>
                  <wp:effectExtent l="0" t="0" r="0" b="9525"/>
                  <wp:docPr id="52" name="Gráfico 52" descr="Torre eléctrica"/>
                  <wp:cNvGraphicFramePr/>
                  <a:graphic xmlns:a="http://schemas.openxmlformats.org/drawingml/2006/main">
                    <a:graphicData uri="http://schemas.openxmlformats.org/drawingml/2006/picture">
                      <pic:pic xmlns:pic="http://schemas.openxmlformats.org/drawingml/2006/picture">
                        <pic:nvPicPr>
                          <pic:cNvPr id="52" name="Gráfico 52" descr="Torre eléctrica"/>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4000" cy="254000"/>
                          </a:xfrm>
                          <a:prstGeom prst="rect">
                            <a:avLst/>
                          </a:prstGeom>
                        </pic:spPr>
                      </pic:pic>
                    </a:graphicData>
                  </a:graphic>
                </wp:inline>
              </w:drawing>
            </w:r>
            <w:r w:rsidRPr="00D61480">
              <w:rPr>
                <w:rFonts w:ascii="Arial" w:hAnsi="Arial"/>
                <w:noProof/>
                <w:sz w:val="18"/>
                <w:szCs w:val="18"/>
                <w:lang w:val="es-CO"/>
              </w:rPr>
              <w:drawing>
                <wp:inline distT="0" distB="0" distL="0" distR="0" wp14:anchorId="2368257A" wp14:editId="5767E4FF">
                  <wp:extent cx="257175" cy="257175"/>
                  <wp:effectExtent l="0" t="0" r="0" b="9525"/>
                  <wp:docPr id="50" name="Gráfico 50" descr="Farol"/>
                  <wp:cNvGraphicFramePr/>
                  <a:graphic xmlns:a="http://schemas.openxmlformats.org/drawingml/2006/main">
                    <a:graphicData uri="http://schemas.openxmlformats.org/drawingml/2006/picture">
                      <pic:pic xmlns:pic="http://schemas.openxmlformats.org/drawingml/2006/picture">
                        <pic:nvPicPr>
                          <pic:cNvPr id="50" name="Gráfico 50" descr="Faro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54000" cy="254000"/>
                          </a:xfrm>
                          <a:prstGeom prst="rect">
                            <a:avLst/>
                          </a:prstGeom>
                        </pic:spPr>
                      </pic:pic>
                    </a:graphicData>
                  </a:graphic>
                </wp:inline>
              </w:drawing>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E3CAF89" w14:textId="4D68A74B" w:rsidR="00C24DC2" w:rsidRPr="00D61480" w:rsidRDefault="00C24DC2">
            <w:pPr>
              <w:jc w:val="center"/>
              <w:rPr>
                <w:rFonts w:ascii="Arial" w:hAnsi="Arial"/>
                <w:sz w:val="18"/>
                <w:szCs w:val="18"/>
                <w:lang w:val="es-CO"/>
              </w:rPr>
            </w:pPr>
            <w:r w:rsidRPr="00D61480">
              <w:rPr>
                <w:rFonts w:ascii="Arial" w:hAnsi="Arial"/>
                <w:noProof/>
                <w:sz w:val="18"/>
                <w:szCs w:val="18"/>
                <w:lang w:val="es-CO"/>
              </w:rPr>
              <w:drawing>
                <wp:inline distT="0" distB="0" distL="0" distR="0" wp14:anchorId="6D726E98" wp14:editId="6D1B5A6B">
                  <wp:extent cx="257175" cy="257175"/>
                  <wp:effectExtent l="0" t="0" r="0" b="9525"/>
                  <wp:docPr id="40" name="Gráfico 40" descr="Batería"/>
                  <wp:cNvGraphicFramePr/>
                  <a:graphic xmlns:a="http://schemas.openxmlformats.org/drawingml/2006/main">
                    <a:graphicData uri="http://schemas.openxmlformats.org/drawingml/2006/picture">
                      <pic:pic xmlns:pic="http://schemas.openxmlformats.org/drawingml/2006/picture">
                        <pic:nvPicPr>
                          <pic:cNvPr id="40" name="Gráfico 40" descr="Batería"/>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16200000">
                            <a:off x="0" y="0"/>
                            <a:ext cx="254000" cy="254000"/>
                          </a:xfrm>
                          <a:prstGeom prst="rect">
                            <a:avLst/>
                          </a:prstGeom>
                        </pic:spPr>
                      </pic:pic>
                    </a:graphicData>
                  </a:graphic>
                </wp:inline>
              </w:drawing>
            </w:r>
            <w:r w:rsidRPr="00D61480">
              <w:rPr>
                <w:rFonts w:ascii="Arial" w:hAnsi="Arial"/>
                <w:noProof/>
                <w:sz w:val="18"/>
                <w:szCs w:val="18"/>
                <w:lang w:val="es-CO"/>
              </w:rPr>
              <w:drawing>
                <wp:inline distT="0" distB="0" distL="0" distR="0" wp14:anchorId="5A099CAD" wp14:editId="34FB1E96">
                  <wp:extent cx="257175" cy="257175"/>
                  <wp:effectExtent l="0" t="0" r="0" b="9525"/>
                  <wp:docPr id="41" name="Gráfico 41" descr="Barril de petróleo"/>
                  <wp:cNvGraphicFramePr/>
                  <a:graphic xmlns:a="http://schemas.openxmlformats.org/drawingml/2006/main">
                    <a:graphicData uri="http://schemas.openxmlformats.org/drawingml/2006/picture">
                      <pic:pic xmlns:pic="http://schemas.openxmlformats.org/drawingml/2006/picture">
                        <pic:nvPicPr>
                          <pic:cNvPr id="41" name="Gráfico 41" descr="Barril de petróleo"/>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54000" cy="254000"/>
                          </a:xfrm>
                          <a:prstGeom prst="rect">
                            <a:avLst/>
                          </a:prstGeom>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hideMark/>
          </w:tcPr>
          <w:p w14:paraId="5926FC06" w14:textId="167306BB" w:rsidR="00C24DC2" w:rsidRPr="00D61480" w:rsidRDefault="00C24DC2">
            <w:pPr>
              <w:jc w:val="center"/>
              <w:rPr>
                <w:rFonts w:ascii="Arial" w:hAnsi="Arial"/>
                <w:sz w:val="18"/>
                <w:szCs w:val="18"/>
                <w:lang w:val="es-CO"/>
              </w:rPr>
            </w:pPr>
            <w:r w:rsidRPr="00D61480">
              <w:rPr>
                <w:rFonts w:ascii="Arial" w:hAnsi="Arial"/>
                <w:noProof/>
                <w:sz w:val="18"/>
                <w:szCs w:val="18"/>
                <w:lang w:val="es-CO"/>
              </w:rPr>
              <w:drawing>
                <wp:inline distT="0" distB="0" distL="0" distR="0" wp14:anchorId="3DCC8292" wp14:editId="5C7BDA50">
                  <wp:extent cx="257175" cy="257175"/>
                  <wp:effectExtent l="0" t="0" r="9525" b="9525"/>
                  <wp:docPr id="43" name="Gráfico 43" descr="Turbinas de viento"/>
                  <wp:cNvGraphicFramePr/>
                  <a:graphic xmlns:a="http://schemas.openxmlformats.org/drawingml/2006/main">
                    <a:graphicData uri="http://schemas.openxmlformats.org/drawingml/2006/picture">
                      <pic:pic xmlns:pic="http://schemas.openxmlformats.org/drawingml/2006/picture">
                        <pic:nvPicPr>
                          <pic:cNvPr id="43" name="Gráfico 43" descr="Turbinas de viento"/>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54000" cy="254000"/>
                          </a:xfrm>
                          <a:prstGeom prst="rect">
                            <a:avLst/>
                          </a:prstGeom>
                        </pic:spPr>
                      </pic:pic>
                    </a:graphicData>
                  </a:graphic>
                </wp:inline>
              </w:drawing>
            </w:r>
            <w:r w:rsidRPr="00D61480">
              <w:rPr>
                <w:rFonts w:ascii="Arial" w:hAnsi="Arial"/>
                <w:noProof/>
                <w:sz w:val="18"/>
                <w:szCs w:val="18"/>
                <w:lang w:val="es-CO"/>
              </w:rPr>
              <w:drawing>
                <wp:inline distT="0" distB="0" distL="0" distR="0" wp14:anchorId="69BA0031" wp14:editId="3C60B3F4">
                  <wp:extent cx="209550" cy="209550"/>
                  <wp:effectExtent l="0" t="0" r="0" b="0"/>
                  <wp:docPr id="38" name="Gráfico 38" descr="Edificio"/>
                  <wp:cNvGraphicFramePr/>
                  <a:graphic xmlns:a="http://schemas.openxmlformats.org/drawingml/2006/main">
                    <a:graphicData uri="http://schemas.openxmlformats.org/drawingml/2006/picture">
                      <pic:pic xmlns:pic="http://schemas.openxmlformats.org/drawingml/2006/picture">
                        <pic:nvPicPr>
                          <pic:cNvPr id="38" name="Gráfico 38" descr="Edificio"/>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13360" cy="213360"/>
                          </a:xfrm>
                          <a:prstGeom prst="rect">
                            <a:avLst/>
                          </a:prstGeom>
                        </pic:spPr>
                      </pic:pic>
                    </a:graphicData>
                  </a:graphic>
                </wp:inline>
              </w:drawing>
            </w:r>
          </w:p>
        </w:tc>
      </w:tr>
      <w:tr w:rsidR="00C24DC2" w:rsidRPr="00D61480" w14:paraId="691477EA" w14:textId="77777777" w:rsidTr="00C24DC2">
        <w:trPr>
          <w:trHeight w:val="1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A0BA89" w14:textId="77777777" w:rsidR="00C24DC2" w:rsidRPr="00D61480" w:rsidRDefault="00C24DC2">
            <w:pPr>
              <w:rPr>
                <w:rFonts w:ascii="Arial" w:hAnsi="Arial"/>
                <w:sz w:val="18"/>
                <w:szCs w:val="18"/>
                <w:lang w:val="es-CO"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0E6B9" w14:textId="77777777" w:rsidR="00C24DC2" w:rsidRPr="00D61480" w:rsidRDefault="00C24DC2">
            <w:pPr>
              <w:rPr>
                <w:rFonts w:ascii="Arial" w:hAnsi="Arial"/>
                <w:sz w:val="18"/>
                <w:szCs w:val="18"/>
                <w:lang w:val="es-CO" w:eastAsia="en-US"/>
              </w:rPr>
            </w:pPr>
          </w:p>
        </w:tc>
        <w:tc>
          <w:tcPr>
            <w:tcW w:w="0" w:type="auto"/>
            <w:gridSpan w:val="2"/>
            <w:vMerge/>
            <w:tcBorders>
              <w:top w:val="single" w:sz="4" w:space="0" w:color="auto"/>
              <w:left w:val="single" w:sz="4" w:space="0" w:color="auto"/>
              <w:bottom w:val="single" w:sz="4" w:space="0" w:color="auto"/>
              <w:right w:val="dashed" w:sz="4" w:space="0" w:color="BFBFBF" w:themeColor="background1" w:themeShade="BF"/>
            </w:tcBorders>
            <w:vAlign w:val="center"/>
            <w:hideMark/>
          </w:tcPr>
          <w:p w14:paraId="27400F97" w14:textId="77777777" w:rsidR="00C24DC2" w:rsidRPr="00D61480" w:rsidRDefault="00C24DC2">
            <w:pPr>
              <w:rPr>
                <w:rFonts w:ascii="Arial" w:hAnsi="Arial"/>
                <w:sz w:val="18"/>
                <w:szCs w:val="18"/>
                <w:lang w:val="es-CO" w:eastAsia="en-US"/>
              </w:rPr>
            </w:pPr>
          </w:p>
        </w:tc>
        <w:tc>
          <w:tcPr>
            <w:tcW w:w="0" w:type="auto"/>
            <w:gridSpan w:val="2"/>
            <w:vMerge/>
            <w:tcBorders>
              <w:top w:val="single" w:sz="4" w:space="0" w:color="auto"/>
              <w:left w:val="dashed" w:sz="4" w:space="0" w:color="BFBFBF" w:themeColor="background1" w:themeShade="BF"/>
              <w:bottom w:val="single" w:sz="4" w:space="0" w:color="auto"/>
              <w:right w:val="single" w:sz="4" w:space="0" w:color="auto"/>
            </w:tcBorders>
            <w:vAlign w:val="center"/>
            <w:hideMark/>
          </w:tcPr>
          <w:p w14:paraId="5FA2D92A" w14:textId="77777777" w:rsidR="00C24DC2" w:rsidRPr="00D61480" w:rsidRDefault="00C24DC2">
            <w:pPr>
              <w:rPr>
                <w:rFonts w:ascii="Arial" w:hAnsi="Arial"/>
                <w:sz w:val="18"/>
                <w:szCs w:val="18"/>
                <w:lang w:val="es-CO"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71FAC6" w14:textId="77777777" w:rsidR="00C24DC2" w:rsidRPr="00D61480" w:rsidRDefault="00C24DC2">
            <w:pPr>
              <w:rPr>
                <w:rFonts w:ascii="Arial" w:hAnsi="Arial"/>
                <w:sz w:val="18"/>
                <w:szCs w:val="18"/>
                <w:lang w:val="es-CO"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E4198" w14:textId="77777777" w:rsidR="00C24DC2" w:rsidRPr="00D61480" w:rsidRDefault="00C24DC2">
            <w:pPr>
              <w:rPr>
                <w:rFonts w:ascii="Arial" w:hAnsi="Arial"/>
                <w:sz w:val="18"/>
                <w:szCs w:val="18"/>
                <w:lang w:val="es-CO"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8171885" w14:textId="361F68D5" w:rsidR="00C24DC2" w:rsidRPr="00D61480" w:rsidRDefault="00C24DC2">
            <w:pPr>
              <w:jc w:val="center"/>
              <w:rPr>
                <w:rFonts w:ascii="Arial" w:hAnsi="Arial"/>
                <w:noProof/>
                <w:sz w:val="18"/>
                <w:szCs w:val="18"/>
                <w:lang w:val="es-CO"/>
              </w:rPr>
            </w:pPr>
            <w:r w:rsidRPr="00D61480">
              <w:rPr>
                <w:rFonts w:ascii="Arial" w:hAnsi="Arial"/>
                <w:noProof/>
                <w:sz w:val="18"/>
                <w:szCs w:val="18"/>
                <w:lang w:val="es-CO"/>
              </w:rPr>
              <w:drawing>
                <wp:inline distT="0" distB="0" distL="0" distR="0" wp14:anchorId="1FA639E2" wp14:editId="03462C55">
                  <wp:extent cx="257175" cy="257175"/>
                  <wp:effectExtent l="0" t="0" r="9525" b="0"/>
                  <wp:docPr id="21" name="Imagen 21" descr="Coche 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Coche eléctrico"/>
                          <pic:cNvPicPr>
                            <a:picLocks noChangeAspect="1" noChangeArrowheads="1"/>
                          </pic:cNvPicPr>
                        </pic:nvPicPr>
                        <pic:blipFill>
                          <a:blip r:embed="rId28">
                            <a:extLst>
                              <a:ext uri="{28A0092B-C50C-407E-A947-70E740481C1C}">
                                <a14:useLocalDpi xmlns:a14="http://schemas.microsoft.com/office/drawing/2010/main" val="0"/>
                              </a:ext>
                            </a:extLst>
                          </a:blip>
                          <a:srcRect l="-2605" t="-26801" r="-520" b="-31599"/>
                          <a:stretch>
                            <a:fillRect/>
                          </a:stretch>
                        </pic:blipFill>
                        <pic:spPr bwMode="auto">
                          <a:xfrm>
                            <a:off x="0" y="0"/>
                            <a:ext cx="257175" cy="257175"/>
                          </a:xfrm>
                          <a:prstGeom prst="rect">
                            <a:avLst/>
                          </a:prstGeom>
                          <a:noFill/>
                          <a:ln>
                            <a:noFill/>
                          </a:ln>
                        </pic:spPr>
                      </pic:pic>
                    </a:graphicData>
                  </a:graphic>
                </wp:inline>
              </w:drawing>
            </w:r>
            <w:r w:rsidRPr="00D61480">
              <w:rPr>
                <w:rFonts w:ascii="Arial" w:hAnsi="Arial"/>
                <w:noProof/>
                <w:sz w:val="18"/>
                <w:szCs w:val="18"/>
                <w:lang w:val="es-CO"/>
              </w:rPr>
              <w:drawing>
                <wp:inline distT="0" distB="0" distL="0" distR="0" wp14:anchorId="47076406" wp14:editId="40F91480">
                  <wp:extent cx="257175" cy="257175"/>
                  <wp:effectExtent l="0" t="0" r="0" b="9525"/>
                  <wp:docPr id="44" name="Gráfico 44" descr="Batería"/>
                  <wp:cNvGraphicFramePr/>
                  <a:graphic xmlns:a="http://schemas.openxmlformats.org/drawingml/2006/main">
                    <a:graphicData uri="http://schemas.openxmlformats.org/drawingml/2006/picture">
                      <pic:pic xmlns:pic="http://schemas.openxmlformats.org/drawingml/2006/picture">
                        <pic:nvPicPr>
                          <pic:cNvPr id="44" name="Gráfico 44" descr="Batería"/>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rot="16200000">
                            <a:off x="0" y="0"/>
                            <a:ext cx="254000" cy="254000"/>
                          </a:xfrm>
                          <a:prstGeom prst="rect">
                            <a:avLst/>
                          </a:prstGeom>
                        </pic:spPr>
                      </pic:pic>
                    </a:graphicData>
                  </a:graphic>
                </wp:inline>
              </w:drawing>
            </w:r>
            <w:r w:rsidRPr="00D61480">
              <w:rPr>
                <w:rFonts w:ascii="Arial" w:hAnsi="Arial"/>
                <w:noProof/>
                <w:sz w:val="18"/>
                <w:szCs w:val="18"/>
                <w:lang w:val="es-CO"/>
              </w:rPr>
              <w:drawing>
                <wp:inline distT="0" distB="0" distL="0" distR="0" wp14:anchorId="01951A9E" wp14:editId="5D58FE31">
                  <wp:extent cx="257175" cy="257175"/>
                  <wp:effectExtent l="0" t="0" r="9525" b="9525"/>
                  <wp:docPr id="45" name="Gráfico 45" descr="Paneles solares"/>
                  <wp:cNvGraphicFramePr/>
                  <a:graphic xmlns:a="http://schemas.openxmlformats.org/drawingml/2006/main">
                    <a:graphicData uri="http://schemas.openxmlformats.org/drawingml/2006/picture">
                      <pic:pic xmlns:pic="http://schemas.openxmlformats.org/drawingml/2006/picture">
                        <pic:nvPicPr>
                          <pic:cNvPr id="45" name="Gráfico 45" descr="Paneles solares"/>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54000" cy="254000"/>
                          </a:xfrm>
                          <a:prstGeom prst="rect">
                            <a:avLst/>
                          </a:prstGeom>
                        </pic:spPr>
                      </pic:pic>
                    </a:graphicData>
                  </a:graphic>
                </wp:inline>
              </w:drawing>
            </w:r>
          </w:p>
        </w:tc>
      </w:tr>
      <w:tr w:rsidR="00C24DC2" w:rsidRPr="00D61480" w14:paraId="206A65E3" w14:textId="77777777" w:rsidTr="00C24DC2">
        <w:trPr>
          <w:trHeight w:val="607"/>
        </w:trPr>
        <w:tc>
          <w:tcPr>
            <w:tcW w:w="1604" w:type="dxa"/>
            <w:gridSpan w:val="2"/>
            <w:tcBorders>
              <w:top w:val="single" w:sz="4" w:space="0" w:color="auto"/>
              <w:left w:val="single" w:sz="4" w:space="0" w:color="auto"/>
              <w:bottom w:val="single" w:sz="4" w:space="0" w:color="auto"/>
              <w:right w:val="single" w:sz="4" w:space="0" w:color="auto"/>
            </w:tcBorders>
            <w:hideMark/>
          </w:tcPr>
          <w:p w14:paraId="514929E4" w14:textId="77777777" w:rsidR="00C24DC2" w:rsidRPr="00D61480" w:rsidRDefault="00C24DC2">
            <w:pPr>
              <w:jc w:val="center"/>
              <w:rPr>
                <w:rFonts w:ascii="Arial" w:hAnsi="Arial"/>
                <w:b/>
                <w:bCs/>
                <w:sz w:val="16"/>
                <w:szCs w:val="16"/>
                <w:lang w:val="es-CO"/>
              </w:rPr>
            </w:pPr>
            <w:r w:rsidRPr="00D61480">
              <w:rPr>
                <w:rFonts w:ascii="Arial" w:hAnsi="Arial"/>
                <w:b/>
                <w:bCs/>
                <w:sz w:val="16"/>
                <w:szCs w:val="16"/>
                <w:lang w:val="es-CO"/>
              </w:rPr>
              <w:t>TSO</w:t>
            </w:r>
          </w:p>
        </w:tc>
        <w:tc>
          <w:tcPr>
            <w:tcW w:w="1369" w:type="dxa"/>
            <w:tcBorders>
              <w:top w:val="single" w:sz="4" w:space="0" w:color="auto"/>
              <w:left w:val="single" w:sz="4" w:space="0" w:color="auto"/>
              <w:bottom w:val="single" w:sz="4" w:space="0" w:color="auto"/>
              <w:right w:val="single" w:sz="4" w:space="0" w:color="auto"/>
            </w:tcBorders>
            <w:hideMark/>
          </w:tcPr>
          <w:p w14:paraId="7ED90084" w14:textId="77777777" w:rsidR="00C24DC2" w:rsidRPr="00D61480" w:rsidRDefault="00C24DC2">
            <w:pPr>
              <w:jc w:val="center"/>
              <w:rPr>
                <w:rFonts w:ascii="Arial" w:hAnsi="Arial"/>
                <w:b/>
                <w:bCs/>
                <w:sz w:val="16"/>
                <w:szCs w:val="16"/>
                <w:lang w:val="es-CO"/>
              </w:rPr>
            </w:pPr>
            <w:r w:rsidRPr="00D61480">
              <w:rPr>
                <w:rFonts w:ascii="Arial" w:hAnsi="Arial"/>
                <w:b/>
                <w:bCs/>
                <w:sz w:val="16"/>
                <w:szCs w:val="16"/>
                <w:lang w:val="es-CO"/>
              </w:rPr>
              <w:t>DSO</w:t>
            </w:r>
          </w:p>
        </w:tc>
        <w:tc>
          <w:tcPr>
            <w:tcW w:w="1411" w:type="dxa"/>
            <w:gridSpan w:val="2"/>
            <w:tcBorders>
              <w:top w:val="single" w:sz="4" w:space="0" w:color="auto"/>
              <w:left w:val="single" w:sz="4" w:space="0" w:color="auto"/>
              <w:bottom w:val="single" w:sz="4" w:space="0" w:color="auto"/>
              <w:right w:val="dashed" w:sz="4" w:space="0" w:color="BFBFBF" w:themeColor="background1" w:themeShade="BF"/>
            </w:tcBorders>
            <w:hideMark/>
          </w:tcPr>
          <w:p w14:paraId="65F5CF59" w14:textId="77777777" w:rsidR="00C24DC2" w:rsidRPr="00D61480" w:rsidRDefault="00C24DC2">
            <w:pPr>
              <w:jc w:val="center"/>
              <w:rPr>
                <w:rFonts w:ascii="Arial" w:hAnsi="Arial"/>
                <w:b/>
                <w:bCs/>
                <w:sz w:val="16"/>
                <w:szCs w:val="16"/>
                <w:lang w:val="es-CO"/>
              </w:rPr>
            </w:pPr>
            <w:r w:rsidRPr="00D61480">
              <w:rPr>
                <w:rFonts w:ascii="Arial" w:hAnsi="Arial"/>
                <w:b/>
                <w:bCs/>
                <w:sz w:val="16"/>
                <w:szCs w:val="16"/>
                <w:lang w:val="es-CO"/>
              </w:rPr>
              <w:t>Usuario final</w:t>
            </w:r>
          </w:p>
        </w:tc>
        <w:tc>
          <w:tcPr>
            <w:tcW w:w="896" w:type="dxa"/>
            <w:gridSpan w:val="2"/>
            <w:tcBorders>
              <w:top w:val="single" w:sz="4" w:space="0" w:color="auto"/>
              <w:left w:val="dashed" w:sz="4" w:space="0" w:color="BFBFBF" w:themeColor="background1" w:themeShade="BF"/>
              <w:bottom w:val="single" w:sz="4" w:space="0" w:color="auto"/>
              <w:right w:val="single" w:sz="4" w:space="0" w:color="auto"/>
            </w:tcBorders>
            <w:hideMark/>
          </w:tcPr>
          <w:p w14:paraId="22206BDD" w14:textId="77777777" w:rsidR="00C24DC2" w:rsidRPr="00D61480" w:rsidRDefault="00C24DC2">
            <w:pPr>
              <w:jc w:val="center"/>
              <w:rPr>
                <w:rFonts w:ascii="Arial" w:hAnsi="Arial"/>
                <w:b/>
                <w:bCs/>
                <w:sz w:val="16"/>
                <w:szCs w:val="16"/>
                <w:lang w:val="es-CO"/>
              </w:rPr>
            </w:pPr>
            <w:r w:rsidRPr="00D61480">
              <w:rPr>
                <w:rFonts w:ascii="Arial" w:hAnsi="Arial"/>
                <w:b/>
                <w:bCs/>
                <w:sz w:val="16"/>
                <w:szCs w:val="16"/>
                <w:lang w:val="es-CO"/>
              </w:rPr>
              <w:t>TSO</w:t>
            </w:r>
          </w:p>
        </w:tc>
        <w:tc>
          <w:tcPr>
            <w:tcW w:w="1094" w:type="dxa"/>
            <w:gridSpan w:val="2"/>
            <w:tcBorders>
              <w:top w:val="single" w:sz="4" w:space="0" w:color="auto"/>
              <w:left w:val="single" w:sz="4" w:space="0" w:color="auto"/>
              <w:bottom w:val="single" w:sz="4" w:space="0" w:color="auto"/>
              <w:right w:val="single" w:sz="4" w:space="0" w:color="auto"/>
            </w:tcBorders>
            <w:hideMark/>
          </w:tcPr>
          <w:p w14:paraId="50D6D1A7" w14:textId="77777777" w:rsidR="00C24DC2" w:rsidRPr="00D61480" w:rsidRDefault="00C24DC2">
            <w:pPr>
              <w:jc w:val="center"/>
              <w:rPr>
                <w:rFonts w:ascii="Arial" w:hAnsi="Arial"/>
                <w:b/>
                <w:bCs/>
                <w:sz w:val="16"/>
                <w:szCs w:val="16"/>
                <w:lang w:val="es-CO"/>
              </w:rPr>
            </w:pPr>
            <w:r w:rsidRPr="00D61480">
              <w:rPr>
                <w:rFonts w:ascii="Arial" w:hAnsi="Arial"/>
                <w:b/>
                <w:bCs/>
                <w:sz w:val="16"/>
                <w:szCs w:val="16"/>
                <w:lang w:val="es-CO"/>
              </w:rPr>
              <w:t>DSO</w:t>
            </w:r>
          </w:p>
        </w:tc>
        <w:tc>
          <w:tcPr>
            <w:tcW w:w="1134" w:type="dxa"/>
            <w:tcBorders>
              <w:top w:val="single" w:sz="4" w:space="0" w:color="auto"/>
              <w:left w:val="single" w:sz="4" w:space="0" w:color="auto"/>
              <w:bottom w:val="single" w:sz="4" w:space="0" w:color="auto"/>
              <w:right w:val="single" w:sz="4" w:space="0" w:color="auto"/>
            </w:tcBorders>
            <w:hideMark/>
          </w:tcPr>
          <w:p w14:paraId="5C35E1BC" w14:textId="77777777" w:rsidR="00C24DC2" w:rsidRPr="00D61480" w:rsidRDefault="00C24DC2">
            <w:pPr>
              <w:jc w:val="center"/>
              <w:rPr>
                <w:rFonts w:ascii="Arial" w:hAnsi="Arial"/>
                <w:b/>
                <w:bCs/>
                <w:sz w:val="16"/>
                <w:szCs w:val="16"/>
                <w:lang w:val="es-CO"/>
              </w:rPr>
            </w:pPr>
            <w:r w:rsidRPr="00D61480">
              <w:rPr>
                <w:rFonts w:ascii="Arial" w:hAnsi="Arial"/>
                <w:b/>
                <w:bCs/>
                <w:sz w:val="16"/>
                <w:szCs w:val="16"/>
                <w:lang w:val="es-CO"/>
              </w:rPr>
              <w:t>Otros</w:t>
            </w:r>
          </w:p>
          <w:p w14:paraId="1A21E2FC" w14:textId="77777777" w:rsidR="00C24DC2" w:rsidRPr="00D61480" w:rsidRDefault="00C24DC2">
            <w:pPr>
              <w:jc w:val="center"/>
              <w:rPr>
                <w:rFonts w:ascii="Arial" w:hAnsi="Arial"/>
                <w:b/>
                <w:bCs/>
                <w:sz w:val="16"/>
                <w:szCs w:val="16"/>
                <w:lang w:val="es-CO"/>
              </w:rPr>
            </w:pPr>
            <w:r w:rsidRPr="00D61480">
              <w:rPr>
                <w:rFonts w:ascii="Arial" w:hAnsi="Arial"/>
                <w:b/>
                <w:bCs/>
                <w:sz w:val="16"/>
                <w:szCs w:val="16"/>
                <w:lang w:val="es-CO"/>
              </w:rPr>
              <w:t>DER</w:t>
            </w:r>
          </w:p>
        </w:tc>
        <w:tc>
          <w:tcPr>
            <w:tcW w:w="1418" w:type="dxa"/>
            <w:tcBorders>
              <w:top w:val="single" w:sz="4" w:space="0" w:color="auto"/>
              <w:left w:val="single" w:sz="4" w:space="0" w:color="auto"/>
              <w:bottom w:val="single" w:sz="4" w:space="0" w:color="auto"/>
              <w:right w:val="single" w:sz="4" w:space="0" w:color="auto"/>
            </w:tcBorders>
            <w:hideMark/>
          </w:tcPr>
          <w:p w14:paraId="210D906D" w14:textId="77777777" w:rsidR="00C24DC2" w:rsidRPr="00D61480" w:rsidRDefault="00C24DC2">
            <w:pPr>
              <w:jc w:val="center"/>
              <w:rPr>
                <w:rFonts w:ascii="Arial" w:hAnsi="Arial"/>
                <w:b/>
                <w:bCs/>
                <w:sz w:val="16"/>
                <w:szCs w:val="16"/>
                <w:lang w:val="es-CO"/>
              </w:rPr>
            </w:pPr>
            <w:r w:rsidRPr="00D61480">
              <w:rPr>
                <w:rFonts w:ascii="Arial" w:hAnsi="Arial"/>
                <w:b/>
                <w:bCs/>
                <w:sz w:val="16"/>
                <w:szCs w:val="16"/>
                <w:lang w:val="es-CO"/>
              </w:rPr>
              <w:t>Usuarios con DER</w:t>
            </w:r>
          </w:p>
        </w:tc>
      </w:tr>
      <w:tr w:rsidR="00C24DC2" w:rsidRPr="00D61480" w14:paraId="0DA47CCC" w14:textId="77777777" w:rsidTr="00C24DC2">
        <w:trPr>
          <w:trHeight w:val="2019"/>
        </w:trPr>
        <w:tc>
          <w:tcPr>
            <w:tcW w:w="1367" w:type="dxa"/>
            <w:tcBorders>
              <w:top w:val="single" w:sz="4" w:space="0" w:color="auto"/>
              <w:left w:val="single" w:sz="4" w:space="0" w:color="auto"/>
              <w:bottom w:val="dashed" w:sz="4" w:space="0" w:color="BFBFBF" w:themeColor="background1" w:themeShade="BF"/>
              <w:right w:val="single" w:sz="4" w:space="0" w:color="auto"/>
            </w:tcBorders>
            <w:vAlign w:val="center"/>
            <w:hideMark/>
          </w:tcPr>
          <w:p w14:paraId="2CD38976"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Rol convencional DSO</w:t>
            </w:r>
          </w:p>
        </w:tc>
        <w:tc>
          <w:tcPr>
            <w:tcW w:w="2836" w:type="dxa"/>
            <w:gridSpan w:val="3"/>
            <w:tcBorders>
              <w:top w:val="single" w:sz="4" w:space="0" w:color="auto"/>
              <w:left w:val="single" w:sz="4" w:space="0" w:color="auto"/>
              <w:bottom w:val="dashed" w:sz="4" w:space="0" w:color="BFBFBF" w:themeColor="background1" w:themeShade="BF"/>
              <w:right w:val="single" w:sz="4" w:space="0" w:color="auto"/>
            </w:tcBorders>
            <w:vAlign w:val="center"/>
            <w:hideMark/>
          </w:tcPr>
          <w:p w14:paraId="4A4D3F18" w14:textId="77777777" w:rsidR="00C24DC2" w:rsidRPr="00D61480" w:rsidRDefault="00C24DC2" w:rsidP="004E0B95">
            <w:pPr>
              <w:pStyle w:val="Prrafodelista"/>
              <w:numPr>
                <w:ilvl w:val="0"/>
                <w:numId w:val="21"/>
              </w:numPr>
              <w:jc w:val="left"/>
              <w:rPr>
                <w:rFonts w:ascii="Arial" w:hAnsi="Arial"/>
                <w:sz w:val="18"/>
                <w:szCs w:val="18"/>
                <w:lang w:val="es-CO"/>
              </w:rPr>
            </w:pPr>
            <w:r w:rsidRPr="00D61480">
              <w:rPr>
                <w:rFonts w:ascii="Arial" w:hAnsi="Arial"/>
                <w:sz w:val="18"/>
                <w:szCs w:val="18"/>
                <w:lang w:val="es-CO"/>
              </w:rPr>
              <w:t>Conexión y desconexión DER.</w:t>
            </w:r>
          </w:p>
          <w:p w14:paraId="107A63A6" w14:textId="77777777" w:rsidR="00C24DC2" w:rsidRPr="00D61480" w:rsidRDefault="00C24DC2" w:rsidP="004E0B95">
            <w:pPr>
              <w:pStyle w:val="Prrafodelista"/>
              <w:numPr>
                <w:ilvl w:val="0"/>
                <w:numId w:val="21"/>
              </w:numPr>
              <w:jc w:val="left"/>
              <w:rPr>
                <w:rFonts w:ascii="Arial" w:hAnsi="Arial"/>
                <w:sz w:val="18"/>
                <w:szCs w:val="18"/>
                <w:lang w:val="es-CO"/>
              </w:rPr>
            </w:pPr>
            <w:r w:rsidRPr="00D61480">
              <w:rPr>
                <w:rFonts w:ascii="Arial" w:hAnsi="Arial"/>
                <w:sz w:val="18"/>
                <w:szCs w:val="18"/>
                <w:lang w:val="es-CO"/>
              </w:rPr>
              <w:t>Planeación, mantenimiento y gestión de las redes.</w:t>
            </w:r>
          </w:p>
          <w:p w14:paraId="424D884F" w14:textId="77777777" w:rsidR="00C24DC2" w:rsidRPr="00D61480" w:rsidRDefault="00C24DC2" w:rsidP="004E0B95">
            <w:pPr>
              <w:pStyle w:val="Prrafodelista"/>
              <w:numPr>
                <w:ilvl w:val="0"/>
                <w:numId w:val="21"/>
              </w:numPr>
              <w:jc w:val="left"/>
              <w:rPr>
                <w:rFonts w:ascii="Arial" w:hAnsi="Arial"/>
                <w:sz w:val="18"/>
                <w:szCs w:val="18"/>
                <w:lang w:val="es-CO"/>
              </w:rPr>
            </w:pPr>
            <w:r w:rsidRPr="00D61480">
              <w:rPr>
                <w:rFonts w:ascii="Arial" w:hAnsi="Arial"/>
                <w:sz w:val="18"/>
                <w:szCs w:val="18"/>
                <w:lang w:val="es-CO"/>
              </w:rPr>
              <w:t>Gestión de las fallas de suministro.</w:t>
            </w:r>
          </w:p>
          <w:p w14:paraId="33731099" w14:textId="77777777" w:rsidR="00C24DC2" w:rsidRPr="00D61480" w:rsidRDefault="00C24DC2" w:rsidP="004E0B95">
            <w:pPr>
              <w:pStyle w:val="Prrafodelista"/>
              <w:numPr>
                <w:ilvl w:val="0"/>
                <w:numId w:val="21"/>
              </w:numPr>
              <w:jc w:val="left"/>
              <w:rPr>
                <w:rFonts w:ascii="Arial" w:hAnsi="Arial"/>
                <w:sz w:val="18"/>
                <w:szCs w:val="18"/>
                <w:lang w:val="es-CO"/>
              </w:rPr>
            </w:pPr>
            <w:r w:rsidRPr="00D61480">
              <w:rPr>
                <w:rFonts w:ascii="Arial" w:hAnsi="Arial"/>
                <w:sz w:val="18"/>
                <w:szCs w:val="18"/>
                <w:lang w:val="es-CO"/>
              </w:rPr>
              <w:t>Facturación de energía (solo para integración vertical).</w:t>
            </w:r>
          </w:p>
        </w:tc>
        <w:tc>
          <w:tcPr>
            <w:tcW w:w="432" w:type="dxa"/>
            <w:gridSpan w:val="2"/>
            <w:tcBorders>
              <w:top w:val="single" w:sz="4" w:space="0" w:color="auto"/>
              <w:left w:val="single" w:sz="4" w:space="0" w:color="auto"/>
              <w:bottom w:val="dashed" w:sz="4" w:space="0" w:color="BFBFBF" w:themeColor="background1" w:themeShade="BF"/>
              <w:right w:val="single" w:sz="4" w:space="0" w:color="auto"/>
            </w:tcBorders>
            <w:vAlign w:val="center"/>
            <w:hideMark/>
          </w:tcPr>
          <w:p w14:paraId="60508583" w14:textId="77777777" w:rsidR="00C24DC2" w:rsidRPr="00D61480" w:rsidRDefault="00C24DC2">
            <w:pPr>
              <w:jc w:val="center"/>
              <w:rPr>
                <w:rFonts w:ascii="Arial" w:hAnsi="Arial"/>
                <w:b/>
                <w:bCs/>
                <w:sz w:val="18"/>
                <w:szCs w:val="18"/>
                <w:lang w:val="es-CO"/>
              </w:rPr>
            </w:pPr>
            <w:r w:rsidRPr="00D61480">
              <w:rPr>
                <w:rFonts w:ascii="Arial" w:hAnsi="Arial"/>
                <w:b/>
                <w:bCs/>
                <w:sz w:val="32"/>
                <w:szCs w:val="32"/>
                <w:lang w:val="es-CO"/>
              </w:rPr>
              <w:t>+</w:t>
            </w:r>
          </w:p>
        </w:tc>
        <w:tc>
          <w:tcPr>
            <w:tcW w:w="1282" w:type="dxa"/>
            <w:gridSpan w:val="2"/>
            <w:tcBorders>
              <w:top w:val="single" w:sz="4" w:space="0" w:color="auto"/>
              <w:left w:val="single" w:sz="4" w:space="0" w:color="auto"/>
              <w:bottom w:val="dashed" w:sz="4" w:space="0" w:color="BFBFBF" w:themeColor="background1" w:themeShade="BF"/>
              <w:right w:val="single" w:sz="4" w:space="0" w:color="auto"/>
            </w:tcBorders>
            <w:vAlign w:val="center"/>
            <w:hideMark/>
          </w:tcPr>
          <w:p w14:paraId="0C1EDAD2"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Roles emergentes del DSO</w:t>
            </w:r>
          </w:p>
        </w:tc>
        <w:tc>
          <w:tcPr>
            <w:tcW w:w="3009" w:type="dxa"/>
            <w:gridSpan w:val="3"/>
            <w:tcBorders>
              <w:top w:val="single" w:sz="4" w:space="0" w:color="auto"/>
              <w:left w:val="single" w:sz="4" w:space="0" w:color="auto"/>
              <w:bottom w:val="dashed" w:sz="4" w:space="0" w:color="BFBFBF" w:themeColor="background1" w:themeShade="BF"/>
              <w:right w:val="single" w:sz="4" w:space="0" w:color="auto"/>
            </w:tcBorders>
            <w:vAlign w:val="center"/>
            <w:hideMark/>
          </w:tcPr>
          <w:p w14:paraId="16BD50CE" w14:textId="77777777" w:rsidR="00C24DC2" w:rsidRPr="00D61480" w:rsidRDefault="00C24DC2" w:rsidP="004E0B95">
            <w:pPr>
              <w:pStyle w:val="Prrafodelista"/>
              <w:numPr>
                <w:ilvl w:val="0"/>
                <w:numId w:val="22"/>
              </w:numPr>
              <w:jc w:val="left"/>
              <w:rPr>
                <w:rFonts w:ascii="Arial" w:hAnsi="Arial"/>
                <w:sz w:val="18"/>
                <w:szCs w:val="18"/>
                <w:lang w:val="es-CO"/>
              </w:rPr>
            </w:pPr>
            <w:r w:rsidRPr="00D61480">
              <w:rPr>
                <w:rFonts w:ascii="Arial" w:hAnsi="Arial"/>
                <w:sz w:val="18"/>
                <w:szCs w:val="18"/>
                <w:lang w:val="es-CO"/>
              </w:rPr>
              <w:t>Gestión del pico de demanda con DER.</w:t>
            </w:r>
          </w:p>
          <w:p w14:paraId="77D1B03F" w14:textId="77777777" w:rsidR="00C24DC2" w:rsidRPr="00D61480" w:rsidRDefault="00C24DC2" w:rsidP="004E0B95">
            <w:pPr>
              <w:pStyle w:val="Prrafodelista"/>
              <w:numPr>
                <w:ilvl w:val="0"/>
                <w:numId w:val="22"/>
              </w:numPr>
              <w:jc w:val="left"/>
              <w:rPr>
                <w:rFonts w:ascii="Arial" w:hAnsi="Arial"/>
                <w:sz w:val="18"/>
                <w:szCs w:val="18"/>
                <w:lang w:val="es-CO"/>
              </w:rPr>
            </w:pPr>
            <w:r w:rsidRPr="00D61480">
              <w:rPr>
                <w:rFonts w:ascii="Arial" w:hAnsi="Arial"/>
                <w:sz w:val="18"/>
                <w:szCs w:val="18"/>
                <w:lang w:val="es-CO"/>
              </w:rPr>
              <w:t>Gestión de la congestión de la red.</w:t>
            </w:r>
          </w:p>
          <w:p w14:paraId="426350AE" w14:textId="77777777" w:rsidR="00C24DC2" w:rsidRPr="00D61480" w:rsidRDefault="00C24DC2" w:rsidP="004E0B95">
            <w:pPr>
              <w:pStyle w:val="Prrafodelista"/>
              <w:numPr>
                <w:ilvl w:val="0"/>
                <w:numId w:val="22"/>
              </w:numPr>
              <w:jc w:val="left"/>
              <w:rPr>
                <w:rFonts w:ascii="Arial" w:hAnsi="Arial"/>
                <w:sz w:val="18"/>
                <w:szCs w:val="18"/>
                <w:lang w:val="es-CO"/>
              </w:rPr>
            </w:pPr>
            <w:r w:rsidRPr="00D61480">
              <w:rPr>
                <w:rFonts w:ascii="Arial" w:hAnsi="Arial"/>
                <w:sz w:val="18"/>
                <w:szCs w:val="18"/>
                <w:lang w:val="es-CO"/>
              </w:rPr>
              <w:t>Proveer soporte de potencia reactiva al TSO.</w:t>
            </w:r>
          </w:p>
          <w:p w14:paraId="771AFD59" w14:textId="77777777" w:rsidR="00C24DC2" w:rsidRPr="00D61480" w:rsidRDefault="00C24DC2" w:rsidP="004E0B95">
            <w:pPr>
              <w:pStyle w:val="Prrafodelista"/>
              <w:numPr>
                <w:ilvl w:val="0"/>
                <w:numId w:val="22"/>
              </w:numPr>
              <w:jc w:val="left"/>
              <w:rPr>
                <w:rFonts w:ascii="Arial" w:hAnsi="Arial"/>
                <w:sz w:val="18"/>
                <w:szCs w:val="18"/>
                <w:lang w:val="es-CO"/>
              </w:rPr>
            </w:pPr>
            <w:r w:rsidRPr="00D61480">
              <w:rPr>
                <w:rFonts w:ascii="Arial" w:hAnsi="Arial"/>
                <w:sz w:val="18"/>
                <w:szCs w:val="18"/>
                <w:lang w:val="es-CO"/>
              </w:rPr>
              <w:t>Obtener soporte de voltaje.</w:t>
            </w:r>
          </w:p>
          <w:p w14:paraId="61762CE0" w14:textId="77777777" w:rsidR="00C24DC2" w:rsidRPr="00D61480" w:rsidRDefault="00C24DC2" w:rsidP="004E0B95">
            <w:pPr>
              <w:pStyle w:val="Prrafodelista"/>
              <w:numPr>
                <w:ilvl w:val="0"/>
                <w:numId w:val="22"/>
              </w:numPr>
              <w:jc w:val="left"/>
              <w:rPr>
                <w:rFonts w:ascii="Arial" w:hAnsi="Arial"/>
                <w:sz w:val="18"/>
                <w:szCs w:val="18"/>
                <w:lang w:val="es-CO"/>
              </w:rPr>
            </w:pPr>
            <w:r w:rsidRPr="00D61480">
              <w:rPr>
                <w:rFonts w:ascii="Arial" w:hAnsi="Arial"/>
                <w:sz w:val="18"/>
                <w:szCs w:val="18"/>
                <w:lang w:val="es-CO"/>
              </w:rPr>
              <w:t>Validación técnica para el mercado de energía.</w:t>
            </w:r>
          </w:p>
        </w:tc>
      </w:tr>
      <w:tr w:rsidR="00C24DC2" w:rsidRPr="00D61480" w14:paraId="67357225" w14:textId="77777777" w:rsidTr="00C24DC2">
        <w:trPr>
          <w:trHeight w:val="279"/>
        </w:trPr>
        <w:tc>
          <w:tcPr>
            <w:tcW w:w="4203" w:type="dxa"/>
            <w:gridSpan w:val="4"/>
            <w:tcBorders>
              <w:top w:val="dashed" w:sz="4" w:space="0" w:color="BFBFBF" w:themeColor="background1" w:themeShade="BF"/>
              <w:left w:val="single" w:sz="4" w:space="0" w:color="auto"/>
              <w:bottom w:val="single" w:sz="4" w:space="0" w:color="auto"/>
              <w:right w:val="single" w:sz="4" w:space="0" w:color="auto"/>
            </w:tcBorders>
            <w:vAlign w:val="bottom"/>
            <w:hideMark/>
          </w:tcPr>
          <w:p w14:paraId="7A545567"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Referentes/experiencias</w:t>
            </w:r>
          </w:p>
        </w:tc>
        <w:tc>
          <w:tcPr>
            <w:tcW w:w="4723" w:type="dxa"/>
            <w:gridSpan w:val="7"/>
            <w:tcBorders>
              <w:top w:val="dashed" w:sz="4" w:space="0" w:color="BFBFBF" w:themeColor="background1" w:themeShade="BF"/>
              <w:left w:val="single" w:sz="4" w:space="0" w:color="auto"/>
              <w:bottom w:val="single" w:sz="4" w:space="0" w:color="auto"/>
              <w:right w:val="single" w:sz="4" w:space="0" w:color="auto"/>
            </w:tcBorders>
            <w:vAlign w:val="bottom"/>
            <w:hideMark/>
          </w:tcPr>
          <w:p w14:paraId="105D5292"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Habilitadores</w:t>
            </w:r>
          </w:p>
        </w:tc>
      </w:tr>
      <w:tr w:rsidR="00C24DC2" w:rsidRPr="00D61480" w14:paraId="63C880A5" w14:textId="77777777" w:rsidTr="00C24DC2">
        <w:tc>
          <w:tcPr>
            <w:tcW w:w="4203" w:type="dxa"/>
            <w:gridSpan w:val="4"/>
            <w:tcBorders>
              <w:top w:val="single" w:sz="4" w:space="0" w:color="auto"/>
              <w:left w:val="single" w:sz="4" w:space="0" w:color="auto"/>
              <w:bottom w:val="single" w:sz="4" w:space="0" w:color="auto"/>
              <w:right w:val="single" w:sz="4" w:space="0" w:color="auto"/>
            </w:tcBorders>
            <w:vAlign w:val="center"/>
            <w:hideMark/>
          </w:tcPr>
          <w:p w14:paraId="0868DDBF" w14:textId="77777777" w:rsidR="00C24DC2" w:rsidRPr="00D61480" w:rsidRDefault="00C24DC2" w:rsidP="004E0B95">
            <w:pPr>
              <w:pStyle w:val="Prrafodelista"/>
              <w:numPr>
                <w:ilvl w:val="0"/>
                <w:numId w:val="23"/>
              </w:numPr>
              <w:jc w:val="left"/>
              <w:rPr>
                <w:rFonts w:ascii="Arial" w:hAnsi="Arial"/>
                <w:sz w:val="18"/>
                <w:szCs w:val="18"/>
                <w:lang w:val="es-CO"/>
              </w:rPr>
            </w:pPr>
            <w:r w:rsidRPr="00D61480">
              <w:rPr>
                <w:rFonts w:ascii="Arial" w:hAnsi="Arial"/>
                <w:sz w:val="18"/>
                <w:szCs w:val="18"/>
                <w:lang w:val="es-CO"/>
              </w:rPr>
              <w:t>En las redes de la empresa UK Networks se redujo en un 60% el pico de la demanda con la agregación de DER (VPP).</w:t>
            </w:r>
          </w:p>
          <w:p w14:paraId="3A0F95DE" w14:textId="77777777" w:rsidR="00C24DC2" w:rsidRPr="00D61480" w:rsidRDefault="00C24DC2" w:rsidP="004E0B95">
            <w:pPr>
              <w:pStyle w:val="Prrafodelista"/>
              <w:numPr>
                <w:ilvl w:val="0"/>
                <w:numId w:val="23"/>
              </w:numPr>
              <w:jc w:val="left"/>
              <w:rPr>
                <w:rFonts w:ascii="Arial" w:hAnsi="Arial"/>
                <w:sz w:val="18"/>
                <w:szCs w:val="18"/>
                <w:lang w:val="es-CO"/>
              </w:rPr>
            </w:pPr>
            <w:r w:rsidRPr="00D61480">
              <w:rPr>
                <w:rFonts w:ascii="Arial" w:hAnsi="Arial"/>
                <w:sz w:val="18"/>
                <w:szCs w:val="18"/>
                <w:lang w:val="es-CO"/>
              </w:rPr>
              <w:t>La regulación de electricidad, en diseño por parte de la Unión Europea, establecería que los DSO faciliten la integración de los DER.</w:t>
            </w:r>
          </w:p>
          <w:p w14:paraId="02F5494F" w14:textId="2B18A7E1" w:rsidR="00C24DC2" w:rsidRPr="00D61480" w:rsidRDefault="00C24DC2" w:rsidP="004E0B95">
            <w:pPr>
              <w:pStyle w:val="Prrafodelista"/>
              <w:numPr>
                <w:ilvl w:val="0"/>
                <w:numId w:val="23"/>
              </w:numPr>
              <w:jc w:val="left"/>
              <w:rPr>
                <w:rFonts w:ascii="Arial" w:hAnsi="Arial"/>
                <w:sz w:val="18"/>
                <w:szCs w:val="18"/>
                <w:lang w:val="es-CO"/>
              </w:rPr>
            </w:pPr>
            <w:r w:rsidRPr="00D61480">
              <w:rPr>
                <w:rFonts w:ascii="Arial" w:hAnsi="Arial"/>
                <w:sz w:val="18"/>
                <w:szCs w:val="18"/>
                <w:lang w:val="es-CO"/>
              </w:rPr>
              <w:t>Estados Unidos y los países de la U</w:t>
            </w:r>
            <w:r w:rsidR="00A53D15" w:rsidRPr="00D61480">
              <w:rPr>
                <w:rFonts w:ascii="Arial" w:hAnsi="Arial"/>
                <w:sz w:val="18"/>
                <w:szCs w:val="18"/>
                <w:lang w:val="es-CO"/>
              </w:rPr>
              <w:t xml:space="preserve">nión </w:t>
            </w:r>
            <w:r w:rsidRPr="00D61480">
              <w:rPr>
                <w:rFonts w:ascii="Arial" w:hAnsi="Arial"/>
                <w:sz w:val="18"/>
                <w:szCs w:val="18"/>
                <w:lang w:val="es-CO"/>
              </w:rPr>
              <w:t>E</w:t>
            </w:r>
            <w:r w:rsidR="00A53D15" w:rsidRPr="00D61480">
              <w:rPr>
                <w:rFonts w:ascii="Arial" w:hAnsi="Arial"/>
                <w:sz w:val="18"/>
                <w:szCs w:val="18"/>
                <w:lang w:val="es-CO"/>
              </w:rPr>
              <w:t>uropea-EU</w:t>
            </w:r>
            <w:r w:rsidRPr="00D61480">
              <w:rPr>
                <w:rFonts w:ascii="Arial" w:hAnsi="Arial"/>
                <w:sz w:val="18"/>
                <w:szCs w:val="18"/>
                <w:lang w:val="es-CO"/>
              </w:rPr>
              <w:t xml:space="preserve"> son pioneros en ampliar las responsabilidades de los DSO.</w:t>
            </w:r>
          </w:p>
        </w:tc>
        <w:tc>
          <w:tcPr>
            <w:tcW w:w="4723" w:type="dxa"/>
            <w:gridSpan w:val="7"/>
            <w:tcBorders>
              <w:top w:val="single" w:sz="4" w:space="0" w:color="auto"/>
              <w:left w:val="single" w:sz="4" w:space="0" w:color="auto"/>
              <w:bottom w:val="single" w:sz="4" w:space="0" w:color="auto"/>
              <w:right w:val="single" w:sz="4" w:space="0" w:color="auto"/>
            </w:tcBorders>
            <w:vAlign w:val="center"/>
            <w:hideMark/>
          </w:tcPr>
          <w:p w14:paraId="1709FF25" w14:textId="77777777" w:rsidR="00C24DC2" w:rsidRPr="00D61480" w:rsidRDefault="00C24DC2" w:rsidP="004E0B95">
            <w:pPr>
              <w:pStyle w:val="Prrafodelista"/>
              <w:numPr>
                <w:ilvl w:val="0"/>
                <w:numId w:val="24"/>
              </w:numPr>
              <w:jc w:val="left"/>
              <w:rPr>
                <w:rFonts w:ascii="Arial" w:hAnsi="Arial"/>
                <w:sz w:val="18"/>
                <w:szCs w:val="18"/>
                <w:lang w:val="es-CO"/>
              </w:rPr>
            </w:pPr>
            <w:r w:rsidRPr="00D61480">
              <w:rPr>
                <w:rFonts w:ascii="Arial" w:hAnsi="Arial"/>
                <w:sz w:val="18"/>
                <w:szCs w:val="18"/>
                <w:lang w:val="es-CO"/>
              </w:rPr>
              <w:t>Despliegue de los medidores inteligentes.</w:t>
            </w:r>
          </w:p>
          <w:p w14:paraId="758DDEB2" w14:textId="77777777" w:rsidR="00C24DC2" w:rsidRPr="00D61480" w:rsidRDefault="00C24DC2" w:rsidP="004E0B95">
            <w:pPr>
              <w:pStyle w:val="Prrafodelista"/>
              <w:numPr>
                <w:ilvl w:val="0"/>
                <w:numId w:val="24"/>
              </w:numPr>
              <w:jc w:val="left"/>
              <w:rPr>
                <w:rFonts w:ascii="Arial" w:hAnsi="Arial"/>
                <w:sz w:val="18"/>
                <w:szCs w:val="18"/>
                <w:lang w:val="es-CO"/>
              </w:rPr>
            </w:pPr>
            <w:r w:rsidRPr="00D61480">
              <w:rPr>
                <w:rFonts w:ascii="Arial" w:hAnsi="Arial"/>
                <w:sz w:val="18"/>
                <w:szCs w:val="18"/>
                <w:lang w:val="es-CO"/>
              </w:rPr>
              <w:t>Monitoreo en tiempo real.</w:t>
            </w:r>
          </w:p>
          <w:p w14:paraId="5EA5429B" w14:textId="77777777" w:rsidR="00C24DC2" w:rsidRPr="00D61480" w:rsidRDefault="00C24DC2" w:rsidP="004E0B95">
            <w:pPr>
              <w:pStyle w:val="Prrafodelista"/>
              <w:numPr>
                <w:ilvl w:val="0"/>
                <w:numId w:val="24"/>
              </w:numPr>
              <w:jc w:val="left"/>
              <w:rPr>
                <w:rFonts w:ascii="Arial" w:hAnsi="Arial"/>
                <w:sz w:val="18"/>
                <w:szCs w:val="18"/>
                <w:lang w:val="es-CO"/>
              </w:rPr>
            </w:pPr>
            <w:r w:rsidRPr="00D61480">
              <w:rPr>
                <w:rFonts w:ascii="Arial" w:hAnsi="Arial"/>
                <w:sz w:val="18"/>
                <w:szCs w:val="18"/>
                <w:lang w:val="es-CO"/>
              </w:rPr>
              <w:t>Acceso para agregadores, prosumidores y otros proveedores de flexibilidad</w:t>
            </w:r>
          </w:p>
          <w:p w14:paraId="04F91C8A" w14:textId="77777777" w:rsidR="00C24DC2" w:rsidRPr="00D61480" w:rsidRDefault="00C24DC2" w:rsidP="004E0B95">
            <w:pPr>
              <w:pStyle w:val="Prrafodelista"/>
              <w:numPr>
                <w:ilvl w:val="0"/>
                <w:numId w:val="24"/>
              </w:numPr>
              <w:jc w:val="left"/>
              <w:rPr>
                <w:rFonts w:ascii="Arial" w:hAnsi="Arial"/>
                <w:sz w:val="18"/>
                <w:szCs w:val="18"/>
                <w:lang w:val="es-CO"/>
              </w:rPr>
            </w:pPr>
            <w:r w:rsidRPr="00D61480">
              <w:rPr>
                <w:rFonts w:ascii="Arial" w:hAnsi="Arial"/>
                <w:sz w:val="18"/>
                <w:szCs w:val="18"/>
                <w:lang w:val="es-CO"/>
              </w:rPr>
              <w:t>Establecer mercados locales para la flexibilidad.</w:t>
            </w:r>
          </w:p>
        </w:tc>
      </w:tr>
    </w:tbl>
    <w:p w14:paraId="1DFC21B8" w14:textId="77777777" w:rsidR="00C24DC2" w:rsidRPr="00D61480" w:rsidRDefault="00C24DC2" w:rsidP="00C24DC2">
      <w:pPr>
        <w:rPr>
          <w:rFonts w:ascii="Arial" w:hAnsi="Arial"/>
          <w:sz w:val="20"/>
          <w:szCs w:val="20"/>
          <w:lang w:eastAsia="en-US"/>
        </w:rPr>
      </w:pPr>
    </w:p>
    <w:p w14:paraId="6ED8244B" w14:textId="763D19E7" w:rsidR="00C24DC2" w:rsidRPr="00D61480" w:rsidRDefault="00C24DC2" w:rsidP="00C24DC2">
      <w:pPr>
        <w:jc w:val="center"/>
        <w:rPr>
          <w:rFonts w:ascii="Arial" w:hAnsi="Arial"/>
          <w:sz w:val="16"/>
          <w:szCs w:val="16"/>
        </w:rPr>
      </w:pPr>
      <w:r w:rsidRPr="00D61480">
        <w:rPr>
          <w:rFonts w:ascii="Arial" w:hAnsi="Arial"/>
          <w:sz w:val="16"/>
          <w:szCs w:val="16"/>
        </w:rPr>
        <w:t>Figura 6. Responsabilidades del DSO</w:t>
      </w:r>
    </w:p>
    <w:p w14:paraId="74F5477B" w14:textId="2117B465" w:rsidR="00C24DC2" w:rsidRPr="00D61480" w:rsidRDefault="00C24DC2" w:rsidP="00C24DC2">
      <w:pPr>
        <w:jc w:val="center"/>
        <w:rPr>
          <w:rFonts w:ascii="Arial" w:hAnsi="Arial"/>
          <w:sz w:val="16"/>
          <w:szCs w:val="16"/>
        </w:rPr>
      </w:pPr>
      <w:r w:rsidRPr="00D61480">
        <w:rPr>
          <w:rFonts w:ascii="Arial" w:hAnsi="Arial"/>
          <w:sz w:val="16"/>
          <w:szCs w:val="16"/>
        </w:rPr>
        <w:t>Fuente: IRENA 2019.</w:t>
      </w:r>
    </w:p>
    <w:p w14:paraId="00D12387" w14:textId="1F6EC05F" w:rsidR="00C24DC2" w:rsidRPr="00D61480" w:rsidRDefault="00C24DC2" w:rsidP="00C24DC2">
      <w:pPr>
        <w:rPr>
          <w:rFonts w:ascii="Arial" w:hAnsi="Arial"/>
          <w:sz w:val="20"/>
          <w:szCs w:val="20"/>
        </w:rPr>
      </w:pPr>
      <w:r w:rsidRPr="00D61480">
        <w:rPr>
          <w:rFonts w:ascii="Arial" w:hAnsi="Arial"/>
          <w:sz w:val="20"/>
          <w:szCs w:val="20"/>
        </w:rPr>
        <w:lastRenderedPageBreak/>
        <w:t>Los recursos energéticos distribuidos, entendidos como un recurso gestionable (suministro, almacenamiento o consumo) conectado a un sistema de distribución o en las instalaciones de uso final, implican que la operación de los sistemas eléctricos evolucione de un sistema convencional “rígido” a un sistema flexible. La flexibilidad se convierte en el atributo fundamental para la integración confiable y segura de dichos recursos de tal manera que se garantice la prestación del servicio de energía eléctrica a costos eficiente</w:t>
      </w:r>
      <w:r w:rsidR="00A53D15" w:rsidRPr="00D61480">
        <w:rPr>
          <w:rFonts w:ascii="Arial" w:hAnsi="Arial"/>
          <w:sz w:val="20"/>
          <w:szCs w:val="20"/>
        </w:rPr>
        <w:t>s.</w:t>
      </w:r>
    </w:p>
    <w:p w14:paraId="724CB387" w14:textId="77777777" w:rsidR="00C24DC2" w:rsidRPr="00D61480" w:rsidRDefault="00C24DC2" w:rsidP="00C24DC2">
      <w:pPr>
        <w:rPr>
          <w:rFonts w:ascii="Arial" w:hAnsi="Arial"/>
          <w:sz w:val="20"/>
          <w:szCs w:val="20"/>
        </w:rPr>
      </w:pPr>
    </w:p>
    <w:p w14:paraId="0390444F" w14:textId="77777777" w:rsidR="00C24DC2" w:rsidRPr="00D61480" w:rsidRDefault="00C24DC2" w:rsidP="00C24DC2">
      <w:pPr>
        <w:rPr>
          <w:rFonts w:ascii="Arial" w:hAnsi="Arial"/>
          <w:sz w:val="20"/>
          <w:szCs w:val="20"/>
        </w:rPr>
      </w:pPr>
      <w:r w:rsidRPr="00D61480">
        <w:rPr>
          <w:rFonts w:ascii="Arial" w:hAnsi="Arial"/>
          <w:sz w:val="20"/>
          <w:szCs w:val="20"/>
        </w:rPr>
        <w:t>El papel que juegan en la actualidad los distribuidores de energía eléctrica deberá adaptarse gradualmente a la nueva realidad de las redes de distribución. La proliferación de los DER, así como los flujos de energía bidireccionales propicia el surgimiento de nuevos servicios flexibles que aseguren la calidad y seguridad del suministro eléctrico. Estos servicios serán provistos por los mismos DER, bajo la titularidad de los operadores o de los mismos consumidores. Para lograr esto, deben integrarse mecanismos de comunicación e intercambios de información entre los distintos agentes participantes del mercado eléctrico y entre los sistemas de distribución de energía eléctrica. Para ello es imperativo desarrollar iniciativas de digitalización, descentralización y eventualmente, automatización de procesos (Fernández Gómez &amp; Menéndez Sánchez, 2019).</w:t>
      </w:r>
    </w:p>
    <w:p w14:paraId="50993209" w14:textId="77777777" w:rsidR="00C24DC2" w:rsidRPr="00D61480" w:rsidRDefault="00C24DC2" w:rsidP="00C24DC2">
      <w:pPr>
        <w:rPr>
          <w:rFonts w:ascii="Arial" w:hAnsi="Arial"/>
          <w:sz w:val="20"/>
          <w:szCs w:val="20"/>
        </w:rPr>
      </w:pPr>
    </w:p>
    <w:p w14:paraId="20216AF9" w14:textId="77777777" w:rsidR="00C24DC2" w:rsidRPr="00D61480" w:rsidRDefault="00C24DC2" w:rsidP="00C24DC2">
      <w:pPr>
        <w:rPr>
          <w:rFonts w:ascii="Arial" w:hAnsi="Arial"/>
          <w:sz w:val="20"/>
          <w:szCs w:val="20"/>
        </w:rPr>
      </w:pPr>
      <w:r w:rsidRPr="00D61480">
        <w:rPr>
          <w:rFonts w:ascii="Arial" w:hAnsi="Arial"/>
          <w:sz w:val="20"/>
          <w:szCs w:val="20"/>
        </w:rPr>
        <w:t>Se tienen entonces que las redes inteligentes, además de cumplir el papel tradicional de transporte y distribución de electricidad, se constituirán en plataformas desde las cuales se ofrecerán productos y servicios innovadores a los usuarios de las redes. Esto, potenciado con sistemas tecnológicos para el monitoreo, comunicación, control y respuesta automática, facilitará la optimización del sistema eléctrico y de los DER posibilitando acciones relacionadas con el consumo, el almacenamiento o la inyección de energía en las redes, teniendo como parámetros la información relativa al mercado de energía, a su propio comportamiento y al estado de los dispositivos energéticos y de las redes (Fernández Gómez &amp; Menéndez Sánchez, 2019).</w:t>
      </w:r>
    </w:p>
    <w:p w14:paraId="3D1194EB" w14:textId="77777777" w:rsidR="00C24DC2" w:rsidRPr="00D61480" w:rsidRDefault="00C24DC2" w:rsidP="00C24DC2">
      <w:pPr>
        <w:rPr>
          <w:rFonts w:ascii="Arial" w:hAnsi="Arial"/>
          <w:sz w:val="20"/>
          <w:szCs w:val="20"/>
        </w:rPr>
      </w:pPr>
    </w:p>
    <w:p w14:paraId="668AD9A1" w14:textId="331C78FD" w:rsidR="00C24DC2" w:rsidRPr="00D61480" w:rsidRDefault="00C24DC2" w:rsidP="00C24DC2">
      <w:pPr>
        <w:rPr>
          <w:rFonts w:ascii="Arial" w:hAnsi="Arial"/>
          <w:sz w:val="20"/>
          <w:szCs w:val="20"/>
        </w:rPr>
      </w:pPr>
      <w:r w:rsidRPr="00D61480">
        <w:rPr>
          <w:rFonts w:ascii="Arial" w:hAnsi="Arial"/>
          <w:sz w:val="20"/>
          <w:szCs w:val="20"/>
        </w:rPr>
        <w:t>Implementar un esquema de operación considerando las funcionalidades y responsabilidades de un operador del sistema de distribución-DSO</w:t>
      </w:r>
      <w:r w:rsidR="00E73D8B" w:rsidRPr="00D61480">
        <w:rPr>
          <w:rFonts w:ascii="Arial" w:hAnsi="Arial"/>
          <w:sz w:val="20"/>
          <w:szCs w:val="20"/>
        </w:rPr>
        <w:t xml:space="preserve"> </w:t>
      </w:r>
      <w:r w:rsidRPr="00D61480">
        <w:rPr>
          <w:rFonts w:ascii="Arial" w:hAnsi="Arial"/>
          <w:sz w:val="20"/>
          <w:szCs w:val="20"/>
        </w:rPr>
        <w:t xml:space="preserve">permitirá incrementar la flexibilidad de las redes de distribución, la inversión óptima de la infraestructura con el uso de los DER y el fomento a la inserción de tecnologías bajas en carbono. Esto conlleva a que los esquemas de operación de las redes, ya sea en las actividades de trasmisión o distribución, integren nuevas funcionalidades para garantizar la optimización de las inversiones de infraestructura y la eficiencia operativa de sus redes, tales como la gestión de la congestión con los DER, la gestión activa de la demanda, y soportar servicios de control de voltaje y reactivos, entre otros. </w:t>
      </w:r>
    </w:p>
    <w:p w14:paraId="77CBE2A8" w14:textId="77777777" w:rsidR="00C24DC2" w:rsidRPr="00D61480" w:rsidRDefault="00C24DC2" w:rsidP="00C24DC2">
      <w:pPr>
        <w:rPr>
          <w:rFonts w:ascii="Arial" w:hAnsi="Arial"/>
          <w:sz w:val="20"/>
          <w:szCs w:val="20"/>
        </w:rPr>
      </w:pPr>
    </w:p>
    <w:p w14:paraId="63C339D2" w14:textId="4CC3EA62" w:rsidR="00C24DC2" w:rsidRPr="00D61480" w:rsidRDefault="00C24DC2" w:rsidP="00C24DC2">
      <w:pPr>
        <w:rPr>
          <w:rFonts w:ascii="Arial" w:hAnsi="Arial"/>
          <w:sz w:val="20"/>
          <w:szCs w:val="20"/>
        </w:rPr>
      </w:pPr>
      <w:r w:rsidRPr="00D61480">
        <w:rPr>
          <w:rFonts w:ascii="Arial" w:hAnsi="Arial"/>
          <w:sz w:val="20"/>
          <w:szCs w:val="20"/>
        </w:rPr>
        <w:t>En la Tabla</w:t>
      </w:r>
      <w:r w:rsidR="00C5317D" w:rsidRPr="00D61480">
        <w:rPr>
          <w:rFonts w:ascii="Arial" w:hAnsi="Arial"/>
          <w:sz w:val="20"/>
          <w:szCs w:val="20"/>
        </w:rPr>
        <w:t xml:space="preserve"> 2</w:t>
      </w:r>
      <w:r w:rsidRPr="00D61480">
        <w:rPr>
          <w:rFonts w:ascii="Arial" w:hAnsi="Arial"/>
          <w:sz w:val="20"/>
          <w:szCs w:val="20"/>
        </w:rPr>
        <w:t>, se muestra una descripción de los atributos requeridos para la coordinación de la operación, clasificándolos entre atributos deseables y no deseables.</w:t>
      </w:r>
    </w:p>
    <w:p w14:paraId="538E119E" w14:textId="77777777" w:rsidR="00C24DC2" w:rsidRPr="00D61480" w:rsidRDefault="00C24DC2" w:rsidP="00C24DC2">
      <w:pPr>
        <w:rPr>
          <w:rFonts w:ascii="Arial" w:hAnsi="Arial"/>
          <w:sz w:val="20"/>
          <w:szCs w:val="20"/>
        </w:rPr>
      </w:pPr>
    </w:p>
    <w:tbl>
      <w:tblPr>
        <w:tblStyle w:val="Tablaconcuadrcula"/>
        <w:tblW w:w="0" w:type="auto"/>
        <w:tblLook w:val="04A0" w:firstRow="1" w:lastRow="0" w:firstColumn="1" w:lastColumn="0" w:noHBand="0" w:noVBand="1"/>
      </w:tblPr>
      <w:tblGrid>
        <w:gridCol w:w="458"/>
        <w:gridCol w:w="1621"/>
        <w:gridCol w:w="6470"/>
      </w:tblGrid>
      <w:tr w:rsidR="00C24DC2" w:rsidRPr="00D61480" w14:paraId="566F6175" w14:textId="77777777" w:rsidTr="00C5317D">
        <w:trPr>
          <w:tblHeader/>
        </w:trPr>
        <w:tc>
          <w:tcPr>
            <w:tcW w:w="458" w:type="dxa"/>
            <w:tcBorders>
              <w:top w:val="single" w:sz="4" w:space="0" w:color="auto"/>
              <w:left w:val="single" w:sz="4" w:space="0" w:color="auto"/>
              <w:bottom w:val="single" w:sz="4" w:space="0" w:color="auto"/>
              <w:right w:val="single" w:sz="4" w:space="0" w:color="auto"/>
            </w:tcBorders>
          </w:tcPr>
          <w:p w14:paraId="10BC6B7B" w14:textId="77777777" w:rsidR="00C24DC2" w:rsidRPr="00D61480" w:rsidRDefault="00C24DC2">
            <w:pPr>
              <w:rPr>
                <w:rFonts w:ascii="Arial" w:hAnsi="Arial"/>
                <w:sz w:val="18"/>
                <w:szCs w:val="18"/>
                <w:lang w:val="es-CO"/>
              </w:rPr>
            </w:pPr>
          </w:p>
        </w:tc>
        <w:tc>
          <w:tcPr>
            <w:tcW w:w="1621" w:type="dxa"/>
            <w:tcBorders>
              <w:top w:val="single" w:sz="4" w:space="0" w:color="auto"/>
              <w:left w:val="single" w:sz="4" w:space="0" w:color="auto"/>
              <w:bottom w:val="single" w:sz="4" w:space="0" w:color="auto"/>
              <w:right w:val="single" w:sz="4" w:space="0" w:color="auto"/>
            </w:tcBorders>
            <w:hideMark/>
          </w:tcPr>
          <w:p w14:paraId="277403A2" w14:textId="77777777" w:rsidR="00C24DC2" w:rsidRPr="00D61480" w:rsidRDefault="00C24DC2">
            <w:pPr>
              <w:jc w:val="center"/>
              <w:rPr>
                <w:rFonts w:ascii="Arial" w:hAnsi="Arial"/>
                <w:b/>
                <w:bCs/>
                <w:sz w:val="18"/>
                <w:szCs w:val="18"/>
                <w:lang w:val="es-CO"/>
              </w:rPr>
            </w:pPr>
            <w:r w:rsidRPr="00D61480">
              <w:rPr>
                <w:rFonts w:ascii="Arial" w:hAnsi="Arial"/>
                <w:b/>
                <w:bCs/>
                <w:sz w:val="18"/>
                <w:szCs w:val="18"/>
                <w:lang w:val="es-CO"/>
              </w:rPr>
              <w:t>Atributos</w:t>
            </w:r>
          </w:p>
        </w:tc>
        <w:tc>
          <w:tcPr>
            <w:tcW w:w="6470" w:type="dxa"/>
            <w:tcBorders>
              <w:top w:val="single" w:sz="4" w:space="0" w:color="auto"/>
              <w:left w:val="single" w:sz="4" w:space="0" w:color="auto"/>
              <w:bottom w:val="single" w:sz="4" w:space="0" w:color="auto"/>
              <w:right w:val="single" w:sz="4" w:space="0" w:color="auto"/>
            </w:tcBorders>
            <w:hideMark/>
          </w:tcPr>
          <w:p w14:paraId="28BC2F4D" w14:textId="77777777" w:rsidR="00C24DC2" w:rsidRPr="00D61480" w:rsidRDefault="00C24DC2">
            <w:pPr>
              <w:jc w:val="center"/>
              <w:rPr>
                <w:rFonts w:ascii="Arial" w:hAnsi="Arial"/>
                <w:b/>
                <w:bCs/>
                <w:sz w:val="18"/>
                <w:szCs w:val="18"/>
                <w:lang w:val="es-CO"/>
              </w:rPr>
            </w:pPr>
            <w:r w:rsidRPr="00D61480">
              <w:rPr>
                <w:rFonts w:ascii="Arial" w:hAnsi="Arial"/>
                <w:b/>
                <w:bCs/>
                <w:sz w:val="18"/>
                <w:szCs w:val="18"/>
                <w:lang w:val="es-CO"/>
              </w:rPr>
              <w:t>Descripción</w:t>
            </w:r>
          </w:p>
        </w:tc>
      </w:tr>
      <w:tr w:rsidR="00C24DC2" w:rsidRPr="00D61480" w14:paraId="6B123A6B" w14:textId="77777777" w:rsidTr="00C5317D">
        <w:tc>
          <w:tcPr>
            <w:tcW w:w="4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9FAA019" w14:textId="77777777" w:rsidR="00C24DC2" w:rsidRPr="00D61480" w:rsidRDefault="00C24DC2">
            <w:pPr>
              <w:ind w:left="113" w:right="113"/>
              <w:jc w:val="center"/>
              <w:rPr>
                <w:rFonts w:ascii="Arial" w:hAnsi="Arial"/>
                <w:b/>
                <w:bCs/>
                <w:sz w:val="18"/>
                <w:szCs w:val="18"/>
                <w:lang w:val="es-CO"/>
              </w:rPr>
            </w:pPr>
            <w:r w:rsidRPr="00D61480">
              <w:rPr>
                <w:rFonts w:ascii="Arial" w:hAnsi="Arial"/>
                <w:b/>
                <w:bCs/>
                <w:sz w:val="18"/>
                <w:szCs w:val="18"/>
                <w:lang w:val="es-CO"/>
              </w:rPr>
              <w:t>Deseables</w:t>
            </w:r>
          </w:p>
        </w:tc>
        <w:tc>
          <w:tcPr>
            <w:tcW w:w="1621" w:type="dxa"/>
            <w:tcBorders>
              <w:top w:val="single" w:sz="4" w:space="0" w:color="auto"/>
              <w:left w:val="single" w:sz="4" w:space="0" w:color="auto"/>
              <w:bottom w:val="single" w:sz="4" w:space="0" w:color="auto"/>
              <w:right w:val="single" w:sz="4" w:space="0" w:color="auto"/>
            </w:tcBorders>
            <w:vAlign w:val="center"/>
            <w:hideMark/>
          </w:tcPr>
          <w:p w14:paraId="6EDC8358"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Observabilidad</w:t>
            </w:r>
          </w:p>
        </w:tc>
        <w:tc>
          <w:tcPr>
            <w:tcW w:w="6470" w:type="dxa"/>
            <w:tcBorders>
              <w:top w:val="single" w:sz="4" w:space="0" w:color="auto"/>
              <w:left w:val="single" w:sz="4" w:space="0" w:color="auto"/>
              <w:bottom w:val="single" w:sz="4" w:space="0" w:color="auto"/>
              <w:right w:val="single" w:sz="4" w:space="0" w:color="auto"/>
            </w:tcBorders>
            <w:hideMark/>
          </w:tcPr>
          <w:p w14:paraId="1CA7C3E0" w14:textId="77777777" w:rsidR="00C24DC2" w:rsidRPr="00D61480" w:rsidRDefault="00C24DC2">
            <w:pPr>
              <w:rPr>
                <w:rFonts w:ascii="Arial" w:hAnsi="Arial"/>
                <w:sz w:val="18"/>
                <w:szCs w:val="18"/>
                <w:lang w:val="es-CO"/>
              </w:rPr>
            </w:pPr>
            <w:r w:rsidRPr="00D61480">
              <w:rPr>
                <w:rFonts w:ascii="Arial" w:hAnsi="Arial"/>
                <w:sz w:val="18"/>
                <w:szCs w:val="18"/>
                <w:lang w:val="es-CO"/>
              </w:rPr>
              <w:t>La función está relacionada con la visibilidad operativa de la red de distribución y de los DER. Las necesidades de observabilidad del DSO y del TSO dependen de cómo se especifique el marco de coordinación.</w:t>
            </w:r>
          </w:p>
        </w:tc>
      </w:tr>
      <w:tr w:rsidR="00C24DC2" w:rsidRPr="00D61480" w14:paraId="1875D402" w14:textId="77777777" w:rsidTr="00C5317D">
        <w:tc>
          <w:tcPr>
            <w:tcW w:w="0" w:type="auto"/>
            <w:vMerge/>
            <w:tcBorders>
              <w:top w:val="single" w:sz="4" w:space="0" w:color="auto"/>
              <w:left w:val="single" w:sz="4" w:space="0" w:color="auto"/>
              <w:bottom w:val="single" w:sz="4" w:space="0" w:color="auto"/>
              <w:right w:val="single" w:sz="4" w:space="0" w:color="auto"/>
            </w:tcBorders>
            <w:vAlign w:val="center"/>
            <w:hideMark/>
          </w:tcPr>
          <w:p w14:paraId="3558171A" w14:textId="77777777" w:rsidR="00C24DC2" w:rsidRPr="00D61480" w:rsidRDefault="00C24DC2">
            <w:pPr>
              <w:rPr>
                <w:rFonts w:ascii="Arial" w:hAnsi="Arial"/>
                <w:b/>
                <w:bCs/>
                <w:sz w:val="18"/>
                <w:szCs w:val="18"/>
                <w:lang w:val="es-CO" w:eastAsia="en-US"/>
              </w:rPr>
            </w:pPr>
          </w:p>
        </w:tc>
        <w:tc>
          <w:tcPr>
            <w:tcW w:w="1621" w:type="dxa"/>
            <w:tcBorders>
              <w:top w:val="single" w:sz="4" w:space="0" w:color="auto"/>
              <w:left w:val="single" w:sz="4" w:space="0" w:color="auto"/>
              <w:bottom w:val="single" w:sz="4" w:space="0" w:color="auto"/>
              <w:right w:val="single" w:sz="4" w:space="0" w:color="auto"/>
            </w:tcBorders>
            <w:vAlign w:val="center"/>
            <w:hideMark/>
          </w:tcPr>
          <w:p w14:paraId="0F7B2095"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Escalabilidad</w:t>
            </w:r>
          </w:p>
        </w:tc>
        <w:tc>
          <w:tcPr>
            <w:tcW w:w="6470" w:type="dxa"/>
            <w:tcBorders>
              <w:top w:val="single" w:sz="4" w:space="0" w:color="auto"/>
              <w:left w:val="single" w:sz="4" w:space="0" w:color="auto"/>
              <w:bottom w:val="single" w:sz="4" w:space="0" w:color="auto"/>
              <w:right w:val="single" w:sz="4" w:space="0" w:color="auto"/>
            </w:tcBorders>
            <w:hideMark/>
          </w:tcPr>
          <w:p w14:paraId="019DA955" w14:textId="77777777" w:rsidR="00C24DC2" w:rsidRPr="00D61480" w:rsidRDefault="00C24DC2">
            <w:pPr>
              <w:rPr>
                <w:rFonts w:ascii="Arial" w:hAnsi="Arial"/>
                <w:sz w:val="18"/>
                <w:szCs w:val="18"/>
                <w:lang w:val="es-CO"/>
              </w:rPr>
            </w:pPr>
            <w:r w:rsidRPr="00D61480">
              <w:rPr>
                <w:rFonts w:ascii="Arial" w:hAnsi="Arial"/>
                <w:color w:val="231F20"/>
                <w:sz w:val="18"/>
                <w:szCs w:val="18"/>
                <w:lang w:val="es-CO"/>
              </w:rPr>
              <w:t>Los procesos y la tecnología del sistema están diseñados para funcionar adecuadamente ante altos niveles de penetración de DER. La arquitectura de coordinación puede mejorar o disminuir esta capacidad deseada.</w:t>
            </w:r>
          </w:p>
        </w:tc>
      </w:tr>
      <w:tr w:rsidR="00C24DC2" w:rsidRPr="00D61480" w14:paraId="0A2CC460" w14:textId="77777777" w:rsidTr="00C5317D">
        <w:tc>
          <w:tcPr>
            <w:tcW w:w="0" w:type="auto"/>
            <w:vMerge/>
            <w:tcBorders>
              <w:top w:val="single" w:sz="4" w:space="0" w:color="auto"/>
              <w:left w:val="single" w:sz="4" w:space="0" w:color="auto"/>
              <w:bottom w:val="single" w:sz="4" w:space="0" w:color="auto"/>
              <w:right w:val="single" w:sz="4" w:space="0" w:color="auto"/>
            </w:tcBorders>
            <w:vAlign w:val="center"/>
            <w:hideMark/>
          </w:tcPr>
          <w:p w14:paraId="7B53180E" w14:textId="77777777" w:rsidR="00C24DC2" w:rsidRPr="00D61480" w:rsidRDefault="00C24DC2">
            <w:pPr>
              <w:rPr>
                <w:rFonts w:ascii="Arial" w:hAnsi="Arial"/>
                <w:b/>
                <w:bCs/>
                <w:sz w:val="18"/>
                <w:szCs w:val="18"/>
                <w:lang w:val="es-CO" w:eastAsia="en-US"/>
              </w:rPr>
            </w:pPr>
          </w:p>
        </w:tc>
        <w:tc>
          <w:tcPr>
            <w:tcW w:w="1621" w:type="dxa"/>
            <w:tcBorders>
              <w:top w:val="single" w:sz="4" w:space="0" w:color="auto"/>
              <w:left w:val="single" w:sz="4" w:space="0" w:color="auto"/>
              <w:bottom w:val="single" w:sz="4" w:space="0" w:color="auto"/>
              <w:right w:val="single" w:sz="4" w:space="0" w:color="auto"/>
            </w:tcBorders>
            <w:vAlign w:val="center"/>
            <w:hideMark/>
          </w:tcPr>
          <w:p w14:paraId="3DCED9CB"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Ciberseguridad</w:t>
            </w:r>
          </w:p>
        </w:tc>
        <w:tc>
          <w:tcPr>
            <w:tcW w:w="6470" w:type="dxa"/>
            <w:tcBorders>
              <w:top w:val="single" w:sz="4" w:space="0" w:color="auto"/>
              <w:left w:val="single" w:sz="4" w:space="0" w:color="auto"/>
              <w:bottom w:val="single" w:sz="4" w:space="0" w:color="auto"/>
              <w:right w:val="single" w:sz="4" w:space="0" w:color="auto"/>
            </w:tcBorders>
            <w:hideMark/>
          </w:tcPr>
          <w:p w14:paraId="438616FD" w14:textId="77777777" w:rsidR="00C24DC2" w:rsidRPr="00D61480" w:rsidRDefault="00C24DC2">
            <w:pPr>
              <w:rPr>
                <w:rFonts w:ascii="Arial" w:hAnsi="Arial"/>
                <w:sz w:val="18"/>
                <w:szCs w:val="18"/>
                <w:lang w:val="es-CO"/>
              </w:rPr>
            </w:pPr>
            <w:r w:rsidRPr="00D61480">
              <w:rPr>
                <w:rFonts w:ascii="Arial" w:hAnsi="Arial"/>
                <w:sz w:val="18"/>
                <w:szCs w:val="18"/>
                <w:lang w:val="es-CO"/>
              </w:rPr>
              <w:t>La estructura arquitectónica reduce la vulnerabilidad cibernética. La estructura puede exponer los sistemas de red a más o menos vulnerabilidad, según sea la estructura del flujo de datos, que depende del marco de coordinación.</w:t>
            </w:r>
          </w:p>
        </w:tc>
      </w:tr>
      <w:tr w:rsidR="00C24DC2" w:rsidRPr="00D61480" w14:paraId="70D02E5C" w14:textId="77777777" w:rsidTr="00C5317D">
        <w:tc>
          <w:tcPr>
            <w:tcW w:w="0" w:type="auto"/>
            <w:vMerge/>
            <w:tcBorders>
              <w:top w:val="single" w:sz="4" w:space="0" w:color="auto"/>
              <w:left w:val="single" w:sz="4" w:space="0" w:color="auto"/>
              <w:bottom w:val="single" w:sz="4" w:space="0" w:color="auto"/>
              <w:right w:val="single" w:sz="4" w:space="0" w:color="auto"/>
            </w:tcBorders>
            <w:vAlign w:val="center"/>
            <w:hideMark/>
          </w:tcPr>
          <w:p w14:paraId="72764FE5" w14:textId="77777777" w:rsidR="00C24DC2" w:rsidRPr="00D61480" w:rsidRDefault="00C24DC2">
            <w:pPr>
              <w:rPr>
                <w:rFonts w:ascii="Arial" w:hAnsi="Arial"/>
                <w:b/>
                <w:bCs/>
                <w:sz w:val="18"/>
                <w:szCs w:val="18"/>
                <w:lang w:val="es-CO" w:eastAsia="en-US"/>
              </w:rPr>
            </w:pPr>
          </w:p>
        </w:tc>
        <w:tc>
          <w:tcPr>
            <w:tcW w:w="1621" w:type="dxa"/>
            <w:tcBorders>
              <w:top w:val="single" w:sz="4" w:space="0" w:color="auto"/>
              <w:left w:val="single" w:sz="4" w:space="0" w:color="auto"/>
              <w:bottom w:val="single" w:sz="4" w:space="0" w:color="auto"/>
              <w:right w:val="single" w:sz="4" w:space="0" w:color="auto"/>
            </w:tcBorders>
            <w:vAlign w:val="center"/>
            <w:hideMark/>
          </w:tcPr>
          <w:p w14:paraId="3FE3E6CC"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Optimización estratificada</w:t>
            </w:r>
          </w:p>
        </w:tc>
        <w:tc>
          <w:tcPr>
            <w:tcW w:w="6470" w:type="dxa"/>
            <w:tcBorders>
              <w:top w:val="single" w:sz="4" w:space="0" w:color="auto"/>
              <w:left w:val="single" w:sz="4" w:space="0" w:color="auto"/>
              <w:bottom w:val="single" w:sz="4" w:space="0" w:color="auto"/>
              <w:right w:val="single" w:sz="4" w:space="0" w:color="auto"/>
            </w:tcBorders>
            <w:hideMark/>
          </w:tcPr>
          <w:p w14:paraId="2519FB73" w14:textId="77777777" w:rsidR="00C24DC2" w:rsidRPr="00D61480" w:rsidRDefault="00C24DC2">
            <w:pPr>
              <w:rPr>
                <w:rFonts w:ascii="Arial" w:hAnsi="Arial"/>
                <w:sz w:val="18"/>
                <w:szCs w:val="18"/>
                <w:lang w:val="es-CO"/>
              </w:rPr>
            </w:pPr>
            <w:r w:rsidRPr="00D61480">
              <w:rPr>
                <w:rFonts w:ascii="Arial" w:hAnsi="Arial"/>
                <w:sz w:val="18"/>
                <w:szCs w:val="18"/>
                <w:lang w:val="es-CO"/>
              </w:rPr>
              <w:t>Los problemas de optimización a gran escala se desglosan en múltiples subproblemas en capas discretas del sistema eléctrico dentro de una estructura coordinada.</w:t>
            </w:r>
          </w:p>
        </w:tc>
      </w:tr>
      <w:tr w:rsidR="00C24DC2" w:rsidRPr="00D61480" w14:paraId="766752DB" w14:textId="77777777" w:rsidTr="00C5317D">
        <w:tc>
          <w:tcPr>
            <w:tcW w:w="4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D8F797A" w14:textId="77777777" w:rsidR="00C24DC2" w:rsidRPr="00D61480" w:rsidRDefault="00C24DC2">
            <w:pPr>
              <w:ind w:left="113" w:right="113"/>
              <w:jc w:val="center"/>
              <w:rPr>
                <w:rFonts w:ascii="Arial" w:hAnsi="Arial"/>
                <w:b/>
                <w:bCs/>
                <w:sz w:val="18"/>
                <w:szCs w:val="18"/>
                <w:lang w:val="es-CO"/>
              </w:rPr>
            </w:pPr>
            <w:r w:rsidRPr="00D61480">
              <w:rPr>
                <w:rFonts w:ascii="Arial" w:hAnsi="Arial"/>
                <w:b/>
                <w:bCs/>
                <w:sz w:val="18"/>
                <w:szCs w:val="18"/>
                <w:lang w:val="es-CO"/>
              </w:rPr>
              <w:lastRenderedPageBreak/>
              <w:t>No Deseables</w:t>
            </w:r>
          </w:p>
        </w:tc>
        <w:tc>
          <w:tcPr>
            <w:tcW w:w="1621" w:type="dxa"/>
            <w:tcBorders>
              <w:top w:val="single" w:sz="4" w:space="0" w:color="auto"/>
              <w:left w:val="single" w:sz="4" w:space="0" w:color="auto"/>
              <w:bottom w:val="single" w:sz="4" w:space="0" w:color="auto"/>
              <w:right w:val="single" w:sz="4" w:space="0" w:color="auto"/>
            </w:tcBorders>
            <w:vAlign w:val="center"/>
            <w:hideMark/>
          </w:tcPr>
          <w:p w14:paraId="0434397B"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Salto de niveles</w:t>
            </w:r>
          </w:p>
        </w:tc>
        <w:tc>
          <w:tcPr>
            <w:tcW w:w="6470" w:type="dxa"/>
            <w:tcBorders>
              <w:top w:val="single" w:sz="4" w:space="0" w:color="auto"/>
              <w:left w:val="single" w:sz="4" w:space="0" w:color="auto"/>
              <w:bottom w:val="single" w:sz="4" w:space="0" w:color="auto"/>
              <w:right w:val="single" w:sz="4" w:space="0" w:color="auto"/>
            </w:tcBorders>
            <w:hideMark/>
          </w:tcPr>
          <w:p w14:paraId="628DD669" w14:textId="77777777" w:rsidR="00C24DC2" w:rsidRPr="00D61480" w:rsidRDefault="00C24DC2">
            <w:pPr>
              <w:rPr>
                <w:rFonts w:ascii="Arial" w:hAnsi="Arial"/>
                <w:sz w:val="18"/>
                <w:szCs w:val="18"/>
                <w:lang w:val="es-CO"/>
              </w:rPr>
            </w:pPr>
            <w:r w:rsidRPr="00D61480">
              <w:rPr>
                <w:rFonts w:ascii="Arial" w:hAnsi="Arial"/>
                <w:sz w:val="18"/>
                <w:szCs w:val="18"/>
                <w:lang w:val="es-CO"/>
              </w:rPr>
              <w:t>Se crea un flujo de información o rutas de instrucción/suministro/control que se saltan un nivel de la jerarquía del sistema energético, lo que abre la posibilidad de crear problemas operativos que deben evitarse.</w:t>
            </w:r>
          </w:p>
        </w:tc>
      </w:tr>
      <w:tr w:rsidR="00C24DC2" w:rsidRPr="00D61480" w14:paraId="05D6EEAA" w14:textId="77777777" w:rsidTr="00C5317D">
        <w:tc>
          <w:tcPr>
            <w:tcW w:w="0" w:type="auto"/>
            <w:vMerge/>
            <w:tcBorders>
              <w:top w:val="single" w:sz="4" w:space="0" w:color="auto"/>
              <w:left w:val="single" w:sz="4" w:space="0" w:color="auto"/>
              <w:bottom w:val="single" w:sz="4" w:space="0" w:color="auto"/>
              <w:right w:val="single" w:sz="4" w:space="0" w:color="auto"/>
            </w:tcBorders>
            <w:vAlign w:val="center"/>
            <w:hideMark/>
          </w:tcPr>
          <w:p w14:paraId="74E29E28" w14:textId="77777777" w:rsidR="00C24DC2" w:rsidRPr="00D61480" w:rsidRDefault="00C24DC2">
            <w:pPr>
              <w:rPr>
                <w:rFonts w:ascii="Arial" w:hAnsi="Arial"/>
                <w:b/>
                <w:bCs/>
                <w:sz w:val="18"/>
                <w:szCs w:val="18"/>
                <w:lang w:val="es-CO" w:eastAsia="en-US"/>
              </w:rPr>
            </w:pPr>
          </w:p>
        </w:tc>
        <w:tc>
          <w:tcPr>
            <w:tcW w:w="1621" w:type="dxa"/>
            <w:tcBorders>
              <w:top w:val="single" w:sz="4" w:space="0" w:color="auto"/>
              <w:left w:val="single" w:sz="4" w:space="0" w:color="auto"/>
              <w:bottom w:val="single" w:sz="4" w:space="0" w:color="auto"/>
              <w:right w:val="single" w:sz="4" w:space="0" w:color="auto"/>
            </w:tcBorders>
            <w:vAlign w:val="center"/>
            <w:hideMark/>
          </w:tcPr>
          <w:p w14:paraId="34DA5573"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Acoplamiento oculto</w:t>
            </w:r>
          </w:p>
        </w:tc>
        <w:tc>
          <w:tcPr>
            <w:tcW w:w="6470" w:type="dxa"/>
            <w:tcBorders>
              <w:top w:val="single" w:sz="4" w:space="0" w:color="auto"/>
              <w:left w:val="single" w:sz="4" w:space="0" w:color="auto"/>
              <w:bottom w:val="single" w:sz="4" w:space="0" w:color="auto"/>
              <w:right w:val="single" w:sz="4" w:space="0" w:color="auto"/>
            </w:tcBorders>
            <w:hideMark/>
          </w:tcPr>
          <w:p w14:paraId="370CEC6D" w14:textId="77777777" w:rsidR="00C24DC2" w:rsidRPr="00D61480" w:rsidRDefault="00C24DC2">
            <w:pPr>
              <w:rPr>
                <w:rFonts w:ascii="Arial" w:hAnsi="Arial"/>
                <w:sz w:val="18"/>
                <w:szCs w:val="18"/>
                <w:lang w:val="es-CO"/>
              </w:rPr>
            </w:pPr>
            <w:r w:rsidRPr="00D61480">
              <w:rPr>
                <w:rFonts w:ascii="Arial" w:hAnsi="Arial"/>
                <w:sz w:val="18"/>
                <w:szCs w:val="18"/>
                <w:lang w:val="es-CO"/>
              </w:rPr>
              <w:t>Se deben evitar dos o más controles con vistas parciales del estado de la red que operan por separado de acuerdo con objetivos y restricciones individuales, como las señales de los DER simultáneas pero conflictivas de los clientes, del DSO y del TSO.</w:t>
            </w:r>
          </w:p>
        </w:tc>
      </w:tr>
      <w:tr w:rsidR="00C24DC2" w:rsidRPr="00D61480" w14:paraId="2088C214" w14:textId="77777777" w:rsidTr="00C5317D">
        <w:tc>
          <w:tcPr>
            <w:tcW w:w="0" w:type="auto"/>
            <w:vMerge/>
            <w:tcBorders>
              <w:top w:val="single" w:sz="4" w:space="0" w:color="auto"/>
              <w:left w:val="single" w:sz="4" w:space="0" w:color="auto"/>
              <w:bottom w:val="single" w:sz="4" w:space="0" w:color="auto"/>
              <w:right w:val="single" w:sz="4" w:space="0" w:color="auto"/>
            </w:tcBorders>
            <w:vAlign w:val="center"/>
            <w:hideMark/>
          </w:tcPr>
          <w:p w14:paraId="218E93CD" w14:textId="77777777" w:rsidR="00C24DC2" w:rsidRPr="00D61480" w:rsidRDefault="00C24DC2">
            <w:pPr>
              <w:rPr>
                <w:rFonts w:ascii="Arial" w:hAnsi="Arial"/>
                <w:b/>
                <w:bCs/>
                <w:sz w:val="18"/>
                <w:szCs w:val="18"/>
                <w:lang w:val="es-CO" w:eastAsia="en-US"/>
              </w:rPr>
            </w:pPr>
          </w:p>
        </w:tc>
        <w:tc>
          <w:tcPr>
            <w:tcW w:w="1621" w:type="dxa"/>
            <w:tcBorders>
              <w:top w:val="single" w:sz="4" w:space="0" w:color="auto"/>
              <w:left w:val="single" w:sz="4" w:space="0" w:color="auto"/>
              <w:bottom w:val="single" w:sz="4" w:space="0" w:color="auto"/>
              <w:right w:val="single" w:sz="4" w:space="0" w:color="auto"/>
            </w:tcBorders>
            <w:vAlign w:val="center"/>
            <w:hideMark/>
          </w:tcPr>
          <w:p w14:paraId="75C8E11B"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Latencia en cascada</w:t>
            </w:r>
          </w:p>
        </w:tc>
        <w:tc>
          <w:tcPr>
            <w:tcW w:w="6470" w:type="dxa"/>
            <w:tcBorders>
              <w:top w:val="single" w:sz="4" w:space="0" w:color="auto"/>
              <w:left w:val="single" w:sz="4" w:space="0" w:color="auto"/>
              <w:bottom w:val="single" w:sz="4" w:space="0" w:color="auto"/>
              <w:right w:val="single" w:sz="4" w:space="0" w:color="auto"/>
            </w:tcBorders>
            <w:hideMark/>
          </w:tcPr>
          <w:p w14:paraId="3670CD82" w14:textId="77777777" w:rsidR="00C24DC2" w:rsidRPr="00D61480" w:rsidRDefault="00C24DC2">
            <w:pPr>
              <w:rPr>
                <w:rFonts w:ascii="Arial" w:hAnsi="Arial"/>
                <w:sz w:val="18"/>
                <w:szCs w:val="18"/>
                <w:lang w:val="es-CO"/>
              </w:rPr>
            </w:pPr>
            <w:r w:rsidRPr="00D61480">
              <w:rPr>
                <w:rFonts w:ascii="Arial" w:hAnsi="Arial"/>
                <w:sz w:val="18"/>
                <w:szCs w:val="18"/>
                <w:lang w:val="es-CO"/>
              </w:rPr>
              <w:t>Se debe minimizar tanto la creación de latencias posiblemente excesivas en los flujos de información debido a los sistemas en cascada como las organizaciones a través de las cuales estos datos deben fluir en serie.</w:t>
            </w:r>
          </w:p>
        </w:tc>
      </w:tr>
    </w:tbl>
    <w:p w14:paraId="398A488A" w14:textId="77777777" w:rsidR="00C24DC2" w:rsidRPr="00D61480" w:rsidRDefault="00C24DC2" w:rsidP="00C24DC2">
      <w:pPr>
        <w:jc w:val="center"/>
        <w:rPr>
          <w:rFonts w:ascii="Arial" w:hAnsi="Arial"/>
          <w:sz w:val="16"/>
          <w:szCs w:val="16"/>
          <w:lang w:val="es-CO" w:eastAsia="en-US"/>
        </w:rPr>
      </w:pPr>
      <w:r w:rsidRPr="00D61480">
        <w:rPr>
          <w:rFonts w:ascii="Arial" w:hAnsi="Arial"/>
          <w:sz w:val="16"/>
          <w:szCs w:val="16"/>
        </w:rPr>
        <w:t>Tabla 2. Atributos de los modelos de operación</w:t>
      </w:r>
    </w:p>
    <w:p w14:paraId="090DB6B8" w14:textId="77777777" w:rsidR="00C24DC2" w:rsidRPr="00D61480" w:rsidRDefault="00C24DC2" w:rsidP="00C24DC2">
      <w:pPr>
        <w:jc w:val="center"/>
        <w:rPr>
          <w:rFonts w:ascii="Arial" w:hAnsi="Arial"/>
          <w:sz w:val="16"/>
          <w:szCs w:val="16"/>
        </w:rPr>
      </w:pPr>
      <w:r w:rsidRPr="00D61480">
        <w:rPr>
          <w:rFonts w:ascii="Arial" w:hAnsi="Arial"/>
          <w:sz w:val="16"/>
          <w:szCs w:val="16"/>
        </w:rPr>
        <w:t>Fuente: Colombia Inteligente, 2020</w:t>
      </w:r>
    </w:p>
    <w:p w14:paraId="6E73541D" w14:textId="77777777" w:rsidR="00D30405" w:rsidRPr="00D61480" w:rsidRDefault="00D30405" w:rsidP="00C24DC2">
      <w:pPr>
        <w:rPr>
          <w:rFonts w:ascii="Arial" w:hAnsi="Arial"/>
          <w:sz w:val="20"/>
          <w:szCs w:val="20"/>
        </w:rPr>
      </w:pPr>
    </w:p>
    <w:p w14:paraId="7906C689" w14:textId="513EBA06" w:rsidR="00C24DC2" w:rsidRPr="00D61480" w:rsidRDefault="00C24DC2" w:rsidP="00C24DC2">
      <w:pPr>
        <w:rPr>
          <w:rFonts w:ascii="Arial" w:hAnsi="Arial"/>
          <w:sz w:val="20"/>
          <w:szCs w:val="20"/>
        </w:rPr>
      </w:pPr>
      <w:r w:rsidRPr="00D61480">
        <w:rPr>
          <w:rFonts w:ascii="Arial" w:hAnsi="Arial"/>
          <w:sz w:val="20"/>
          <w:szCs w:val="20"/>
        </w:rPr>
        <w:t xml:space="preserve">Por lo tanto, el operador del sistema de distribución DSO, debe responder a este nuevo escenario de redes inteligentes, digitalizadas, democratizadas, descentralizadas y autónomas. Si bien el objetivo principal de las empresas de distribución de energía sigue siendo mantener un servicio de distribución eficiente, ahora esto comprenderá también la integración ordenada de </w:t>
      </w:r>
      <w:r w:rsidR="00C5317D" w:rsidRPr="00D61480">
        <w:rPr>
          <w:rFonts w:ascii="Arial" w:hAnsi="Arial"/>
          <w:sz w:val="20"/>
          <w:szCs w:val="20"/>
        </w:rPr>
        <w:t xml:space="preserve">los </w:t>
      </w:r>
      <w:r w:rsidRPr="00D61480">
        <w:rPr>
          <w:rFonts w:ascii="Arial" w:hAnsi="Arial"/>
          <w:sz w:val="20"/>
          <w:szCs w:val="20"/>
        </w:rPr>
        <w:t>DER. Así, el DSO jugará un papel doble: por un lado, debe garantizar la operación eficiente y segura del sistema de distribución; por otro lado, debe facilitar la provisión de nuevos servicios a los consumidores y favorecer el desarrollo de competencia en mercados de capacidad y energía en el ámbito de la distribución (Fernández Gómez &amp; Menéndez Sánchez, 2019).</w:t>
      </w:r>
    </w:p>
    <w:p w14:paraId="13FB65CA" w14:textId="77777777" w:rsidR="00C24DC2" w:rsidRPr="00D61480" w:rsidRDefault="00C24DC2" w:rsidP="00C24DC2">
      <w:pPr>
        <w:rPr>
          <w:rFonts w:ascii="Arial" w:hAnsi="Arial"/>
          <w:sz w:val="20"/>
          <w:szCs w:val="20"/>
        </w:rPr>
      </w:pPr>
    </w:p>
    <w:p w14:paraId="2E7CBF24" w14:textId="77777777" w:rsidR="00C24DC2" w:rsidRPr="00D61480" w:rsidRDefault="00C24DC2" w:rsidP="00C24DC2">
      <w:pPr>
        <w:rPr>
          <w:rFonts w:ascii="Arial" w:hAnsi="Arial"/>
          <w:sz w:val="20"/>
          <w:szCs w:val="20"/>
        </w:rPr>
      </w:pPr>
      <w:r w:rsidRPr="00D61480">
        <w:rPr>
          <w:rFonts w:ascii="Arial" w:hAnsi="Arial"/>
          <w:sz w:val="20"/>
          <w:szCs w:val="20"/>
        </w:rPr>
        <w:t>Para lograr esto, se identifican las siguientes responsabilidades para el DSO (Fernández Gómez &amp; Menéndez Sánchez, 2019):</w:t>
      </w:r>
    </w:p>
    <w:p w14:paraId="02BD89DF" w14:textId="77777777" w:rsidR="00C24DC2" w:rsidRPr="00D61480" w:rsidRDefault="00C24DC2" w:rsidP="00C24DC2">
      <w:pPr>
        <w:rPr>
          <w:rFonts w:ascii="Arial" w:hAnsi="Arial"/>
          <w:sz w:val="20"/>
          <w:szCs w:val="20"/>
        </w:rPr>
      </w:pPr>
    </w:p>
    <w:p w14:paraId="49050114" w14:textId="77777777" w:rsidR="00C5317D" w:rsidRPr="00D61480" w:rsidRDefault="00C24DC2" w:rsidP="004E0B95">
      <w:pPr>
        <w:pStyle w:val="Prrafodelista"/>
        <w:numPr>
          <w:ilvl w:val="0"/>
          <w:numId w:val="25"/>
        </w:numPr>
        <w:rPr>
          <w:rFonts w:ascii="Arial" w:hAnsi="Arial"/>
          <w:sz w:val="20"/>
          <w:szCs w:val="20"/>
        </w:rPr>
      </w:pPr>
      <w:r w:rsidRPr="00D61480">
        <w:rPr>
          <w:rFonts w:ascii="Arial" w:hAnsi="Arial"/>
          <w:b/>
          <w:sz w:val="20"/>
          <w:szCs w:val="20"/>
        </w:rPr>
        <w:t>Planificación y desarrollo de la infraestructura</w:t>
      </w:r>
      <w:r w:rsidRPr="00D61480">
        <w:rPr>
          <w:rFonts w:ascii="Arial" w:hAnsi="Arial"/>
          <w:sz w:val="20"/>
          <w:szCs w:val="20"/>
        </w:rPr>
        <w:t>: El DSO será responsable de la planificación y el desarrollo de las infraestructuras necesarias para la implementación de redes inteligentes, su adaptación a la evolución de la demanda y al ritmo de penetración de los DER (generación renovable, almacenamiento de energía y vehículos eléctricos).</w:t>
      </w:r>
    </w:p>
    <w:p w14:paraId="0EF00447" w14:textId="77777777" w:rsidR="00C5317D" w:rsidRPr="00D61480" w:rsidRDefault="00C5317D" w:rsidP="00C5317D">
      <w:pPr>
        <w:pStyle w:val="Prrafodelista"/>
        <w:ind w:left="360"/>
        <w:rPr>
          <w:rFonts w:ascii="Arial" w:hAnsi="Arial"/>
          <w:sz w:val="20"/>
          <w:szCs w:val="20"/>
        </w:rPr>
      </w:pPr>
    </w:p>
    <w:p w14:paraId="7C3B73F6" w14:textId="77777777" w:rsidR="00C5317D" w:rsidRPr="00D61480" w:rsidRDefault="00C24DC2" w:rsidP="004E0B95">
      <w:pPr>
        <w:pStyle w:val="Prrafodelista"/>
        <w:numPr>
          <w:ilvl w:val="0"/>
          <w:numId w:val="25"/>
        </w:numPr>
        <w:rPr>
          <w:rFonts w:ascii="Arial" w:hAnsi="Arial"/>
          <w:sz w:val="20"/>
          <w:szCs w:val="20"/>
        </w:rPr>
      </w:pPr>
      <w:r w:rsidRPr="00D61480">
        <w:rPr>
          <w:rFonts w:ascii="Arial" w:hAnsi="Arial"/>
          <w:b/>
          <w:sz w:val="20"/>
          <w:szCs w:val="20"/>
        </w:rPr>
        <w:t>Gestión activa del sistema de distribución energía</w:t>
      </w:r>
      <w:r w:rsidRPr="00D61480">
        <w:rPr>
          <w:rFonts w:ascii="Arial" w:hAnsi="Arial"/>
          <w:sz w:val="20"/>
          <w:szCs w:val="20"/>
        </w:rPr>
        <w:t>: El DSO deberá gestionar activamente un sistema de distribución de energía inteligente y complejo. El modelo tradicional de despacho de generación para “seguir a la demanda” cambia cuando la demanda es también capaz de “seguir a la generación”. Por lo tanto, la operación de las redes de generación implica tanto la gestión del despacho de toda la demanda flexible, como de la generación distribuida. Esta operación del sistema inteligente de distribución deberá llevarse a cabo de manera coordinada con la gestión de la red de transporte.</w:t>
      </w:r>
    </w:p>
    <w:p w14:paraId="0FDCA6BF" w14:textId="77777777" w:rsidR="00C5317D" w:rsidRPr="00D61480" w:rsidRDefault="00C5317D" w:rsidP="00C5317D">
      <w:pPr>
        <w:pStyle w:val="Prrafodelista"/>
        <w:rPr>
          <w:rFonts w:ascii="Arial" w:hAnsi="Arial"/>
          <w:b/>
          <w:sz w:val="20"/>
          <w:szCs w:val="20"/>
        </w:rPr>
      </w:pPr>
    </w:p>
    <w:p w14:paraId="638E7F1D" w14:textId="77777777" w:rsidR="00C5317D" w:rsidRPr="00D61480" w:rsidRDefault="00C24DC2" w:rsidP="004E0B95">
      <w:pPr>
        <w:pStyle w:val="Prrafodelista"/>
        <w:numPr>
          <w:ilvl w:val="0"/>
          <w:numId w:val="25"/>
        </w:numPr>
        <w:rPr>
          <w:rFonts w:ascii="Arial" w:hAnsi="Arial"/>
          <w:sz w:val="20"/>
          <w:szCs w:val="20"/>
        </w:rPr>
      </w:pPr>
      <w:r w:rsidRPr="00D61480">
        <w:rPr>
          <w:rFonts w:ascii="Arial" w:hAnsi="Arial"/>
          <w:b/>
          <w:sz w:val="20"/>
          <w:szCs w:val="20"/>
        </w:rPr>
        <w:t>Orquestación de los mercados locales de servicios de flexibilidad</w:t>
      </w:r>
      <w:r w:rsidRPr="00D61480">
        <w:rPr>
          <w:rFonts w:ascii="Arial" w:hAnsi="Arial"/>
          <w:sz w:val="20"/>
          <w:szCs w:val="20"/>
        </w:rPr>
        <w:t xml:space="preserve">: Estas nuevas formas de gestión y operación de las redes de distribución y la variedad de situaciones operativas que se presentarán al DSO, darán lugar a servicios de flexibilidad que conduzcan a la optimización de los activos y del sistema de distribución. Así, el DSO será el facilitador de mercados locales de servicios de flexibilidad, requiriendo servicios relacionados con la capacidad de modulación de la generación distribuida, de los sistemas de almacenamiento de energía y la gestión de la demanda. El DSO podrá también requerir servicios a los usuarios de las redes inteligentes y facilitar distintos tipos de servicios a los consumidores y prosumidores. El DSO interactuará con el TSO y los agregadores a través de servicios de red y de mercado (ver figura </w:t>
      </w:r>
      <w:r w:rsidR="00C5317D" w:rsidRPr="00D61480">
        <w:rPr>
          <w:rFonts w:ascii="Arial" w:hAnsi="Arial"/>
          <w:sz w:val="20"/>
          <w:szCs w:val="20"/>
        </w:rPr>
        <w:t>7</w:t>
      </w:r>
      <w:r w:rsidRPr="00D61480">
        <w:rPr>
          <w:rFonts w:ascii="Arial" w:hAnsi="Arial"/>
          <w:sz w:val="20"/>
          <w:szCs w:val="20"/>
        </w:rPr>
        <w:t>).</w:t>
      </w:r>
    </w:p>
    <w:p w14:paraId="6CAF7584" w14:textId="77777777" w:rsidR="00C5317D" w:rsidRPr="00D61480" w:rsidRDefault="00C5317D" w:rsidP="00C5317D">
      <w:pPr>
        <w:pStyle w:val="Prrafodelista"/>
        <w:rPr>
          <w:rFonts w:ascii="Arial" w:hAnsi="Arial"/>
          <w:b/>
          <w:sz w:val="20"/>
          <w:szCs w:val="20"/>
        </w:rPr>
      </w:pPr>
    </w:p>
    <w:p w14:paraId="05306CA7" w14:textId="2A6AF039" w:rsidR="00C24DC2" w:rsidRPr="00D61480" w:rsidRDefault="00C24DC2" w:rsidP="004E0B95">
      <w:pPr>
        <w:pStyle w:val="Prrafodelista"/>
        <w:numPr>
          <w:ilvl w:val="0"/>
          <w:numId w:val="25"/>
        </w:numPr>
        <w:rPr>
          <w:rFonts w:ascii="Arial" w:hAnsi="Arial"/>
          <w:sz w:val="20"/>
          <w:szCs w:val="20"/>
        </w:rPr>
      </w:pPr>
      <w:r w:rsidRPr="00D61480">
        <w:rPr>
          <w:rFonts w:ascii="Arial" w:hAnsi="Arial"/>
          <w:b/>
          <w:sz w:val="20"/>
          <w:szCs w:val="20"/>
        </w:rPr>
        <w:t xml:space="preserve">Gestión de un </w:t>
      </w:r>
      <w:proofErr w:type="spellStart"/>
      <w:r w:rsidRPr="00D61480">
        <w:rPr>
          <w:rFonts w:ascii="Arial" w:hAnsi="Arial"/>
          <w:b/>
          <w:i/>
          <w:iCs/>
          <w:sz w:val="20"/>
          <w:szCs w:val="20"/>
        </w:rPr>
        <w:t>hub</w:t>
      </w:r>
      <w:proofErr w:type="spellEnd"/>
      <w:r w:rsidRPr="00D61480">
        <w:rPr>
          <w:rFonts w:ascii="Arial" w:hAnsi="Arial"/>
          <w:b/>
          <w:sz w:val="20"/>
          <w:szCs w:val="20"/>
        </w:rPr>
        <w:t xml:space="preserve"> de información y comunicaciones</w:t>
      </w:r>
      <w:r w:rsidRPr="00D61480">
        <w:rPr>
          <w:rFonts w:ascii="Arial" w:hAnsi="Arial"/>
          <w:sz w:val="20"/>
          <w:szCs w:val="20"/>
        </w:rPr>
        <w:t xml:space="preserve">: el DSO deberá gestionar un </w:t>
      </w:r>
      <w:proofErr w:type="spellStart"/>
      <w:r w:rsidRPr="00D61480">
        <w:rPr>
          <w:rFonts w:ascii="Arial" w:hAnsi="Arial"/>
          <w:i/>
          <w:iCs/>
          <w:sz w:val="20"/>
          <w:szCs w:val="20"/>
        </w:rPr>
        <w:t>hub</w:t>
      </w:r>
      <w:proofErr w:type="spellEnd"/>
      <w:r w:rsidRPr="00D61480">
        <w:rPr>
          <w:rFonts w:ascii="Arial" w:hAnsi="Arial"/>
          <w:sz w:val="20"/>
          <w:szCs w:val="20"/>
        </w:rPr>
        <w:t xml:space="preserve"> de información y de comunicaciones que facilite el desarrollo de los mercados tanto mayoristas </w:t>
      </w:r>
      <w:r w:rsidRPr="00D61480">
        <w:rPr>
          <w:rFonts w:ascii="Arial" w:hAnsi="Arial"/>
          <w:sz w:val="20"/>
          <w:szCs w:val="20"/>
        </w:rPr>
        <w:lastRenderedPageBreak/>
        <w:t>como minoristas (p. ej., a través de precios en tiempo real que faciliten que aflore el valor de la flexibilidad de los distintos activos de generación, almacenamiento y demanda). Esta gestión deberá llevarse a cabo de manera neutral frente a todos los usuarios de la red y frente a todos los participantes en el mercado.</w:t>
      </w:r>
    </w:p>
    <w:p w14:paraId="2DC4F865" w14:textId="77777777" w:rsidR="00C24DC2" w:rsidRPr="00D61480" w:rsidRDefault="00C24DC2" w:rsidP="00C24DC2">
      <w:pPr>
        <w:rPr>
          <w:rFonts w:ascii="Arial" w:hAnsi="Arial"/>
          <w:sz w:val="20"/>
          <w:szCs w:val="20"/>
        </w:rPr>
      </w:pPr>
    </w:p>
    <w:p w14:paraId="7879F73B" w14:textId="12A42B8F" w:rsidR="00C24DC2" w:rsidRPr="00D61480" w:rsidRDefault="00C24DC2" w:rsidP="00C24DC2">
      <w:pPr>
        <w:jc w:val="center"/>
        <w:rPr>
          <w:rFonts w:ascii="Arial" w:hAnsi="Arial"/>
          <w:sz w:val="20"/>
          <w:szCs w:val="20"/>
        </w:rPr>
      </w:pPr>
      <w:r w:rsidRPr="00D61480">
        <w:rPr>
          <w:rFonts w:ascii="Arial" w:hAnsi="Arial"/>
          <w:noProof/>
          <w:sz w:val="20"/>
          <w:szCs w:val="20"/>
        </w:rPr>
        <w:drawing>
          <wp:inline distT="0" distB="0" distL="0" distR="0" wp14:anchorId="502ACA1B" wp14:editId="56C65B2A">
            <wp:extent cx="4105275" cy="36290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t="4140" b="4118"/>
                    <a:stretch>
                      <a:fillRect/>
                    </a:stretch>
                  </pic:blipFill>
                  <pic:spPr bwMode="auto">
                    <a:xfrm>
                      <a:off x="0" y="0"/>
                      <a:ext cx="4105275" cy="3629025"/>
                    </a:xfrm>
                    <a:prstGeom prst="rect">
                      <a:avLst/>
                    </a:prstGeom>
                    <a:noFill/>
                    <a:ln>
                      <a:noFill/>
                    </a:ln>
                  </pic:spPr>
                </pic:pic>
              </a:graphicData>
            </a:graphic>
          </wp:inline>
        </w:drawing>
      </w:r>
    </w:p>
    <w:p w14:paraId="7A0E89A4" w14:textId="627C1B5A" w:rsidR="00C24DC2" w:rsidRPr="00D61480" w:rsidRDefault="00C24DC2" w:rsidP="00C24DC2">
      <w:pPr>
        <w:jc w:val="center"/>
        <w:rPr>
          <w:rFonts w:ascii="Arial" w:hAnsi="Arial"/>
          <w:sz w:val="16"/>
          <w:szCs w:val="16"/>
        </w:rPr>
      </w:pPr>
      <w:r w:rsidRPr="00D61480">
        <w:rPr>
          <w:rFonts w:ascii="Arial" w:hAnsi="Arial"/>
          <w:sz w:val="16"/>
          <w:szCs w:val="16"/>
        </w:rPr>
        <w:t>Figura 7. Servicios de flexibilidad prestados en redes inteligentes.</w:t>
      </w:r>
    </w:p>
    <w:p w14:paraId="1AC3587C" w14:textId="77777777" w:rsidR="00C24DC2" w:rsidRPr="00D61480" w:rsidRDefault="00C24DC2" w:rsidP="00C24DC2">
      <w:pPr>
        <w:jc w:val="center"/>
        <w:rPr>
          <w:rFonts w:ascii="Arial" w:hAnsi="Arial"/>
          <w:sz w:val="16"/>
          <w:szCs w:val="16"/>
        </w:rPr>
      </w:pPr>
      <w:r w:rsidRPr="00D61480">
        <w:rPr>
          <w:rFonts w:ascii="Arial" w:hAnsi="Arial"/>
          <w:sz w:val="16"/>
          <w:szCs w:val="16"/>
        </w:rPr>
        <w:t>Fuente: Fernández Gómez &amp; Menéndez Sánchez, 2019</w:t>
      </w:r>
    </w:p>
    <w:p w14:paraId="532642EB" w14:textId="77777777" w:rsidR="00C24DC2" w:rsidRPr="00D61480" w:rsidRDefault="00C24DC2" w:rsidP="00C24DC2">
      <w:pPr>
        <w:rPr>
          <w:rFonts w:ascii="Arial" w:hAnsi="Arial"/>
          <w:sz w:val="20"/>
          <w:szCs w:val="20"/>
        </w:rPr>
      </w:pPr>
    </w:p>
    <w:p w14:paraId="7DE22236" w14:textId="29FCEE83" w:rsidR="00C24DC2" w:rsidRPr="00D61480" w:rsidRDefault="00C24DC2" w:rsidP="00C24DC2">
      <w:pPr>
        <w:rPr>
          <w:rFonts w:ascii="Arial" w:hAnsi="Arial"/>
          <w:sz w:val="20"/>
          <w:szCs w:val="20"/>
        </w:rPr>
      </w:pPr>
      <w:r w:rsidRPr="00D61480">
        <w:rPr>
          <w:rFonts w:ascii="Arial" w:hAnsi="Arial"/>
          <w:sz w:val="20"/>
          <w:szCs w:val="20"/>
        </w:rPr>
        <w:t xml:space="preserve">Con la difusión de nuevos recursos en la red de distribución, los operadores </w:t>
      </w:r>
      <w:r w:rsidR="00C5317D" w:rsidRPr="00D61480">
        <w:rPr>
          <w:rFonts w:ascii="Arial" w:hAnsi="Arial"/>
          <w:sz w:val="20"/>
          <w:szCs w:val="20"/>
        </w:rPr>
        <w:t>deben</w:t>
      </w:r>
      <w:r w:rsidRPr="00D61480">
        <w:rPr>
          <w:rFonts w:ascii="Arial" w:hAnsi="Arial"/>
          <w:sz w:val="20"/>
          <w:szCs w:val="20"/>
        </w:rPr>
        <w:t xml:space="preserve"> hacer frente a los cambios introducidos en la red. Estos cambios pueden ser en niveles de voltaje, magnitudes y dirección de corriente, y cambios en el factor de potencia. </w:t>
      </w:r>
      <w:r w:rsidR="00C5317D" w:rsidRPr="00D61480">
        <w:rPr>
          <w:rFonts w:ascii="Arial" w:hAnsi="Arial"/>
          <w:sz w:val="20"/>
          <w:szCs w:val="20"/>
        </w:rPr>
        <w:t>En este sentido</w:t>
      </w:r>
      <w:r w:rsidRPr="00D61480">
        <w:rPr>
          <w:rFonts w:ascii="Arial" w:hAnsi="Arial"/>
          <w:sz w:val="20"/>
          <w:szCs w:val="20"/>
        </w:rPr>
        <w:t xml:space="preserve"> los operadores requiere</w:t>
      </w:r>
      <w:r w:rsidR="00C5317D" w:rsidRPr="00D61480">
        <w:rPr>
          <w:rFonts w:ascii="Arial" w:hAnsi="Arial"/>
          <w:sz w:val="20"/>
          <w:szCs w:val="20"/>
        </w:rPr>
        <w:t>n</w:t>
      </w:r>
      <w:r w:rsidRPr="00D61480">
        <w:rPr>
          <w:rFonts w:ascii="Arial" w:hAnsi="Arial"/>
          <w:sz w:val="20"/>
          <w:szCs w:val="20"/>
        </w:rPr>
        <w:t xml:space="preserve"> la provisión de servicios auxiliares para garantizar la confiabilidad y estabilidad del sistema de energía. Para dar flexibilidad al operador, y en particular al DSO (Ali, </w:t>
      </w:r>
      <w:proofErr w:type="spellStart"/>
      <w:r w:rsidRPr="00D61480">
        <w:rPr>
          <w:rFonts w:ascii="Arial" w:hAnsi="Arial"/>
          <w:sz w:val="20"/>
          <w:szCs w:val="20"/>
        </w:rPr>
        <w:t>Massucco</w:t>
      </w:r>
      <w:proofErr w:type="spellEnd"/>
      <w:r w:rsidRPr="00D61480">
        <w:rPr>
          <w:rFonts w:ascii="Arial" w:hAnsi="Arial"/>
          <w:sz w:val="20"/>
          <w:szCs w:val="20"/>
        </w:rPr>
        <w:t xml:space="preserve">, &amp; </w:t>
      </w:r>
      <w:proofErr w:type="spellStart"/>
      <w:r w:rsidRPr="00D61480">
        <w:rPr>
          <w:rFonts w:ascii="Arial" w:hAnsi="Arial"/>
          <w:sz w:val="20"/>
          <w:szCs w:val="20"/>
        </w:rPr>
        <w:t>Silvestro</w:t>
      </w:r>
      <w:proofErr w:type="spellEnd"/>
      <w:r w:rsidRPr="00D61480">
        <w:rPr>
          <w:rFonts w:ascii="Arial" w:hAnsi="Arial"/>
          <w:sz w:val="20"/>
          <w:szCs w:val="20"/>
        </w:rPr>
        <w:t>, 2019) estos agregadores de DER utilizan una plataforma donde todos estos actores pueden interactuar, de tal forma que los problemas locales en la distribución se pueden resolver antes de pasar al TSO.</w:t>
      </w:r>
    </w:p>
    <w:p w14:paraId="67476095" w14:textId="77777777" w:rsidR="00C24DC2" w:rsidRPr="00D61480" w:rsidRDefault="00C24DC2" w:rsidP="00C24DC2">
      <w:pPr>
        <w:rPr>
          <w:rFonts w:ascii="Arial" w:hAnsi="Arial"/>
          <w:sz w:val="20"/>
          <w:szCs w:val="20"/>
        </w:rPr>
      </w:pPr>
    </w:p>
    <w:p w14:paraId="385134C8" w14:textId="77777777" w:rsidR="00C24DC2" w:rsidRPr="00D61480" w:rsidRDefault="00C24DC2" w:rsidP="00C24DC2">
      <w:pPr>
        <w:rPr>
          <w:rFonts w:ascii="Arial" w:hAnsi="Arial"/>
          <w:sz w:val="20"/>
          <w:szCs w:val="20"/>
        </w:rPr>
      </w:pPr>
      <w:r w:rsidRPr="00D61480">
        <w:rPr>
          <w:rFonts w:ascii="Arial" w:hAnsi="Arial"/>
          <w:sz w:val="20"/>
          <w:szCs w:val="20"/>
        </w:rPr>
        <w:t>A continuación, se describen los esquemas que muestran la evolución hacia una arquitectura estándar de DSO para el desarrollo de la red inteligente en forma segura, eficiente y económica, que además permita el despliegue masivo de los DER y la participación activa de la demanda.</w:t>
      </w:r>
    </w:p>
    <w:p w14:paraId="1E62B1C7" w14:textId="77777777" w:rsidR="00C24DC2" w:rsidRPr="00D61480" w:rsidRDefault="00C24DC2" w:rsidP="00C24DC2">
      <w:pPr>
        <w:rPr>
          <w:rFonts w:ascii="Arial" w:hAnsi="Arial"/>
          <w:sz w:val="20"/>
          <w:szCs w:val="20"/>
        </w:rPr>
      </w:pPr>
    </w:p>
    <w:p w14:paraId="4B4ADFF5" w14:textId="35CEFF89" w:rsidR="00C24DC2" w:rsidRPr="00D61480" w:rsidRDefault="00C24DC2" w:rsidP="00C24DC2">
      <w:pPr>
        <w:rPr>
          <w:rFonts w:ascii="Arial" w:hAnsi="Arial"/>
          <w:sz w:val="20"/>
          <w:szCs w:val="20"/>
        </w:rPr>
      </w:pPr>
      <w:r w:rsidRPr="00D61480">
        <w:rPr>
          <w:noProof/>
          <w:sz w:val="20"/>
          <w:szCs w:val="20"/>
        </w:rPr>
        <w:lastRenderedPageBreak/>
        <w:drawing>
          <wp:inline distT="0" distB="0" distL="0" distR="0" wp14:anchorId="14985C2F" wp14:editId="4B87DA50">
            <wp:extent cx="5434965" cy="16700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2">
                      <a:extLst>
                        <a:ext uri="{28A0092B-C50C-407E-A947-70E740481C1C}">
                          <a14:useLocalDpi xmlns:a14="http://schemas.microsoft.com/office/drawing/2010/main" val="0"/>
                        </a:ext>
                      </a:extLst>
                    </a:blip>
                    <a:srcRect t="6561"/>
                    <a:stretch>
                      <a:fillRect/>
                    </a:stretch>
                  </pic:blipFill>
                  <pic:spPr bwMode="auto">
                    <a:xfrm>
                      <a:off x="0" y="0"/>
                      <a:ext cx="5434965" cy="1670050"/>
                    </a:xfrm>
                    <a:prstGeom prst="rect">
                      <a:avLst/>
                    </a:prstGeom>
                    <a:noFill/>
                    <a:ln>
                      <a:noFill/>
                    </a:ln>
                  </pic:spPr>
                </pic:pic>
              </a:graphicData>
            </a:graphic>
          </wp:inline>
        </w:drawing>
      </w:r>
    </w:p>
    <w:p w14:paraId="127E8A7B" w14:textId="79CD5147" w:rsidR="00C24DC2" w:rsidRPr="00D61480" w:rsidRDefault="00C24DC2" w:rsidP="00C24DC2">
      <w:pPr>
        <w:jc w:val="center"/>
        <w:rPr>
          <w:rFonts w:ascii="Arial" w:hAnsi="Arial"/>
          <w:sz w:val="16"/>
          <w:szCs w:val="16"/>
        </w:rPr>
      </w:pPr>
      <w:r w:rsidRPr="00D61480">
        <w:rPr>
          <w:rFonts w:ascii="Arial" w:hAnsi="Arial"/>
          <w:sz w:val="16"/>
          <w:szCs w:val="16"/>
        </w:rPr>
        <w:t>Figura 8. Esquemas de coordinación</w:t>
      </w:r>
    </w:p>
    <w:p w14:paraId="1B93474F" w14:textId="77777777" w:rsidR="00C24DC2" w:rsidRPr="00D61480" w:rsidRDefault="00C24DC2" w:rsidP="00C24DC2">
      <w:pPr>
        <w:jc w:val="center"/>
        <w:rPr>
          <w:rFonts w:ascii="Arial" w:hAnsi="Arial"/>
          <w:sz w:val="16"/>
          <w:szCs w:val="16"/>
        </w:rPr>
      </w:pPr>
      <w:r w:rsidRPr="00D61480">
        <w:rPr>
          <w:rFonts w:ascii="Arial" w:hAnsi="Arial"/>
          <w:sz w:val="16"/>
          <w:szCs w:val="16"/>
        </w:rPr>
        <w:t>Fuente: Revisión de capacidades DSO para la integración DER – Colombia Inteligente, 2020.</w:t>
      </w:r>
    </w:p>
    <w:p w14:paraId="7C236522" w14:textId="77777777" w:rsidR="00C24DC2" w:rsidRPr="00D61480" w:rsidRDefault="00C24DC2" w:rsidP="00C24DC2">
      <w:pPr>
        <w:rPr>
          <w:rFonts w:ascii="Arial" w:hAnsi="Arial"/>
          <w:sz w:val="20"/>
          <w:szCs w:val="20"/>
        </w:rPr>
      </w:pPr>
    </w:p>
    <w:p w14:paraId="74EBB578" w14:textId="77777777" w:rsidR="00C24DC2" w:rsidRPr="00D61480" w:rsidRDefault="00C24DC2" w:rsidP="00C24DC2">
      <w:pPr>
        <w:rPr>
          <w:rFonts w:ascii="Arial" w:hAnsi="Arial"/>
          <w:sz w:val="20"/>
          <w:szCs w:val="20"/>
        </w:rPr>
      </w:pPr>
      <w:r w:rsidRPr="00D61480">
        <w:rPr>
          <w:rFonts w:ascii="Arial" w:hAnsi="Arial"/>
          <w:sz w:val="20"/>
          <w:szCs w:val="20"/>
        </w:rPr>
        <w:t>En los esquemas de coordinación planteados se tienen las siguientes funciones hasta llegar a un modelo descentralizado:</w:t>
      </w:r>
    </w:p>
    <w:p w14:paraId="119DC0FF" w14:textId="77777777" w:rsidR="00C24DC2" w:rsidRPr="00D61480" w:rsidRDefault="00C24DC2" w:rsidP="00C24DC2">
      <w:pPr>
        <w:rPr>
          <w:rFonts w:ascii="Arial" w:hAnsi="Arial"/>
          <w:b/>
          <w:sz w:val="20"/>
          <w:szCs w:val="20"/>
        </w:rPr>
      </w:pPr>
    </w:p>
    <w:p w14:paraId="2C599F9B" w14:textId="77777777" w:rsidR="00C5317D" w:rsidRPr="00D61480" w:rsidRDefault="00C24DC2" w:rsidP="004E0B95">
      <w:pPr>
        <w:pStyle w:val="Prrafodelista"/>
        <w:numPr>
          <w:ilvl w:val="0"/>
          <w:numId w:val="26"/>
        </w:numPr>
        <w:rPr>
          <w:rFonts w:ascii="Arial" w:hAnsi="Arial"/>
          <w:sz w:val="20"/>
          <w:szCs w:val="20"/>
        </w:rPr>
      </w:pPr>
      <w:r w:rsidRPr="00D61480">
        <w:rPr>
          <w:rFonts w:ascii="Arial" w:hAnsi="Arial"/>
          <w:b/>
          <w:sz w:val="20"/>
          <w:szCs w:val="20"/>
        </w:rPr>
        <w:t>TSO total</w:t>
      </w:r>
      <w:r w:rsidRPr="00D61480">
        <w:rPr>
          <w:rFonts w:ascii="Arial" w:hAnsi="Arial"/>
          <w:sz w:val="20"/>
          <w:szCs w:val="20"/>
        </w:rPr>
        <w:t>: El TSO optimiza todo el sistema de energía, incluida la coordinación de despacho de todos los servicios y horarios de DER. El DSO es responsable de las operaciones de la red de distribución y de proporcionar visibilidad de la red de distribución al TSO. El cliente/agregador coordina con el TSO, sin interfaz operativa con el DSO. Este esquema ha conllevado a afectaciones en las variables eléctricas de los distribuidores por la entrada no coordinada de DER afectando indicadores de servicio, y generando flujos de información que no cumplen con la adecuada jerarquía de control, acoplamiento oculto por vistas parciales del estado de la red y latencias por flujos de información excesivos.</w:t>
      </w:r>
    </w:p>
    <w:p w14:paraId="6CB08376" w14:textId="65D3856D" w:rsidR="00C5317D" w:rsidRPr="00D61480" w:rsidRDefault="00C5317D" w:rsidP="00C5317D">
      <w:pPr>
        <w:pStyle w:val="Prrafodelista"/>
        <w:ind w:left="360"/>
        <w:rPr>
          <w:rFonts w:ascii="Arial" w:hAnsi="Arial"/>
          <w:sz w:val="20"/>
          <w:szCs w:val="20"/>
        </w:rPr>
      </w:pPr>
    </w:p>
    <w:p w14:paraId="07C7ED8E" w14:textId="77777777" w:rsidR="00C5317D" w:rsidRPr="00D61480" w:rsidRDefault="00C24DC2" w:rsidP="004E0B95">
      <w:pPr>
        <w:pStyle w:val="Prrafodelista"/>
        <w:numPr>
          <w:ilvl w:val="0"/>
          <w:numId w:val="26"/>
        </w:numPr>
        <w:rPr>
          <w:rFonts w:ascii="Arial" w:hAnsi="Arial"/>
          <w:sz w:val="20"/>
          <w:szCs w:val="20"/>
        </w:rPr>
      </w:pPr>
      <w:r w:rsidRPr="00D61480">
        <w:rPr>
          <w:rFonts w:ascii="Arial" w:hAnsi="Arial"/>
          <w:b/>
          <w:sz w:val="20"/>
          <w:szCs w:val="20"/>
        </w:rPr>
        <w:t>DSO híbrido</w:t>
      </w:r>
      <w:r w:rsidRPr="00D61480">
        <w:rPr>
          <w:rFonts w:ascii="Arial" w:hAnsi="Arial"/>
          <w:sz w:val="20"/>
          <w:szCs w:val="20"/>
        </w:rPr>
        <w:t>: El TSO optimiza el sistema, incluido el envío de todos los servicios DER al por mayor, pero no tiene visibilidad del sistema de distribución. El DSO optimiza el sistema de distribución, incluido el envío de todos los servicios DER de distribución, y se coordina con el TSO en todos los envíos DER. El cliente/agregador coordina con el TSO y el DSO. Esto requiere capacidades de infraestructura y mayor esfuerzo de coordinación por los flujos de información.</w:t>
      </w:r>
    </w:p>
    <w:p w14:paraId="1BF109B9" w14:textId="77777777" w:rsidR="00C5317D" w:rsidRPr="00D61480" w:rsidRDefault="00C5317D" w:rsidP="00C5317D">
      <w:pPr>
        <w:pStyle w:val="Prrafodelista"/>
        <w:rPr>
          <w:rFonts w:ascii="Arial" w:hAnsi="Arial"/>
          <w:b/>
          <w:sz w:val="20"/>
          <w:szCs w:val="20"/>
        </w:rPr>
      </w:pPr>
    </w:p>
    <w:p w14:paraId="5B3DDBC6" w14:textId="6843B01B" w:rsidR="00C24DC2" w:rsidRPr="00D61480" w:rsidRDefault="00C24DC2" w:rsidP="004E0B95">
      <w:pPr>
        <w:pStyle w:val="Prrafodelista"/>
        <w:numPr>
          <w:ilvl w:val="0"/>
          <w:numId w:val="26"/>
        </w:numPr>
        <w:rPr>
          <w:rFonts w:ascii="Arial" w:hAnsi="Arial"/>
          <w:sz w:val="20"/>
          <w:szCs w:val="20"/>
        </w:rPr>
      </w:pPr>
      <w:r w:rsidRPr="00D61480">
        <w:rPr>
          <w:rFonts w:ascii="Arial" w:hAnsi="Arial"/>
          <w:b/>
          <w:sz w:val="20"/>
          <w:szCs w:val="20"/>
        </w:rPr>
        <w:t>DSO total</w:t>
      </w:r>
      <w:r w:rsidRPr="00D61480">
        <w:rPr>
          <w:rFonts w:ascii="Arial" w:hAnsi="Arial"/>
          <w:sz w:val="20"/>
          <w:szCs w:val="20"/>
        </w:rPr>
        <w:t>: El TSO optimiza todo el sistema de energía. El TSO ve un único recurso agregado o virtual en cada interfaz TSO-DSO, administrado por un DSO. El DSO es responsable de la coordinación física y la agregación de todos los servicios DER en un solo recurso en la interfaz TSO-DSO. El cliente/agregador coordina operativamente con el DSO, sin interfaz operativa con el TSO.</w:t>
      </w:r>
    </w:p>
    <w:p w14:paraId="6F252420" w14:textId="77777777" w:rsidR="00C24DC2" w:rsidRPr="00D61480" w:rsidRDefault="00C24DC2" w:rsidP="00C24DC2">
      <w:pPr>
        <w:rPr>
          <w:rFonts w:ascii="Arial" w:hAnsi="Arial"/>
          <w:sz w:val="20"/>
          <w:szCs w:val="20"/>
        </w:rPr>
      </w:pPr>
    </w:p>
    <w:p w14:paraId="7EE7E0B9" w14:textId="0A32ECBE" w:rsidR="00C24DC2" w:rsidRPr="00D61480" w:rsidRDefault="00C24DC2" w:rsidP="00C24DC2">
      <w:pPr>
        <w:rPr>
          <w:rFonts w:ascii="Arial" w:hAnsi="Arial"/>
          <w:sz w:val="20"/>
          <w:szCs w:val="20"/>
        </w:rPr>
      </w:pPr>
      <w:r w:rsidRPr="00D61480">
        <w:rPr>
          <w:rFonts w:ascii="Arial" w:hAnsi="Arial"/>
          <w:sz w:val="20"/>
          <w:szCs w:val="20"/>
        </w:rPr>
        <w:t>En este último esquema, el DSO prioriza y activa los DER para el manejo de la congestión de red y para proveer servicios al TSO</w:t>
      </w:r>
      <w:r w:rsidR="000E2976" w:rsidRPr="00D61480">
        <w:rPr>
          <w:rFonts w:ascii="Arial" w:hAnsi="Arial"/>
          <w:sz w:val="20"/>
          <w:szCs w:val="20"/>
        </w:rPr>
        <w:t>,</w:t>
      </w:r>
      <w:r w:rsidRPr="00D61480">
        <w:rPr>
          <w:rFonts w:ascii="Arial" w:hAnsi="Arial"/>
          <w:sz w:val="20"/>
          <w:szCs w:val="20"/>
        </w:rPr>
        <w:t xml:space="preserve"> ya sea para requerimientos regionales o nacionales. El DSO también programa los intercambios de energía con el sistema de transmisión basado en un despacho acordado con el TSO. Desde la perspectiva del sistema de transmisión, el DSO se comporta de una manera similar a otro sistema de transmisión interconectado</w:t>
      </w:r>
      <w:r w:rsidR="0051141E" w:rsidRPr="00D61480">
        <w:rPr>
          <w:rFonts w:ascii="Arial" w:hAnsi="Arial"/>
          <w:sz w:val="20"/>
          <w:szCs w:val="20"/>
        </w:rPr>
        <w:t>,</w:t>
      </w:r>
      <w:r w:rsidRPr="00D61480">
        <w:rPr>
          <w:rFonts w:ascii="Arial" w:hAnsi="Arial"/>
          <w:sz w:val="20"/>
          <w:szCs w:val="20"/>
        </w:rPr>
        <w:t xml:space="preserve"> y los servicios </w:t>
      </w:r>
      <w:r w:rsidR="0051141E" w:rsidRPr="00D61480">
        <w:rPr>
          <w:rFonts w:ascii="Arial" w:hAnsi="Arial"/>
          <w:sz w:val="20"/>
          <w:szCs w:val="20"/>
        </w:rPr>
        <w:t>que</w:t>
      </w:r>
      <w:r w:rsidRPr="00D61480">
        <w:rPr>
          <w:rFonts w:ascii="Arial" w:hAnsi="Arial"/>
          <w:sz w:val="20"/>
          <w:szCs w:val="20"/>
        </w:rPr>
        <w:t xml:space="preserve"> pueda proveer con los DER embebidos son evaluados a nivel regional y nacional por el TSO de forma no discriminatoria</w:t>
      </w:r>
      <w:r w:rsidR="0051141E" w:rsidRPr="00D61480">
        <w:rPr>
          <w:rFonts w:ascii="Arial" w:hAnsi="Arial"/>
          <w:sz w:val="20"/>
          <w:szCs w:val="20"/>
        </w:rPr>
        <w:t>,</w:t>
      </w:r>
      <w:r w:rsidRPr="00D61480">
        <w:rPr>
          <w:rFonts w:ascii="Arial" w:hAnsi="Arial"/>
          <w:sz w:val="20"/>
          <w:szCs w:val="20"/>
        </w:rPr>
        <w:t xml:space="preserve"> en comparación con otros proveedores de los mismos servicios. El TSO y el DSO constantemente intercambian información para maximizar sinergias entre los requerimientos del sistema de transmisión y las redes de distribución, y para minimizar conflictos potenciales en la entrega de servicios concurrentes (EA </w:t>
      </w:r>
      <w:proofErr w:type="spellStart"/>
      <w:r w:rsidRPr="00D61480">
        <w:rPr>
          <w:rFonts w:ascii="Arial" w:hAnsi="Arial"/>
          <w:sz w:val="20"/>
          <w:szCs w:val="20"/>
        </w:rPr>
        <w:t>Technology</w:t>
      </w:r>
      <w:proofErr w:type="spellEnd"/>
      <w:r w:rsidRPr="00D61480">
        <w:rPr>
          <w:rFonts w:ascii="Arial" w:hAnsi="Arial"/>
          <w:sz w:val="20"/>
          <w:szCs w:val="20"/>
        </w:rPr>
        <w:t>, 2019).</w:t>
      </w:r>
    </w:p>
    <w:p w14:paraId="20A51836" w14:textId="77777777" w:rsidR="00C24DC2" w:rsidRPr="00D61480" w:rsidRDefault="00C24DC2" w:rsidP="00C24DC2">
      <w:pPr>
        <w:rPr>
          <w:rFonts w:ascii="Arial" w:hAnsi="Arial"/>
          <w:sz w:val="20"/>
          <w:szCs w:val="20"/>
        </w:rPr>
      </w:pPr>
    </w:p>
    <w:p w14:paraId="789EA4F5" w14:textId="1F3A4A86" w:rsidR="00C24DC2" w:rsidRPr="00D61480" w:rsidRDefault="00C24DC2" w:rsidP="00C24DC2">
      <w:pPr>
        <w:rPr>
          <w:rFonts w:ascii="Arial" w:hAnsi="Arial"/>
          <w:sz w:val="20"/>
          <w:szCs w:val="20"/>
        </w:rPr>
      </w:pPr>
      <w:r w:rsidRPr="00D61480">
        <w:rPr>
          <w:rFonts w:ascii="Arial" w:hAnsi="Arial"/>
          <w:sz w:val="20"/>
          <w:szCs w:val="20"/>
        </w:rPr>
        <w:lastRenderedPageBreak/>
        <w:t>Es necesario encontrar un balance entre los intereses del TSO y el DSO para la supervisión y control de los DER, gestionando adecuadamente los impactos sobre los sistemas eléctricos, principalmente asociados a la congestión en las redes y los recursos para</w:t>
      </w:r>
      <w:r w:rsidR="0051141E" w:rsidRPr="00D61480">
        <w:rPr>
          <w:rFonts w:ascii="Arial" w:hAnsi="Arial"/>
          <w:sz w:val="20"/>
          <w:szCs w:val="20"/>
        </w:rPr>
        <w:t xml:space="preserve"> </w:t>
      </w:r>
      <w:r w:rsidRPr="00D61480">
        <w:rPr>
          <w:rFonts w:ascii="Arial" w:hAnsi="Arial"/>
          <w:sz w:val="20"/>
          <w:szCs w:val="20"/>
        </w:rPr>
        <w:t>mantener la estabilidad del sistema.</w:t>
      </w:r>
    </w:p>
    <w:p w14:paraId="1C139887" w14:textId="77777777" w:rsidR="0051141E" w:rsidRPr="00D61480" w:rsidRDefault="0051141E" w:rsidP="00C24DC2">
      <w:pPr>
        <w:rPr>
          <w:rFonts w:ascii="Arial" w:hAnsi="Arial"/>
          <w:sz w:val="20"/>
          <w:szCs w:val="20"/>
        </w:rPr>
      </w:pPr>
    </w:p>
    <w:p w14:paraId="792B46EF" w14:textId="6BABB00D" w:rsidR="00C24DC2" w:rsidRPr="00D61480" w:rsidRDefault="00C24DC2" w:rsidP="00C24DC2">
      <w:pPr>
        <w:rPr>
          <w:rFonts w:ascii="Arial" w:hAnsi="Arial"/>
          <w:sz w:val="20"/>
          <w:szCs w:val="20"/>
        </w:rPr>
      </w:pPr>
      <w:r w:rsidRPr="00D61480">
        <w:rPr>
          <w:rFonts w:ascii="Arial" w:hAnsi="Arial"/>
          <w:sz w:val="20"/>
          <w:szCs w:val="20"/>
        </w:rPr>
        <w:t>En la Tabla 3 se describen, basados en algunos referen</w:t>
      </w:r>
      <w:r w:rsidR="0051141E" w:rsidRPr="00D61480">
        <w:rPr>
          <w:rFonts w:ascii="Arial" w:hAnsi="Arial"/>
          <w:sz w:val="20"/>
          <w:szCs w:val="20"/>
        </w:rPr>
        <w:t>tes</w:t>
      </w:r>
      <w:r w:rsidRPr="00D61480">
        <w:rPr>
          <w:rFonts w:ascii="Arial" w:hAnsi="Arial"/>
          <w:sz w:val="20"/>
          <w:szCs w:val="20"/>
        </w:rPr>
        <w:t xml:space="preserve"> internacionales, cómo ante diferentes escenarios de inserción de los DER, tanto el TSO como el DSO tienen diferentes roles respecto al control del intercambio de potencia, observabilidad de los DER, control de los DER, manejo de la congestión y soporte de tensión con DER (Colombia Inteligente, 2020).</w:t>
      </w:r>
    </w:p>
    <w:p w14:paraId="073BE68A" w14:textId="77777777" w:rsidR="00C24DC2" w:rsidRPr="00D61480" w:rsidRDefault="00C24DC2" w:rsidP="0051141E">
      <w:pPr>
        <w:rPr>
          <w:rFonts w:ascii="Arial" w:hAnsi="Arial"/>
          <w:sz w:val="20"/>
          <w:szCs w:val="20"/>
        </w:rPr>
      </w:pPr>
    </w:p>
    <w:tbl>
      <w:tblPr>
        <w:tblStyle w:val="Tablaconcuadrcula"/>
        <w:tblW w:w="0" w:type="auto"/>
        <w:tblLook w:val="04A0" w:firstRow="1" w:lastRow="0" w:firstColumn="1" w:lastColumn="0" w:noHBand="0" w:noVBand="1"/>
      </w:tblPr>
      <w:tblGrid>
        <w:gridCol w:w="2486"/>
        <w:gridCol w:w="1418"/>
        <w:gridCol w:w="1236"/>
        <w:gridCol w:w="1064"/>
        <w:gridCol w:w="1184"/>
        <w:gridCol w:w="1161"/>
      </w:tblGrid>
      <w:tr w:rsidR="00C24DC2" w:rsidRPr="00D61480" w14:paraId="7CC976F9" w14:textId="77777777" w:rsidTr="00C24DC2">
        <w:tc>
          <w:tcPr>
            <w:tcW w:w="3397" w:type="dxa"/>
            <w:tcBorders>
              <w:top w:val="single" w:sz="4" w:space="0" w:color="auto"/>
              <w:left w:val="single" w:sz="4" w:space="0" w:color="auto"/>
              <w:bottom w:val="single" w:sz="4" w:space="0" w:color="auto"/>
              <w:right w:val="single" w:sz="4" w:space="0" w:color="auto"/>
            </w:tcBorders>
            <w:vAlign w:val="center"/>
            <w:hideMark/>
          </w:tcPr>
          <w:p w14:paraId="2007F3BB" w14:textId="77777777" w:rsidR="00C24DC2" w:rsidRPr="00D61480" w:rsidRDefault="00C24DC2">
            <w:pPr>
              <w:jc w:val="center"/>
              <w:rPr>
                <w:rFonts w:ascii="Arial" w:hAnsi="Arial"/>
                <w:b/>
                <w:bCs/>
                <w:sz w:val="18"/>
                <w:szCs w:val="18"/>
                <w:lang w:val="es-CO"/>
              </w:rPr>
            </w:pPr>
            <w:r w:rsidRPr="00D61480">
              <w:rPr>
                <w:rFonts w:ascii="Arial" w:hAnsi="Arial"/>
                <w:b/>
                <w:bCs/>
                <w:sz w:val="18"/>
                <w:szCs w:val="18"/>
                <w:lang w:val="es-CO"/>
              </w:rPr>
              <w:t>Escenario operación DSO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C1E1E3A" w14:textId="77777777" w:rsidR="00C24DC2" w:rsidRPr="00D61480" w:rsidRDefault="00C24DC2">
            <w:pPr>
              <w:jc w:val="center"/>
              <w:rPr>
                <w:rFonts w:ascii="Arial" w:hAnsi="Arial"/>
                <w:b/>
                <w:bCs/>
                <w:sz w:val="18"/>
                <w:szCs w:val="18"/>
                <w:lang w:val="es-CO"/>
              </w:rPr>
            </w:pPr>
            <w:r w:rsidRPr="00D61480">
              <w:rPr>
                <w:rFonts w:ascii="Arial" w:hAnsi="Arial"/>
                <w:b/>
                <w:bCs/>
                <w:sz w:val="18"/>
                <w:szCs w:val="18"/>
                <w:lang w:val="es-CO"/>
              </w:rPr>
              <w:t>Control de intercambio de potencia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7A9A58" w14:textId="77777777" w:rsidR="00C24DC2" w:rsidRPr="00D61480" w:rsidRDefault="00C24DC2">
            <w:pPr>
              <w:jc w:val="center"/>
              <w:rPr>
                <w:rFonts w:ascii="Arial" w:hAnsi="Arial"/>
                <w:b/>
                <w:bCs/>
                <w:sz w:val="18"/>
                <w:szCs w:val="18"/>
                <w:lang w:val="es-CO"/>
              </w:rPr>
            </w:pPr>
            <w:r w:rsidRPr="00D61480">
              <w:rPr>
                <w:rFonts w:ascii="Arial" w:hAnsi="Arial"/>
                <w:b/>
                <w:bCs/>
                <w:sz w:val="18"/>
                <w:szCs w:val="18"/>
                <w:lang w:val="es-CO"/>
              </w:rPr>
              <w:t>Observar DER</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C8004CD" w14:textId="77777777" w:rsidR="00C24DC2" w:rsidRPr="00D61480" w:rsidRDefault="00C24DC2">
            <w:pPr>
              <w:jc w:val="center"/>
              <w:rPr>
                <w:rFonts w:ascii="Arial" w:hAnsi="Arial"/>
                <w:b/>
                <w:bCs/>
                <w:sz w:val="18"/>
                <w:szCs w:val="18"/>
                <w:lang w:val="es-CO"/>
              </w:rPr>
            </w:pPr>
            <w:r w:rsidRPr="00D61480">
              <w:rPr>
                <w:rFonts w:ascii="Arial" w:hAnsi="Arial"/>
                <w:b/>
                <w:bCs/>
                <w:sz w:val="18"/>
                <w:szCs w:val="18"/>
                <w:lang w:val="es-CO"/>
              </w:rPr>
              <w:t>Control DER</w:t>
            </w:r>
          </w:p>
        </w:tc>
        <w:tc>
          <w:tcPr>
            <w:tcW w:w="1189" w:type="dxa"/>
            <w:tcBorders>
              <w:top w:val="single" w:sz="4" w:space="0" w:color="auto"/>
              <w:left w:val="single" w:sz="4" w:space="0" w:color="auto"/>
              <w:bottom w:val="single" w:sz="4" w:space="0" w:color="auto"/>
              <w:right w:val="single" w:sz="4" w:space="0" w:color="auto"/>
            </w:tcBorders>
            <w:vAlign w:val="center"/>
            <w:hideMark/>
          </w:tcPr>
          <w:p w14:paraId="4644F65A" w14:textId="77777777" w:rsidR="00C24DC2" w:rsidRPr="00D61480" w:rsidRDefault="00C24DC2">
            <w:pPr>
              <w:jc w:val="center"/>
              <w:rPr>
                <w:rFonts w:ascii="Arial" w:hAnsi="Arial"/>
                <w:b/>
                <w:bCs/>
                <w:sz w:val="18"/>
                <w:szCs w:val="18"/>
                <w:lang w:val="es-CO"/>
              </w:rPr>
            </w:pPr>
            <w:r w:rsidRPr="00D61480">
              <w:rPr>
                <w:rFonts w:ascii="Arial" w:hAnsi="Arial"/>
                <w:b/>
                <w:bCs/>
                <w:sz w:val="18"/>
                <w:szCs w:val="18"/>
                <w:lang w:val="es-CO"/>
              </w:rPr>
              <w:t>Manejo de congestión</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EABB847" w14:textId="77777777" w:rsidR="00C24DC2" w:rsidRPr="00D61480" w:rsidRDefault="00C24DC2">
            <w:pPr>
              <w:jc w:val="center"/>
              <w:rPr>
                <w:rFonts w:ascii="Arial" w:hAnsi="Arial"/>
                <w:b/>
                <w:bCs/>
                <w:sz w:val="18"/>
                <w:szCs w:val="18"/>
                <w:lang w:val="es-CO"/>
              </w:rPr>
            </w:pPr>
            <w:r w:rsidRPr="00D61480">
              <w:rPr>
                <w:rFonts w:ascii="Arial" w:hAnsi="Arial"/>
                <w:b/>
                <w:bCs/>
                <w:sz w:val="18"/>
                <w:szCs w:val="18"/>
                <w:lang w:val="es-CO"/>
              </w:rPr>
              <w:t>Soporte de tensión con DER</w:t>
            </w:r>
          </w:p>
        </w:tc>
      </w:tr>
      <w:tr w:rsidR="00C24DC2" w:rsidRPr="00D61480" w14:paraId="2BCD7546" w14:textId="77777777" w:rsidTr="00C24DC2">
        <w:tc>
          <w:tcPr>
            <w:tcW w:w="3397" w:type="dxa"/>
            <w:tcBorders>
              <w:top w:val="single" w:sz="4" w:space="0" w:color="auto"/>
              <w:left w:val="single" w:sz="4" w:space="0" w:color="auto"/>
              <w:bottom w:val="single" w:sz="4" w:space="0" w:color="auto"/>
              <w:right w:val="single" w:sz="4" w:space="0" w:color="auto"/>
            </w:tcBorders>
            <w:vAlign w:val="center"/>
            <w:hideMark/>
          </w:tcPr>
          <w:p w14:paraId="57E61FF9"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DSO Pasivo</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265747E"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32C1DD"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B442F0D"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w:t>
            </w:r>
          </w:p>
        </w:tc>
        <w:tc>
          <w:tcPr>
            <w:tcW w:w="1189" w:type="dxa"/>
            <w:tcBorders>
              <w:top w:val="single" w:sz="4" w:space="0" w:color="auto"/>
              <w:left w:val="single" w:sz="4" w:space="0" w:color="auto"/>
              <w:bottom w:val="single" w:sz="4" w:space="0" w:color="auto"/>
              <w:right w:val="single" w:sz="4" w:space="0" w:color="auto"/>
            </w:tcBorders>
            <w:vAlign w:val="center"/>
            <w:hideMark/>
          </w:tcPr>
          <w:p w14:paraId="71CDD19F"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FEFC109"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w:t>
            </w:r>
          </w:p>
        </w:tc>
      </w:tr>
      <w:tr w:rsidR="00C24DC2" w:rsidRPr="00D61480" w14:paraId="40F42DB7" w14:textId="77777777" w:rsidTr="00C24DC2">
        <w:tc>
          <w:tcPr>
            <w:tcW w:w="3397" w:type="dxa"/>
            <w:tcBorders>
              <w:top w:val="single" w:sz="4" w:space="0" w:color="auto"/>
              <w:left w:val="single" w:sz="4" w:space="0" w:color="auto"/>
              <w:bottom w:val="single" w:sz="4" w:space="0" w:color="auto"/>
              <w:right w:val="single" w:sz="4" w:space="0" w:color="auto"/>
            </w:tcBorders>
            <w:vAlign w:val="center"/>
            <w:hideMark/>
          </w:tcPr>
          <w:p w14:paraId="0418D3C7"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DER bajo – Sin control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781287F"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FB7A9C"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w:t>
            </w:r>
          </w:p>
        </w:tc>
        <w:tc>
          <w:tcPr>
            <w:tcW w:w="1228" w:type="dxa"/>
            <w:tcBorders>
              <w:top w:val="single" w:sz="4" w:space="0" w:color="auto"/>
              <w:left w:val="single" w:sz="4" w:space="0" w:color="auto"/>
              <w:bottom w:val="single" w:sz="4" w:space="0" w:color="auto"/>
              <w:right w:val="single" w:sz="4" w:space="0" w:color="auto"/>
            </w:tcBorders>
            <w:vAlign w:val="center"/>
            <w:hideMark/>
          </w:tcPr>
          <w:p w14:paraId="0A9B90C9"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w:t>
            </w:r>
          </w:p>
        </w:tc>
        <w:tc>
          <w:tcPr>
            <w:tcW w:w="1189" w:type="dxa"/>
            <w:tcBorders>
              <w:top w:val="single" w:sz="4" w:space="0" w:color="auto"/>
              <w:left w:val="single" w:sz="4" w:space="0" w:color="auto"/>
              <w:bottom w:val="single" w:sz="4" w:space="0" w:color="auto"/>
              <w:right w:val="single" w:sz="4" w:space="0" w:color="auto"/>
            </w:tcBorders>
            <w:vAlign w:val="center"/>
            <w:hideMark/>
          </w:tcPr>
          <w:p w14:paraId="0D0E27E5"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31D2A7F"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w:t>
            </w:r>
          </w:p>
        </w:tc>
      </w:tr>
      <w:tr w:rsidR="00C24DC2" w:rsidRPr="00D61480" w14:paraId="251BD713" w14:textId="77777777" w:rsidTr="00C24DC2">
        <w:tc>
          <w:tcPr>
            <w:tcW w:w="3397" w:type="dxa"/>
            <w:tcBorders>
              <w:top w:val="single" w:sz="4" w:space="0" w:color="auto"/>
              <w:left w:val="single" w:sz="4" w:space="0" w:color="auto"/>
              <w:bottom w:val="single" w:sz="4" w:space="0" w:color="auto"/>
              <w:right w:val="single" w:sz="4" w:space="0" w:color="auto"/>
            </w:tcBorders>
            <w:vAlign w:val="center"/>
            <w:hideMark/>
          </w:tcPr>
          <w:p w14:paraId="728AAEC1"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DER alto – Sin control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5F03D2"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2263BC"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 - DSO</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F58F1F9"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w:t>
            </w:r>
          </w:p>
        </w:tc>
        <w:tc>
          <w:tcPr>
            <w:tcW w:w="1189" w:type="dxa"/>
            <w:tcBorders>
              <w:top w:val="single" w:sz="4" w:space="0" w:color="auto"/>
              <w:left w:val="single" w:sz="4" w:space="0" w:color="auto"/>
              <w:bottom w:val="single" w:sz="4" w:space="0" w:color="auto"/>
              <w:right w:val="single" w:sz="4" w:space="0" w:color="auto"/>
            </w:tcBorders>
            <w:vAlign w:val="center"/>
            <w:hideMark/>
          </w:tcPr>
          <w:p w14:paraId="0247ACA9"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 - DSO</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2B782A6"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w:t>
            </w:r>
          </w:p>
        </w:tc>
      </w:tr>
      <w:tr w:rsidR="00C24DC2" w:rsidRPr="00D61480" w14:paraId="5B32F8B2" w14:textId="77777777" w:rsidTr="00C24DC2">
        <w:tc>
          <w:tcPr>
            <w:tcW w:w="3397" w:type="dxa"/>
            <w:tcBorders>
              <w:top w:val="single" w:sz="4" w:space="0" w:color="auto"/>
              <w:left w:val="single" w:sz="4" w:space="0" w:color="auto"/>
              <w:bottom w:val="single" w:sz="4" w:space="0" w:color="auto"/>
              <w:right w:val="single" w:sz="4" w:space="0" w:color="auto"/>
            </w:tcBorders>
            <w:vAlign w:val="center"/>
            <w:hideMark/>
          </w:tcPr>
          <w:p w14:paraId="3816CA4C"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DER alto- potencia activa parcialmente controlable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5B89A5"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 – DSO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BC5616"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 - DSO</w:t>
            </w:r>
          </w:p>
        </w:tc>
        <w:tc>
          <w:tcPr>
            <w:tcW w:w="1228" w:type="dxa"/>
            <w:tcBorders>
              <w:top w:val="single" w:sz="4" w:space="0" w:color="auto"/>
              <w:left w:val="single" w:sz="4" w:space="0" w:color="auto"/>
              <w:bottom w:val="single" w:sz="4" w:space="0" w:color="auto"/>
              <w:right w:val="single" w:sz="4" w:space="0" w:color="auto"/>
            </w:tcBorders>
            <w:vAlign w:val="center"/>
            <w:hideMark/>
          </w:tcPr>
          <w:p w14:paraId="233F46FC"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DSO</w:t>
            </w:r>
          </w:p>
        </w:tc>
        <w:tc>
          <w:tcPr>
            <w:tcW w:w="1189" w:type="dxa"/>
            <w:tcBorders>
              <w:top w:val="single" w:sz="4" w:space="0" w:color="auto"/>
              <w:left w:val="single" w:sz="4" w:space="0" w:color="auto"/>
              <w:bottom w:val="single" w:sz="4" w:space="0" w:color="auto"/>
              <w:right w:val="single" w:sz="4" w:space="0" w:color="auto"/>
            </w:tcBorders>
            <w:vAlign w:val="center"/>
            <w:hideMark/>
          </w:tcPr>
          <w:p w14:paraId="4D9305D7"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 - DSO</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C53F036"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w:t>
            </w:r>
          </w:p>
        </w:tc>
      </w:tr>
      <w:tr w:rsidR="00C24DC2" w:rsidRPr="00D61480" w14:paraId="12AB50A8" w14:textId="77777777" w:rsidTr="00C24DC2">
        <w:tc>
          <w:tcPr>
            <w:tcW w:w="3397" w:type="dxa"/>
            <w:tcBorders>
              <w:top w:val="single" w:sz="4" w:space="0" w:color="auto"/>
              <w:left w:val="single" w:sz="4" w:space="0" w:color="auto"/>
              <w:bottom w:val="single" w:sz="4" w:space="0" w:color="auto"/>
              <w:right w:val="single" w:sz="4" w:space="0" w:color="auto"/>
            </w:tcBorders>
            <w:vAlign w:val="center"/>
            <w:hideMark/>
          </w:tcPr>
          <w:p w14:paraId="4D7B9D87" w14:textId="77777777" w:rsidR="00C24DC2" w:rsidRPr="00D61480" w:rsidRDefault="00C24DC2">
            <w:pPr>
              <w:rPr>
                <w:rFonts w:ascii="Arial" w:hAnsi="Arial"/>
                <w:b/>
                <w:bCs/>
                <w:sz w:val="18"/>
                <w:szCs w:val="18"/>
                <w:lang w:val="es-CO"/>
              </w:rPr>
            </w:pPr>
            <w:r w:rsidRPr="00D61480">
              <w:rPr>
                <w:rFonts w:ascii="Arial" w:hAnsi="Arial"/>
                <w:b/>
                <w:bCs/>
                <w:sz w:val="18"/>
                <w:szCs w:val="18"/>
                <w:lang w:val="es-CO"/>
              </w:rPr>
              <w:t>DER alto- potencia activa y reactiva parcialmente controlable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A572E38"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 – DSO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94DC95"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 - DSO</w:t>
            </w:r>
          </w:p>
        </w:tc>
        <w:tc>
          <w:tcPr>
            <w:tcW w:w="1228" w:type="dxa"/>
            <w:tcBorders>
              <w:top w:val="single" w:sz="4" w:space="0" w:color="auto"/>
              <w:left w:val="single" w:sz="4" w:space="0" w:color="auto"/>
              <w:bottom w:val="single" w:sz="4" w:space="0" w:color="auto"/>
              <w:right w:val="single" w:sz="4" w:space="0" w:color="auto"/>
            </w:tcBorders>
            <w:vAlign w:val="center"/>
            <w:hideMark/>
          </w:tcPr>
          <w:p w14:paraId="72DF097B"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DSO</w:t>
            </w:r>
          </w:p>
        </w:tc>
        <w:tc>
          <w:tcPr>
            <w:tcW w:w="1189" w:type="dxa"/>
            <w:tcBorders>
              <w:top w:val="single" w:sz="4" w:space="0" w:color="auto"/>
              <w:left w:val="single" w:sz="4" w:space="0" w:color="auto"/>
              <w:bottom w:val="single" w:sz="4" w:space="0" w:color="auto"/>
              <w:right w:val="single" w:sz="4" w:space="0" w:color="auto"/>
            </w:tcBorders>
            <w:vAlign w:val="center"/>
            <w:hideMark/>
          </w:tcPr>
          <w:p w14:paraId="717BAD37"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TSO - DSO</w:t>
            </w:r>
          </w:p>
        </w:tc>
        <w:tc>
          <w:tcPr>
            <w:tcW w:w="1369" w:type="dxa"/>
            <w:tcBorders>
              <w:top w:val="single" w:sz="4" w:space="0" w:color="auto"/>
              <w:left w:val="single" w:sz="4" w:space="0" w:color="auto"/>
              <w:bottom w:val="single" w:sz="4" w:space="0" w:color="auto"/>
              <w:right w:val="single" w:sz="4" w:space="0" w:color="auto"/>
            </w:tcBorders>
            <w:vAlign w:val="center"/>
            <w:hideMark/>
          </w:tcPr>
          <w:p w14:paraId="30B108CC" w14:textId="77777777" w:rsidR="00C24DC2" w:rsidRPr="00D61480" w:rsidRDefault="00C24DC2">
            <w:pPr>
              <w:jc w:val="center"/>
              <w:rPr>
                <w:rFonts w:ascii="Arial" w:hAnsi="Arial"/>
                <w:sz w:val="18"/>
                <w:szCs w:val="18"/>
                <w:lang w:val="es-CO"/>
              </w:rPr>
            </w:pPr>
            <w:r w:rsidRPr="00D61480">
              <w:rPr>
                <w:rFonts w:ascii="Arial" w:hAnsi="Arial"/>
                <w:sz w:val="18"/>
                <w:szCs w:val="18"/>
                <w:lang w:val="es-CO"/>
              </w:rPr>
              <w:t>DSO</w:t>
            </w:r>
          </w:p>
        </w:tc>
      </w:tr>
    </w:tbl>
    <w:p w14:paraId="5141E8A4" w14:textId="77777777" w:rsidR="00C24DC2" w:rsidRPr="00D61480" w:rsidRDefault="00C24DC2" w:rsidP="00C24DC2">
      <w:pPr>
        <w:jc w:val="center"/>
        <w:rPr>
          <w:rFonts w:ascii="Arial" w:hAnsi="Arial"/>
          <w:sz w:val="16"/>
          <w:szCs w:val="16"/>
          <w:lang w:val="es-CO" w:eastAsia="en-US"/>
        </w:rPr>
      </w:pPr>
      <w:r w:rsidRPr="00D61480">
        <w:rPr>
          <w:rFonts w:ascii="Arial" w:hAnsi="Arial"/>
          <w:sz w:val="16"/>
          <w:szCs w:val="16"/>
        </w:rPr>
        <w:t>Tabla 3. Roles del TSO y el DSO</w:t>
      </w:r>
    </w:p>
    <w:p w14:paraId="6886AA7A" w14:textId="77777777" w:rsidR="00C24DC2" w:rsidRPr="00D61480" w:rsidRDefault="00C24DC2" w:rsidP="00C24DC2">
      <w:pPr>
        <w:jc w:val="center"/>
        <w:rPr>
          <w:rFonts w:ascii="Arial" w:hAnsi="Arial"/>
          <w:sz w:val="16"/>
          <w:szCs w:val="16"/>
        </w:rPr>
      </w:pPr>
      <w:r w:rsidRPr="00D61480">
        <w:rPr>
          <w:rFonts w:ascii="Arial" w:hAnsi="Arial"/>
          <w:sz w:val="16"/>
          <w:szCs w:val="16"/>
        </w:rPr>
        <w:t>Fuente: Colombia inteligente, 2020</w:t>
      </w:r>
    </w:p>
    <w:p w14:paraId="1146EE6D" w14:textId="77777777" w:rsidR="00C24DC2" w:rsidRPr="00D61480" w:rsidRDefault="00C24DC2" w:rsidP="00C24DC2">
      <w:pPr>
        <w:rPr>
          <w:rFonts w:ascii="Arial" w:hAnsi="Arial"/>
          <w:sz w:val="20"/>
          <w:szCs w:val="20"/>
        </w:rPr>
      </w:pPr>
    </w:p>
    <w:p w14:paraId="4C71A42E" w14:textId="0C219308" w:rsidR="00C24DC2" w:rsidRPr="00D61480" w:rsidRDefault="0051141E" w:rsidP="00C24DC2">
      <w:pPr>
        <w:rPr>
          <w:rFonts w:ascii="Arial" w:hAnsi="Arial"/>
          <w:sz w:val="20"/>
          <w:szCs w:val="20"/>
        </w:rPr>
      </w:pPr>
      <w:r w:rsidRPr="00D61480">
        <w:rPr>
          <w:rFonts w:ascii="Arial" w:hAnsi="Arial"/>
          <w:sz w:val="20"/>
          <w:szCs w:val="20"/>
        </w:rPr>
        <w:t xml:space="preserve">Asimismo, se debe entender </w:t>
      </w:r>
      <w:r w:rsidR="00C24DC2" w:rsidRPr="00D61480">
        <w:rPr>
          <w:rFonts w:ascii="Arial" w:hAnsi="Arial"/>
          <w:sz w:val="20"/>
          <w:szCs w:val="20"/>
        </w:rPr>
        <w:t>que la viabilidad y la flexibilidad son conceptos distintos</w:t>
      </w:r>
      <w:r w:rsidRPr="00D61480">
        <w:rPr>
          <w:rFonts w:ascii="Arial" w:hAnsi="Arial"/>
          <w:sz w:val="20"/>
          <w:szCs w:val="20"/>
        </w:rPr>
        <w:t xml:space="preserve"> respecto a las VPP</w:t>
      </w:r>
      <w:r w:rsidR="00C24DC2" w:rsidRPr="00D61480">
        <w:rPr>
          <w:rFonts w:ascii="Arial" w:hAnsi="Arial"/>
          <w:sz w:val="20"/>
          <w:szCs w:val="20"/>
        </w:rPr>
        <w:t xml:space="preserve">, y ofrecen información diferente y útil para </w:t>
      </w:r>
      <w:r w:rsidRPr="00D61480">
        <w:rPr>
          <w:rFonts w:ascii="Arial" w:hAnsi="Arial"/>
          <w:sz w:val="20"/>
          <w:szCs w:val="20"/>
        </w:rPr>
        <w:t>su despacho</w:t>
      </w:r>
      <w:r w:rsidR="00C24DC2" w:rsidRPr="00D61480">
        <w:rPr>
          <w:rFonts w:ascii="Arial" w:hAnsi="Arial"/>
          <w:sz w:val="20"/>
          <w:szCs w:val="20"/>
        </w:rPr>
        <w:t xml:space="preserve"> y los servicios de Soporte a la red. L</w:t>
      </w:r>
      <w:r w:rsidRPr="00D61480">
        <w:rPr>
          <w:rFonts w:ascii="Arial" w:hAnsi="Arial"/>
          <w:sz w:val="20"/>
          <w:szCs w:val="20"/>
        </w:rPr>
        <w:t>a</w:t>
      </w:r>
      <w:r w:rsidR="00C24DC2" w:rsidRPr="00D61480">
        <w:rPr>
          <w:rFonts w:ascii="Arial" w:hAnsi="Arial"/>
          <w:sz w:val="20"/>
          <w:szCs w:val="20"/>
        </w:rPr>
        <w:t>s VPP tendrán un impacto importante en la red de distribución e incentivarán la participación de la demanda</w:t>
      </w:r>
      <w:r w:rsidRPr="00D61480">
        <w:rPr>
          <w:rFonts w:ascii="Arial" w:hAnsi="Arial"/>
          <w:sz w:val="20"/>
          <w:szCs w:val="20"/>
        </w:rPr>
        <w:t xml:space="preserve">. </w:t>
      </w:r>
      <w:r w:rsidR="00C24DC2" w:rsidRPr="00D61480">
        <w:rPr>
          <w:rFonts w:ascii="Arial" w:hAnsi="Arial"/>
          <w:sz w:val="20"/>
          <w:szCs w:val="20"/>
        </w:rPr>
        <w:t xml:space="preserve">La viabilidad de operación de las VPP está caracterizada por la curva de capacidad PQ (ver Figura </w:t>
      </w:r>
      <w:r w:rsidRPr="00D61480">
        <w:rPr>
          <w:rFonts w:ascii="Arial" w:hAnsi="Arial"/>
          <w:sz w:val="20"/>
          <w:szCs w:val="20"/>
        </w:rPr>
        <w:t>9</w:t>
      </w:r>
      <w:r w:rsidR="00C24DC2" w:rsidRPr="00D61480">
        <w:rPr>
          <w:rFonts w:ascii="Arial" w:hAnsi="Arial"/>
          <w:sz w:val="20"/>
          <w:szCs w:val="20"/>
        </w:rPr>
        <w:t>), mientras que la flexibilidad cuantifica el potencial para participar en FCAS (</w:t>
      </w:r>
      <w:proofErr w:type="spellStart"/>
      <w:r w:rsidR="00C24DC2" w:rsidRPr="00D61480">
        <w:rPr>
          <w:rFonts w:ascii="Arial" w:hAnsi="Arial"/>
          <w:i/>
          <w:iCs/>
          <w:sz w:val="20"/>
          <w:szCs w:val="20"/>
        </w:rPr>
        <w:t>Frecuency</w:t>
      </w:r>
      <w:proofErr w:type="spellEnd"/>
      <w:r w:rsidR="00C24DC2" w:rsidRPr="00D61480">
        <w:rPr>
          <w:rFonts w:ascii="Arial" w:hAnsi="Arial"/>
          <w:i/>
          <w:iCs/>
          <w:sz w:val="20"/>
          <w:szCs w:val="20"/>
        </w:rPr>
        <w:t xml:space="preserve"> Control </w:t>
      </w:r>
      <w:proofErr w:type="spellStart"/>
      <w:r w:rsidR="00C24DC2" w:rsidRPr="00D61480">
        <w:rPr>
          <w:rFonts w:ascii="Arial" w:hAnsi="Arial"/>
          <w:i/>
          <w:iCs/>
          <w:sz w:val="20"/>
          <w:szCs w:val="20"/>
        </w:rPr>
        <w:t>Ancilliary</w:t>
      </w:r>
      <w:proofErr w:type="spellEnd"/>
      <w:r w:rsidR="00C24DC2" w:rsidRPr="00D61480">
        <w:rPr>
          <w:rFonts w:ascii="Arial" w:hAnsi="Arial"/>
          <w:i/>
          <w:iCs/>
          <w:sz w:val="20"/>
          <w:szCs w:val="20"/>
        </w:rPr>
        <w:t xml:space="preserve"> </w:t>
      </w:r>
      <w:proofErr w:type="spellStart"/>
      <w:r w:rsidR="00C24DC2" w:rsidRPr="00D61480">
        <w:rPr>
          <w:rFonts w:ascii="Arial" w:hAnsi="Arial"/>
          <w:i/>
          <w:iCs/>
          <w:sz w:val="20"/>
          <w:szCs w:val="20"/>
        </w:rPr>
        <w:t>Services</w:t>
      </w:r>
      <w:proofErr w:type="spellEnd"/>
      <w:r w:rsidR="00C24DC2" w:rsidRPr="00D61480">
        <w:rPr>
          <w:rFonts w:ascii="Arial" w:hAnsi="Arial"/>
          <w:sz w:val="20"/>
          <w:szCs w:val="20"/>
        </w:rPr>
        <w:t>) desde un punto de despacho. Se ha demostrado que a medida que crece la cantidad de DER se incrementa el potencial de la</w:t>
      </w:r>
      <w:r w:rsidRPr="00D61480">
        <w:rPr>
          <w:rFonts w:ascii="Arial" w:hAnsi="Arial"/>
          <w:sz w:val="20"/>
          <w:szCs w:val="20"/>
        </w:rPr>
        <w:t>s</w:t>
      </w:r>
      <w:r w:rsidR="00C24DC2" w:rsidRPr="00D61480">
        <w:rPr>
          <w:rFonts w:ascii="Arial" w:hAnsi="Arial"/>
          <w:sz w:val="20"/>
          <w:szCs w:val="20"/>
        </w:rPr>
        <w:t xml:space="preserve"> VPP. La topología de la red introduce restricciones importantes de localización, por lo tanto, se debe tener cuidado sobre cómo optimizar la localización de los DER para viabilizar la generación de valor de la</w:t>
      </w:r>
      <w:r w:rsidRPr="00D61480">
        <w:rPr>
          <w:rFonts w:ascii="Arial" w:hAnsi="Arial"/>
          <w:sz w:val="20"/>
          <w:szCs w:val="20"/>
        </w:rPr>
        <w:t>s</w:t>
      </w:r>
      <w:r w:rsidR="00C24DC2" w:rsidRPr="00D61480">
        <w:rPr>
          <w:rFonts w:ascii="Arial" w:hAnsi="Arial"/>
          <w:sz w:val="20"/>
          <w:szCs w:val="20"/>
        </w:rPr>
        <w:t xml:space="preserve"> VPP.</w:t>
      </w:r>
    </w:p>
    <w:p w14:paraId="3EB454B9" w14:textId="41FFC991" w:rsidR="00C24DC2" w:rsidRPr="00D61480" w:rsidRDefault="00C24DC2" w:rsidP="00C24DC2">
      <w:pPr>
        <w:jc w:val="center"/>
        <w:rPr>
          <w:rFonts w:ascii="Arial" w:hAnsi="Arial"/>
          <w:sz w:val="20"/>
          <w:szCs w:val="20"/>
        </w:rPr>
      </w:pPr>
      <w:r w:rsidRPr="00D61480">
        <w:rPr>
          <w:rFonts w:ascii="Arial" w:hAnsi="Arial"/>
          <w:noProof/>
          <w:sz w:val="20"/>
          <w:szCs w:val="20"/>
        </w:rPr>
        <w:drawing>
          <wp:inline distT="0" distB="0" distL="0" distR="0" wp14:anchorId="34152502" wp14:editId="5E4CC3C8">
            <wp:extent cx="5434965" cy="22701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4965" cy="2270125"/>
                    </a:xfrm>
                    <a:prstGeom prst="rect">
                      <a:avLst/>
                    </a:prstGeom>
                    <a:noFill/>
                    <a:ln>
                      <a:noFill/>
                    </a:ln>
                  </pic:spPr>
                </pic:pic>
              </a:graphicData>
            </a:graphic>
          </wp:inline>
        </w:drawing>
      </w:r>
    </w:p>
    <w:p w14:paraId="27231925" w14:textId="63B5CB83" w:rsidR="00C24DC2" w:rsidRPr="00D61480" w:rsidRDefault="00C24DC2" w:rsidP="00C24DC2">
      <w:pPr>
        <w:jc w:val="center"/>
        <w:rPr>
          <w:rFonts w:ascii="Arial" w:hAnsi="Arial"/>
          <w:sz w:val="16"/>
          <w:szCs w:val="16"/>
        </w:rPr>
      </w:pPr>
      <w:r w:rsidRPr="00D61480">
        <w:rPr>
          <w:rFonts w:ascii="Arial" w:hAnsi="Arial"/>
          <w:sz w:val="16"/>
          <w:szCs w:val="16"/>
        </w:rPr>
        <w:t>Figura 9. Región de viabilidad de la VPP</w:t>
      </w:r>
    </w:p>
    <w:p w14:paraId="0888756A" w14:textId="77777777" w:rsidR="00C24DC2" w:rsidRPr="00D61480" w:rsidRDefault="00C24DC2" w:rsidP="00C24DC2">
      <w:pPr>
        <w:jc w:val="center"/>
        <w:rPr>
          <w:rFonts w:ascii="Arial" w:hAnsi="Arial"/>
          <w:sz w:val="16"/>
          <w:szCs w:val="16"/>
        </w:rPr>
      </w:pPr>
      <w:r w:rsidRPr="00D61480">
        <w:rPr>
          <w:rFonts w:ascii="Arial" w:hAnsi="Arial"/>
          <w:sz w:val="16"/>
          <w:szCs w:val="16"/>
        </w:rPr>
        <w:t>Fuente: Universidad de Melbourne, 2019</w:t>
      </w:r>
    </w:p>
    <w:p w14:paraId="760D163B" w14:textId="77777777" w:rsidR="00C24DC2" w:rsidRPr="00D61480" w:rsidRDefault="00C24DC2" w:rsidP="00C24DC2">
      <w:pPr>
        <w:rPr>
          <w:rFonts w:ascii="Arial" w:hAnsi="Arial"/>
          <w:sz w:val="20"/>
          <w:szCs w:val="20"/>
        </w:rPr>
      </w:pPr>
    </w:p>
    <w:p w14:paraId="6F1AD482" w14:textId="1AD019B0" w:rsidR="00C24DC2" w:rsidRPr="00D61480" w:rsidRDefault="00C24DC2" w:rsidP="00C24DC2">
      <w:pPr>
        <w:rPr>
          <w:rFonts w:ascii="Arial" w:hAnsi="Arial"/>
          <w:sz w:val="20"/>
          <w:szCs w:val="20"/>
        </w:rPr>
      </w:pPr>
      <w:r w:rsidRPr="00D61480">
        <w:rPr>
          <w:rFonts w:ascii="Arial" w:hAnsi="Arial"/>
          <w:sz w:val="20"/>
          <w:szCs w:val="20"/>
        </w:rPr>
        <w:lastRenderedPageBreak/>
        <w:t>Es una realidad que la nueva arquitectura, servicios y funciones de los sistemas eléctricos han evolucionado</w:t>
      </w:r>
      <w:r w:rsidR="0051141E" w:rsidRPr="00D61480">
        <w:rPr>
          <w:rFonts w:ascii="Arial" w:hAnsi="Arial"/>
          <w:sz w:val="20"/>
          <w:szCs w:val="20"/>
        </w:rPr>
        <w:t>, permitiendo l</w:t>
      </w:r>
      <w:r w:rsidRPr="00D61480">
        <w:rPr>
          <w:rFonts w:ascii="Arial" w:hAnsi="Arial"/>
          <w:sz w:val="20"/>
          <w:szCs w:val="20"/>
        </w:rPr>
        <w:t>a interacción de nuevos actores</w:t>
      </w:r>
      <w:r w:rsidR="0051141E" w:rsidRPr="00D61480">
        <w:rPr>
          <w:rFonts w:ascii="Arial" w:hAnsi="Arial"/>
          <w:sz w:val="20"/>
          <w:szCs w:val="20"/>
        </w:rPr>
        <w:t>,</w:t>
      </w:r>
      <w:r w:rsidRPr="00D61480">
        <w:rPr>
          <w:rFonts w:ascii="Arial" w:hAnsi="Arial"/>
          <w:sz w:val="20"/>
          <w:szCs w:val="20"/>
        </w:rPr>
        <w:t xml:space="preserve"> que intercambiarán información bajo estándares</w:t>
      </w:r>
      <w:r w:rsidR="0051141E" w:rsidRPr="00D61480">
        <w:rPr>
          <w:rFonts w:ascii="Arial" w:hAnsi="Arial"/>
          <w:sz w:val="20"/>
          <w:szCs w:val="20"/>
        </w:rPr>
        <w:t xml:space="preserve"> específicos</w:t>
      </w:r>
      <w:r w:rsidRPr="00D61480">
        <w:rPr>
          <w:rFonts w:ascii="Arial" w:hAnsi="Arial"/>
          <w:sz w:val="20"/>
          <w:szCs w:val="20"/>
        </w:rPr>
        <w:t>. Todo esto, a nivel internacional, en un proceso de aprendizaje</w:t>
      </w:r>
      <w:r w:rsidR="00E32701" w:rsidRPr="00D61480">
        <w:rPr>
          <w:rFonts w:ascii="Arial" w:hAnsi="Arial"/>
          <w:sz w:val="20"/>
          <w:szCs w:val="20"/>
        </w:rPr>
        <w:t>,</w:t>
      </w:r>
      <w:r w:rsidRPr="00D61480">
        <w:rPr>
          <w:rFonts w:ascii="Arial" w:hAnsi="Arial"/>
          <w:sz w:val="20"/>
          <w:szCs w:val="20"/>
        </w:rPr>
        <w:t xml:space="preserve"> donde se sugieren llevar modelos y metodologías de forma evolutiva. De acuerdo con (EA </w:t>
      </w:r>
      <w:proofErr w:type="spellStart"/>
      <w:r w:rsidRPr="00D61480">
        <w:rPr>
          <w:rFonts w:ascii="Arial" w:hAnsi="Arial"/>
          <w:sz w:val="20"/>
          <w:szCs w:val="20"/>
        </w:rPr>
        <w:t>Technology</w:t>
      </w:r>
      <w:proofErr w:type="spellEnd"/>
      <w:r w:rsidRPr="00D61480">
        <w:rPr>
          <w:rFonts w:ascii="Arial" w:hAnsi="Arial"/>
          <w:sz w:val="20"/>
          <w:szCs w:val="20"/>
        </w:rPr>
        <w:t xml:space="preserve">, 2019), se sugiere una metodología a partir de casos de uso para implementar el modelo de arquitectura Smart </w:t>
      </w:r>
      <w:proofErr w:type="spellStart"/>
      <w:r w:rsidRPr="00D61480">
        <w:rPr>
          <w:rFonts w:ascii="Arial" w:hAnsi="Arial"/>
          <w:sz w:val="20"/>
          <w:szCs w:val="20"/>
        </w:rPr>
        <w:t>Grid</w:t>
      </w:r>
      <w:proofErr w:type="spellEnd"/>
      <w:r w:rsidRPr="00D61480">
        <w:rPr>
          <w:rFonts w:ascii="Arial" w:hAnsi="Arial"/>
          <w:sz w:val="20"/>
          <w:szCs w:val="20"/>
        </w:rPr>
        <w:t xml:space="preserve"> (SGAM), dicha metodología contiene dos etapas:</w:t>
      </w:r>
    </w:p>
    <w:p w14:paraId="735781D3" w14:textId="77777777" w:rsidR="00C24DC2" w:rsidRPr="00D61480" w:rsidRDefault="00C24DC2" w:rsidP="00C24DC2">
      <w:pPr>
        <w:rPr>
          <w:rFonts w:ascii="Arial" w:hAnsi="Arial"/>
          <w:sz w:val="20"/>
          <w:szCs w:val="20"/>
        </w:rPr>
      </w:pPr>
    </w:p>
    <w:p w14:paraId="7F1C6C91" w14:textId="77777777" w:rsidR="00C24DC2" w:rsidRPr="00D61480" w:rsidRDefault="00C24DC2" w:rsidP="004E0B95">
      <w:pPr>
        <w:pStyle w:val="Prrafodelista"/>
        <w:numPr>
          <w:ilvl w:val="0"/>
          <w:numId w:val="19"/>
        </w:numPr>
        <w:spacing w:line="256" w:lineRule="auto"/>
        <w:rPr>
          <w:rFonts w:ascii="Arial" w:hAnsi="Arial"/>
          <w:sz w:val="20"/>
          <w:szCs w:val="20"/>
        </w:rPr>
      </w:pPr>
      <w:r w:rsidRPr="00D61480">
        <w:rPr>
          <w:rFonts w:ascii="Arial" w:hAnsi="Arial"/>
          <w:sz w:val="20"/>
          <w:szCs w:val="20"/>
        </w:rPr>
        <w:t>Análisis del sistema. Se define el alcance y los objetivos del sistema de interés y sus requerimientos funcionales, enfocándose en las especificaciones funcionales en vez de la solución técnica.</w:t>
      </w:r>
    </w:p>
    <w:p w14:paraId="1D4C6CEC" w14:textId="77777777" w:rsidR="00E32701" w:rsidRPr="00D61480" w:rsidRDefault="00E32701" w:rsidP="00E32701">
      <w:pPr>
        <w:pStyle w:val="Prrafodelista"/>
        <w:spacing w:line="256" w:lineRule="auto"/>
        <w:ind w:left="360"/>
        <w:rPr>
          <w:rFonts w:ascii="Arial" w:hAnsi="Arial"/>
          <w:sz w:val="20"/>
          <w:szCs w:val="20"/>
        </w:rPr>
      </w:pPr>
    </w:p>
    <w:p w14:paraId="007DECB1" w14:textId="3C763141" w:rsidR="00C24DC2" w:rsidRPr="00D61480" w:rsidRDefault="00C24DC2" w:rsidP="004E0B95">
      <w:pPr>
        <w:pStyle w:val="Prrafodelista"/>
        <w:numPr>
          <w:ilvl w:val="0"/>
          <w:numId w:val="19"/>
        </w:numPr>
        <w:spacing w:line="256" w:lineRule="auto"/>
        <w:rPr>
          <w:rFonts w:ascii="Arial" w:hAnsi="Arial"/>
          <w:sz w:val="20"/>
          <w:szCs w:val="20"/>
        </w:rPr>
      </w:pPr>
      <w:r w:rsidRPr="00D61480">
        <w:rPr>
          <w:rFonts w:ascii="Arial" w:hAnsi="Arial"/>
          <w:sz w:val="20"/>
          <w:szCs w:val="20"/>
        </w:rPr>
        <w:t>Análisis de arquitectura. Se mapean los requerimientos funcionales del sistema en una arquitectura de alto nivel, describiendo los principales subsistemas y sus interacciones sin detallar su composición interna.</w:t>
      </w:r>
    </w:p>
    <w:p w14:paraId="11074DE7" w14:textId="2099CD99" w:rsidR="00F544BA" w:rsidRPr="00D61480" w:rsidRDefault="00F544BA" w:rsidP="00685308">
      <w:pPr>
        <w:pStyle w:val="Enelcorpodeltesto"/>
        <w:contextualSpacing/>
        <w:outlineLvl w:val="0"/>
        <w:rPr>
          <w:rFonts w:ascii="Arial" w:hAnsi="Arial" w:cs="Arial"/>
          <w:bCs/>
          <w:sz w:val="20"/>
          <w:szCs w:val="20"/>
          <w:lang w:val="es-CO" w:eastAsia="es-ES"/>
        </w:rPr>
      </w:pPr>
    </w:p>
    <w:p w14:paraId="23ABCFD9" w14:textId="17A88617" w:rsidR="00696245" w:rsidRPr="00D61480" w:rsidRDefault="00696245" w:rsidP="00696245">
      <w:pPr>
        <w:pStyle w:val="Enelcorpodeltesto"/>
        <w:numPr>
          <w:ilvl w:val="0"/>
          <w:numId w:val="12"/>
        </w:numPr>
        <w:contextualSpacing/>
        <w:outlineLvl w:val="0"/>
        <w:rPr>
          <w:rFonts w:ascii="Arial" w:hAnsi="Arial" w:cs="Arial"/>
          <w:b/>
          <w:sz w:val="20"/>
          <w:szCs w:val="20"/>
          <w:lang w:val="es-CO" w:eastAsia="es-ES"/>
        </w:rPr>
      </w:pPr>
      <w:bookmarkStart w:id="6" w:name="_Toc52213531"/>
      <w:r w:rsidRPr="00D61480">
        <w:rPr>
          <w:rFonts w:ascii="Arial" w:hAnsi="Arial" w:cs="Arial"/>
          <w:b/>
          <w:sz w:val="20"/>
          <w:szCs w:val="20"/>
          <w:lang w:val="es-CO" w:eastAsia="es-ES"/>
        </w:rPr>
        <w:t>Aspectos de Supervisión y Ciberseguridad</w:t>
      </w:r>
      <w:bookmarkEnd w:id="6"/>
      <w:r w:rsidRPr="00D61480">
        <w:rPr>
          <w:rFonts w:ascii="Arial" w:hAnsi="Arial" w:cs="Arial"/>
          <w:b/>
          <w:sz w:val="20"/>
          <w:szCs w:val="20"/>
          <w:lang w:val="es-CO" w:eastAsia="es-ES"/>
        </w:rPr>
        <w:t xml:space="preserve">. </w:t>
      </w:r>
    </w:p>
    <w:p w14:paraId="1151896F" w14:textId="77777777" w:rsidR="00696245" w:rsidRPr="00D61480" w:rsidRDefault="00696245" w:rsidP="00696245">
      <w:pPr>
        <w:rPr>
          <w:rFonts w:eastAsiaTheme="minorHAnsi"/>
          <w:sz w:val="22"/>
          <w:szCs w:val="22"/>
        </w:rPr>
      </w:pPr>
    </w:p>
    <w:p w14:paraId="00121363" w14:textId="77777777" w:rsidR="00696245" w:rsidRPr="00D61480" w:rsidRDefault="00696245" w:rsidP="00696245">
      <w:pPr>
        <w:rPr>
          <w:rFonts w:ascii="Arial" w:hAnsi="Arial"/>
          <w:sz w:val="20"/>
          <w:szCs w:val="20"/>
        </w:rPr>
      </w:pPr>
      <w:r w:rsidRPr="00D61480">
        <w:rPr>
          <w:rFonts w:ascii="Arial" w:hAnsi="Arial"/>
          <w:sz w:val="20"/>
          <w:szCs w:val="20"/>
        </w:rPr>
        <w:t>En el siguiente capítulo se describen los requerimientos a nivel de la operación de los sistemas de distribución, la ciberseguridad y las redes de comunicación para soportar la prestación confiable y con calidad el servicio de energía eléctrica a costos eficientes.</w:t>
      </w:r>
    </w:p>
    <w:p w14:paraId="507E68F2" w14:textId="77777777" w:rsidR="00696245" w:rsidRPr="00D61480" w:rsidRDefault="00696245" w:rsidP="00696245">
      <w:pPr>
        <w:rPr>
          <w:rFonts w:asciiTheme="minorHAnsi" w:hAnsiTheme="minorHAnsi" w:cstheme="minorBidi"/>
          <w:sz w:val="22"/>
          <w:szCs w:val="22"/>
        </w:rPr>
      </w:pPr>
    </w:p>
    <w:p w14:paraId="1C8CFDA9" w14:textId="6C2C238B" w:rsidR="00696245" w:rsidRPr="00D61480" w:rsidRDefault="00696245" w:rsidP="00696245">
      <w:pPr>
        <w:pStyle w:val="Ttulo2"/>
        <w:numPr>
          <w:ilvl w:val="1"/>
          <w:numId w:val="12"/>
        </w:numPr>
        <w:jc w:val="both"/>
        <w:rPr>
          <w:rFonts w:ascii="Arial" w:hAnsi="Arial"/>
          <w:sz w:val="20"/>
          <w:szCs w:val="20"/>
        </w:rPr>
      </w:pPr>
      <w:bookmarkStart w:id="7" w:name="_Toc52213532"/>
      <w:r w:rsidRPr="00D61480">
        <w:rPr>
          <w:rFonts w:ascii="Arial" w:hAnsi="Arial"/>
          <w:sz w:val="20"/>
          <w:szCs w:val="20"/>
        </w:rPr>
        <w:t>Operación del sistema de distribución</w:t>
      </w:r>
      <w:bookmarkEnd w:id="7"/>
      <w:r w:rsidRPr="00D61480">
        <w:rPr>
          <w:rFonts w:ascii="Arial" w:hAnsi="Arial"/>
          <w:sz w:val="20"/>
          <w:szCs w:val="20"/>
        </w:rPr>
        <w:t>.</w:t>
      </w:r>
    </w:p>
    <w:p w14:paraId="07628EE7" w14:textId="77777777" w:rsidR="00696245" w:rsidRPr="00D61480" w:rsidRDefault="00696245" w:rsidP="00696245">
      <w:pPr>
        <w:rPr>
          <w:rFonts w:ascii="Arial" w:hAnsi="Arial"/>
          <w:sz w:val="20"/>
          <w:szCs w:val="20"/>
        </w:rPr>
      </w:pPr>
    </w:p>
    <w:p w14:paraId="61DC89FE" w14:textId="6E2B5570" w:rsidR="00696245" w:rsidRPr="00D61480" w:rsidRDefault="00696245" w:rsidP="00696245">
      <w:r w:rsidRPr="00D61480">
        <w:rPr>
          <w:rFonts w:ascii="Arial" w:hAnsi="Arial"/>
          <w:sz w:val="20"/>
          <w:szCs w:val="20"/>
        </w:rPr>
        <w:t>De acuerdo con los referentes, investigaciones, prospectiva y proyectos de I+D+i que están desarrollando las empresas del sector, se resume la nueva concepción de operador de red para la planeación, desarrollo y O&amp;M de la red de distribución, la cual será la más impactada por la introducción de los DER (solar, eólica, entre otros).</w:t>
      </w:r>
    </w:p>
    <w:p w14:paraId="64A6B927" w14:textId="77777777" w:rsidR="00696245" w:rsidRPr="00D61480" w:rsidRDefault="00696245" w:rsidP="00696245">
      <w:pPr>
        <w:rPr>
          <w:rFonts w:ascii="Arial" w:hAnsi="Arial"/>
          <w:sz w:val="20"/>
          <w:szCs w:val="20"/>
        </w:rPr>
      </w:pPr>
    </w:p>
    <w:p w14:paraId="6B19EBE0" w14:textId="46020968" w:rsidR="00696245" w:rsidRPr="00D61480" w:rsidRDefault="00696245" w:rsidP="00696245">
      <w:pPr>
        <w:rPr>
          <w:rFonts w:ascii="Arial" w:hAnsi="Arial"/>
          <w:sz w:val="20"/>
          <w:szCs w:val="20"/>
        </w:rPr>
      </w:pPr>
      <w:r w:rsidRPr="00D61480">
        <w:rPr>
          <w:rFonts w:ascii="Arial" w:hAnsi="Arial"/>
          <w:sz w:val="20"/>
          <w:szCs w:val="20"/>
        </w:rPr>
        <w:t>La Misión de Transformación en la versión final del foco 3 establece una hoja de ruta para consolidar el nuevo rol del DSO, y recomienda:</w:t>
      </w:r>
    </w:p>
    <w:p w14:paraId="5C7AE0FE" w14:textId="77777777" w:rsidR="00696245" w:rsidRPr="00D61480" w:rsidRDefault="00696245" w:rsidP="00696245">
      <w:pPr>
        <w:rPr>
          <w:rFonts w:ascii="Arial" w:hAnsi="Arial"/>
          <w:sz w:val="20"/>
          <w:szCs w:val="20"/>
        </w:rPr>
      </w:pPr>
    </w:p>
    <w:p w14:paraId="4E7F3629" w14:textId="77777777" w:rsidR="00696245" w:rsidRPr="00D61480" w:rsidRDefault="00696245" w:rsidP="004E0B95">
      <w:pPr>
        <w:pStyle w:val="Prrafodelista"/>
        <w:numPr>
          <w:ilvl w:val="0"/>
          <w:numId w:val="35"/>
        </w:numPr>
        <w:spacing w:line="256" w:lineRule="auto"/>
        <w:rPr>
          <w:rFonts w:ascii="Arial" w:hAnsi="Arial"/>
          <w:sz w:val="20"/>
          <w:szCs w:val="20"/>
        </w:rPr>
      </w:pPr>
      <w:r w:rsidRPr="00D61480">
        <w:rPr>
          <w:rFonts w:ascii="Arial" w:hAnsi="Arial"/>
          <w:b/>
          <w:bCs/>
          <w:sz w:val="20"/>
          <w:szCs w:val="20"/>
        </w:rPr>
        <w:t>Control:</w:t>
      </w:r>
      <w:r w:rsidRPr="00D61480">
        <w:rPr>
          <w:rFonts w:ascii="Arial" w:hAnsi="Arial"/>
          <w:sz w:val="20"/>
          <w:szCs w:val="20"/>
        </w:rPr>
        <w:t xml:space="preserve"> llegar a un esquema de Control híbrido descentralizado. En este, no existen jerarquías entre CND y CCL o CLD, aunque en eventos extremos, la red del SDL estaría supeditada al CND.</w:t>
      </w:r>
    </w:p>
    <w:p w14:paraId="1885B55A" w14:textId="77777777" w:rsidR="00696245" w:rsidRPr="00D61480" w:rsidRDefault="00696245" w:rsidP="00696245">
      <w:pPr>
        <w:pStyle w:val="Prrafodelista"/>
        <w:spacing w:line="256" w:lineRule="auto"/>
        <w:ind w:left="502"/>
        <w:rPr>
          <w:rFonts w:ascii="Arial" w:hAnsi="Arial"/>
          <w:sz w:val="20"/>
          <w:szCs w:val="20"/>
        </w:rPr>
      </w:pPr>
    </w:p>
    <w:p w14:paraId="7F318BB0" w14:textId="014D9625" w:rsidR="00696245" w:rsidRPr="00D61480" w:rsidRDefault="00696245" w:rsidP="004E0B95">
      <w:pPr>
        <w:pStyle w:val="Prrafodelista"/>
        <w:numPr>
          <w:ilvl w:val="0"/>
          <w:numId w:val="35"/>
        </w:numPr>
        <w:spacing w:line="256" w:lineRule="auto"/>
        <w:rPr>
          <w:rFonts w:ascii="Arial" w:hAnsi="Arial"/>
          <w:sz w:val="20"/>
          <w:szCs w:val="20"/>
        </w:rPr>
      </w:pPr>
      <w:r w:rsidRPr="00D61480">
        <w:rPr>
          <w:rFonts w:ascii="Arial" w:hAnsi="Arial"/>
          <w:b/>
          <w:bCs/>
          <w:sz w:val="20"/>
          <w:szCs w:val="20"/>
        </w:rPr>
        <w:t>Red:</w:t>
      </w:r>
      <w:r w:rsidRPr="00D61480">
        <w:rPr>
          <w:rFonts w:ascii="Arial" w:hAnsi="Arial"/>
          <w:sz w:val="20"/>
          <w:szCs w:val="20"/>
        </w:rPr>
        <w:t xml:space="preserve"> Automatización total con tecnología de punta e información completa, avanzando en forma evolutiva en tres etapas.</w:t>
      </w:r>
    </w:p>
    <w:p w14:paraId="2AC8CE5C" w14:textId="77777777" w:rsidR="00696245" w:rsidRPr="00D61480" w:rsidRDefault="00696245" w:rsidP="00696245">
      <w:pPr>
        <w:rPr>
          <w:rFonts w:ascii="Arial" w:hAnsi="Arial"/>
          <w:sz w:val="20"/>
          <w:szCs w:val="20"/>
        </w:rPr>
      </w:pPr>
    </w:p>
    <w:p w14:paraId="4099F3ED" w14:textId="1F9A07FD" w:rsidR="00696245" w:rsidRPr="00D61480" w:rsidRDefault="00696245" w:rsidP="00696245">
      <w:pPr>
        <w:rPr>
          <w:rFonts w:ascii="Arial" w:hAnsi="Arial"/>
          <w:sz w:val="20"/>
          <w:szCs w:val="20"/>
        </w:rPr>
      </w:pPr>
      <w:r w:rsidRPr="00D61480">
        <w:rPr>
          <w:rFonts w:ascii="Arial" w:hAnsi="Arial"/>
          <w:sz w:val="20"/>
          <w:szCs w:val="20"/>
        </w:rPr>
        <w:t xml:space="preserve">Se sugiere a la CREG tener en cuenta los análisis de los expertos de la Misión de Transformación en este tema y que, con independencia de los diseños de detalle y las etapas de transición, se defina una discusión amplia respecto de la evolución que va a requerir el sistema para incorporar recursos distribuidos en los STR y SDL. Por lo anterior, dada la complejidad del tema, el trabajo del CNO en este asunto no culmina necesariamente con la actividad que solicitó la Comisión. </w:t>
      </w:r>
    </w:p>
    <w:p w14:paraId="6D2F9473" w14:textId="77777777" w:rsidR="00696245" w:rsidRPr="00D61480" w:rsidRDefault="00696245" w:rsidP="00696245">
      <w:pPr>
        <w:rPr>
          <w:rFonts w:ascii="Arial" w:hAnsi="Arial"/>
          <w:sz w:val="20"/>
          <w:szCs w:val="20"/>
        </w:rPr>
      </w:pPr>
    </w:p>
    <w:p w14:paraId="555EF94F" w14:textId="4CA058B3" w:rsidR="00696245" w:rsidRPr="00D61480" w:rsidRDefault="00696245" w:rsidP="00696245">
      <w:pPr>
        <w:rPr>
          <w:rFonts w:ascii="Arial" w:hAnsi="Arial"/>
          <w:sz w:val="20"/>
          <w:szCs w:val="20"/>
        </w:rPr>
      </w:pPr>
      <w:r w:rsidRPr="00D61480">
        <w:rPr>
          <w:rFonts w:ascii="Arial" w:hAnsi="Arial"/>
          <w:sz w:val="20"/>
          <w:szCs w:val="20"/>
        </w:rPr>
        <w:t>A futuro se deben tener en cuenta los casos de uso de referencias nacionales e internacionales, los cuales contemplan cambios profundos en la institucionalidad, la operación de los sistemas y el rol de los participantes de las distintas actividades de la industria eléctrica. Los principales temas que deben analizarse son los siguientes (ENEL, 2020):</w:t>
      </w:r>
    </w:p>
    <w:p w14:paraId="378F3D84" w14:textId="77777777" w:rsidR="00696245" w:rsidRPr="00D61480" w:rsidRDefault="00696245" w:rsidP="00696245">
      <w:pPr>
        <w:rPr>
          <w:rFonts w:ascii="Arial" w:hAnsi="Arial"/>
          <w:sz w:val="20"/>
          <w:szCs w:val="20"/>
        </w:rPr>
      </w:pPr>
    </w:p>
    <w:p w14:paraId="0D37C76C" w14:textId="77777777" w:rsidR="00696245" w:rsidRPr="00D61480" w:rsidRDefault="00696245" w:rsidP="004E0B95">
      <w:pPr>
        <w:pStyle w:val="Prrafodelista"/>
        <w:numPr>
          <w:ilvl w:val="0"/>
          <w:numId w:val="27"/>
        </w:numPr>
        <w:spacing w:line="256" w:lineRule="auto"/>
        <w:ind w:left="360" w:hanging="218"/>
        <w:rPr>
          <w:rFonts w:ascii="Arial" w:hAnsi="Arial"/>
          <w:sz w:val="20"/>
          <w:szCs w:val="20"/>
        </w:rPr>
      </w:pPr>
      <w:r w:rsidRPr="00D61480">
        <w:rPr>
          <w:rFonts w:ascii="Arial" w:hAnsi="Arial"/>
          <w:sz w:val="20"/>
          <w:szCs w:val="20"/>
        </w:rPr>
        <w:t xml:space="preserve">Rol final del DSO. </w:t>
      </w:r>
    </w:p>
    <w:p w14:paraId="2FEA453D" w14:textId="59ACE8EB" w:rsidR="00696245" w:rsidRPr="00D61480" w:rsidRDefault="00696245" w:rsidP="004E0B95">
      <w:pPr>
        <w:pStyle w:val="Prrafodelista"/>
        <w:numPr>
          <w:ilvl w:val="0"/>
          <w:numId w:val="27"/>
        </w:numPr>
        <w:spacing w:line="256" w:lineRule="auto"/>
        <w:ind w:left="360" w:hanging="218"/>
        <w:rPr>
          <w:rFonts w:ascii="Arial" w:hAnsi="Arial"/>
          <w:sz w:val="20"/>
          <w:szCs w:val="20"/>
        </w:rPr>
      </w:pPr>
      <w:r w:rsidRPr="00D61480">
        <w:rPr>
          <w:rFonts w:ascii="Arial" w:hAnsi="Arial"/>
          <w:sz w:val="20"/>
          <w:szCs w:val="20"/>
        </w:rPr>
        <w:lastRenderedPageBreak/>
        <w:t>Transición u hoja de ruta para llegar al Rol final.</w:t>
      </w:r>
    </w:p>
    <w:p w14:paraId="39E9F521" w14:textId="77777777" w:rsidR="00696245" w:rsidRPr="00D61480" w:rsidRDefault="00696245" w:rsidP="00696245">
      <w:pPr>
        <w:pStyle w:val="Prrafodelista"/>
        <w:spacing w:line="256" w:lineRule="auto"/>
        <w:ind w:left="360"/>
        <w:rPr>
          <w:rFonts w:ascii="Arial" w:hAnsi="Arial"/>
          <w:sz w:val="20"/>
          <w:szCs w:val="20"/>
        </w:rPr>
      </w:pPr>
    </w:p>
    <w:p w14:paraId="496F082E" w14:textId="453268C4" w:rsidR="00696245" w:rsidRPr="00D61480" w:rsidRDefault="00696245" w:rsidP="004E0B95">
      <w:pPr>
        <w:pStyle w:val="Prrafodelista"/>
        <w:numPr>
          <w:ilvl w:val="0"/>
          <w:numId w:val="27"/>
        </w:numPr>
        <w:spacing w:line="256" w:lineRule="auto"/>
        <w:ind w:left="360" w:hanging="218"/>
        <w:rPr>
          <w:rFonts w:ascii="Arial" w:hAnsi="Arial"/>
          <w:sz w:val="20"/>
          <w:szCs w:val="20"/>
        </w:rPr>
      </w:pPr>
      <w:r w:rsidRPr="00D61480">
        <w:rPr>
          <w:rFonts w:ascii="Arial" w:hAnsi="Arial"/>
          <w:sz w:val="20"/>
          <w:szCs w:val="20"/>
        </w:rPr>
        <w:t>Perímetro de supervisión y control a cargo del futuro DSO.</w:t>
      </w:r>
    </w:p>
    <w:p w14:paraId="11CDB8E6" w14:textId="77777777" w:rsidR="00696245" w:rsidRPr="00D61480" w:rsidRDefault="00696245" w:rsidP="00696245">
      <w:pPr>
        <w:pStyle w:val="Prrafodelista"/>
        <w:spacing w:line="256" w:lineRule="auto"/>
        <w:ind w:left="360"/>
        <w:rPr>
          <w:rFonts w:ascii="Arial" w:hAnsi="Arial"/>
          <w:sz w:val="20"/>
          <w:szCs w:val="20"/>
        </w:rPr>
      </w:pPr>
    </w:p>
    <w:p w14:paraId="4399B071" w14:textId="5F6DC93B" w:rsidR="00696245" w:rsidRPr="00D61480" w:rsidRDefault="00696245" w:rsidP="004E0B95">
      <w:pPr>
        <w:pStyle w:val="Prrafodelista"/>
        <w:numPr>
          <w:ilvl w:val="0"/>
          <w:numId w:val="27"/>
        </w:numPr>
        <w:spacing w:line="256" w:lineRule="auto"/>
        <w:ind w:left="360" w:hanging="218"/>
        <w:rPr>
          <w:rFonts w:ascii="Arial" w:hAnsi="Arial"/>
          <w:sz w:val="20"/>
          <w:szCs w:val="20"/>
        </w:rPr>
      </w:pPr>
      <w:r w:rsidRPr="00D61480">
        <w:rPr>
          <w:rFonts w:ascii="Arial" w:hAnsi="Arial"/>
          <w:sz w:val="20"/>
          <w:szCs w:val="20"/>
        </w:rPr>
        <w:t>Servicios locales a cargo del DSO.</w:t>
      </w:r>
    </w:p>
    <w:p w14:paraId="1FC4D203" w14:textId="77777777" w:rsidR="00696245" w:rsidRPr="00D61480" w:rsidRDefault="00696245" w:rsidP="00696245">
      <w:pPr>
        <w:pStyle w:val="Prrafodelista"/>
        <w:spacing w:line="256" w:lineRule="auto"/>
        <w:ind w:left="360"/>
        <w:rPr>
          <w:rFonts w:ascii="Arial" w:hAnsi="Arial"/>
          <w:sz w:val="20"/>
          <w:szCs w:val="20"/>
        </w:rPr>
      </w:pPr>
    </w:p>
    <w:p w14:paraId="7A12AFD2" w14:textId="1C3B0894" w:rsidR="00696245" w:rsidRPr="00D61480" w:rsidRDefault="00696245" w:rsidP="004E0B95">
      <w:pPr>
        <w:pStyle w:val="Prrafodelista"/>
        <w:numPr>
          <w:ilvl w:val="0"/>
          <w:numId w:val="27"/>
        </w:numPr>
        <w:spacing w:line="256" w:lineRule="auto"/>
        <w:ind w:left="360" w:hanging="218"/>
        <w:rPr>
          <w:rFonts w:ascii="Arial" w:hAnsi="Arial"/>
          <w:sz w:val="20"/>
          <w:szCs w:val="20"/>
        </w:rPr>
      </w:pPr>
      <w:r w:rsidRPr="00D61480">
        <w:rPr>
          <w:rFonts w:ascii="Arial" w:hAnsi="Arial"/>
          <w:sz w:val="20"/>
          <w:szCs w:val="20"/>
        </w:rPr>
        <w:t>Servicios coordinados con el CND.</w:t>
      </w:r>
    </w:p>
    <w:p w14:paraId="39F00426" w14:textId="77777777" w:rsidR="00696245" w:rsidRPr="00D61480" w:rsidRDefault="00696245" w:rsidP="00696245">
      <w:pPr>
        <w:rPr>
          <w:rFonts w:ascii="Arial" w:hAnsi="Arial"/>
          <w:sz w:val="20"/>
          <w:szCs w:val="20"/>
        </w:rPr>
      </w:pPr>
    </w:p>
    <w:p w14:paraId="47DBFF32" w14:textId="58C7CAB6" w:rsidR="00696245" w:rsidRPr="00D61480" w:rsidRDefault="003A0198" w:rsidP="00696245">
      <w:pPr>
        <w:rPr>
          <w:rFonts w:ascii="Arial" w:hAnsi="Arial"/>
          <w:sz w:val="20"/>
          <w:szCs w:val="20"/>
        </w:rPr>
      </w:pPr>
      <w:r w:rsidRPr="00D61480">
        <w:rPr>
          <w:rFonts w:ascii="Arial" w:hAnsi="Arial"/>
          <w:sz w:val="20"/>
          <w:szCs w:val="20"/>
        </w:rPr>
        <w:t>S</w:t>
      </w:r>
      <w:r w:rsidR="00696245" w:rsidRPr="00D61480">
        <w:rPr>
          <w:rFonts w:ascii="Arial" w:hAnsi="Arial"/>
          <w:sz w:val="20"/>
          <w:szCs w:val="20"/>
        </w:rPr>
        <w:t>i bien la adición de una gran cantidad de generación en la red de distribución presentará sus propios desafíos, las flexibilidades disponibles de esta generación y otras flexibilidades proporcionadas por las nuevas tecnologías, como las instalaciones de almacenamiento y la demanda activa (</w:t>
      </w:r>
      <w:proofErr w:type="spellStart"/>
      <w:r w:rsidR="00696245" w:rsidRPr="00D61480">
        <w:rPr>
          <w:rFonts w:ascii="Arial" w:hAnsi="Arial"/>
          <w:sz w:val="20"/>
          <w:szCs w:val="20"/>
        </w:rPr>
        <w:t>DERs</w:t>
      </w:r>
      <w:proofErr w:type="spellEnd"/>
      <w:r w:rsidR="00696245" w:rsidRPr="00D61480">
        <w:rPr>
          <w:rFonts w:ascii="Arial" w:hAnsi="Arial"/>
          <w:sz w:val="20"/>
          <w:szCs w:val="20"/>
        </w:rPr>
        <w:t xml:space="preserve">), brindan a los DSO más opciones para la gestión y planificación de la red. Es claro que el papel de los DSO cambiará, pero la misión principal de los operadores de distribución de proporcionar al usuario un suministro de energía seguro, confiable y rentable sigue siendo la misma, a menos que las leyes y regulaciones impongan cambios drásticos en los roles dentro del sistema eléctrico. </w:t>
      </w:r>
    </w:p>
    <w:p w14:paraId="57479238" w14:textId="77777777" w:rsidR="003A0198" w:rsidRPr="00D61480" w:rsidRDefault="003A0198" w:rsidP="00696245">
      <w:pPr>
        <w:rPr>
          <w:rFonts w:ascii="Arial" w:hAnsi="Arial"/>
          <w:sz w:val="20"/>
          <w:szCs w:val="20"/>
        </w:rPr>
      </w:pPr>
    </w:p>
    <w:p w14:paraId="5DD9EF63" w14:textId="03B87AB1" w:rsidR="00696245" w:rsidRPr="00D61480" w:rsidRDefault="00696245" w:rsidP="00696245">
      <w:pPr>
        <w:rPr>
          <w:rFonts w:ascii="Arial" w:hAnsi="Arial"/>
          <w:sz w:val="20"/>
          <w:szCs w:val="20"/>
        </w:rPr>
      </w:pPr>
      <w:r w:rsidRPr="00D61480">
        <w:rPr>
          <w:rFonts w:ascii="Arial" w:hAnsi="Arial"/>
          <w:sz w:val="20"/>
          <w:szCs w:val="20"/>
        </w:rPr>
        <w:t xml:space="preserve">Por tanto, se deben determinar las formas en que el DSO utilizará las flexibilidades disponibles de </w:t>
      </w:r>
      <w:proofErr w:type="spellStart"/>
      <w:r w:rsidRPr="00D61480">
        <w:rPr>
          <w:rFonts w:ascii="Arial" w:hAnsi="Arial"/>
          <w:sz w:val="20"/>
          <w:szCs w:val="20"/>
        </w:rPr>
        <w:t>DERs</w:t>
      </w:r>
      <w:proofErr w:type="spellEnd"/>
      <w:r w:rsidRPr="00D61480">
        <w:rPr>
          <w:rFonts w:ascii="Arial" w:hAnsi="Arial"/>
          <w:sz w:val="20"/>
          <w:szCs w:val="20"/>
        </w:rPr>
        <w:t xml:space="preserve"> y cómo se adquirirán estos servicios. En este escenario es importante tener en cuenta la metodología empleada para atender emergencias en les redes de distribución para garantizar la calidad de energía y la seguridad del personal técnico.</w:t>
      </w:r>
    </w:p>
    <w:p w14:paraId="0CC19B16" w14:textId="77777777" w:rsidR="00696245" w:rsidRPr="00D61480" w:rsidRDefault="00696245" w:rsidP="00696245">
      <w:pPr>
        <w:rPr>
          <w:rFonts w:ascii="Arial" w:hAnsi="Arial"/>
          <w:sz w:val="20"/>
          <w:szCs w:val="20"/>
        </w:rPr>
      </w:pPr>
    </w:p>
    <w:p w14:paraId="7A67409A" w14:textId="6FC157D7" w:rsidR="00696245" w:rsidRPr="00D61480" w:rsidRDefault="00696245" w:rsidP="00696245">
      <w:pPr>
        <w:rPr>
          <w:rFonts w:ascii="Arial" w:hAnsi="Arial"/>
          <w:sz w:val="20"/>
          <w:szCs w:val="20"/>
        </w:rPr>
      </w:pPr>
      <w:r w:rsidRPr="00D61480">
        <w:rPr>
          <w:rFonts w:ascii="Arial" w:hAnsi="Arial"/>
          <w:sz w:val="20"/>
          <w:szCs w:val="20"/>
        </w:rPr>
        <w:t>Se espera que la evolución del sistema de distribución y el papel de los DSO pasen del enfoque de conectar y olvidar, donde las redes están diseñadas para el peor de los casos en función de la capacidad de generación instalada y la carga, esto se conoce como “Más de lo mismo”</w:t>
      </w:r>
      <w:r w:rsidR="003A0198" w:rsidRPr="00D61480">
        <w:rPr>
          <w:rFonts w:ascii="Arial" w:hAnsi="Arial"/>
          <w:sz w:val="20"/>
          <w:szCs w:val="20"/>
        </w:rPr>
        <w:t>,</w:t>
      </w:r>
      <w:r w:rsidRPr="00D61480">
        <w:rPr>
          <w:rFonts w:ascii="Arial" w:hAnsi="Arial"/>
          <w:sz w:val="20"/>
          <w:szCs w:val="20"/>
        </w:rPr>
        <w:t xml:space="preserve"> a un papel donde el DSO se oriente hacia la utilización de monitoreo avanzado y la optimización de la operación de la red utilizando tecnologías nuevas y existentes como OLTC en transformadores en subestaciones primarias y secundarias, entre otras. El control avanzado y la utilización de la flexibilidad disponible de </w:t>
      </w:r>
      <w:proofErr w:type="spellStart"/>
      <w:r w:rsidRPr="00D61480">
        <w:rPr>
          <w:rFonts w:ascii="Arial" w:hAnsi="Arial"/>
          <w:sz w:val="20"/>
          <w:szCs w:val="20"/>
        </w:rPr>
        <w:t>DERs</w:t>
      </w:r>
      <w:proofErr w:type="spellEnd"/>
      <w:r w:rsidRPr="00D61480">
        <w:rPr>
          <w:rFonts w:ascii="Arial" w:hAnsi="Arial"/>
          <w:sz w:val="20"/>
          <w:szCs w:val="20"/>
        </w:rPr>
        <w:t xml:space="preserve"> pueden ofrecer menores costos de conexión para nuevos usuarios, proporcionar tiempos de conexión más rápidos al evitar o diferir refuerzos de la red.</w:t>
      </w:r>
    </w:p>
    <w:p w14:paraId="66265B30" w14:textId="77777777" w:rsidR="00696245" w:rsidRPr="00D61480" w:rsidRDefault="00696245" w:rsidP="00696245">
      <w:pPr>
        <w:rPr>
          <w:rFonts w:ascii="Arial" w:hAnsi="Arial"/>
          <w:sz w:val="20"/>
          <w:szCs w:val="20"/>
        </w:rPr>
      </w:pPr>
    </w:p>
    <w:p w14:paraId="68853B65" w14:textId="40F1547D" w:rsidR="00696245" w:rsidRPr="00D61480" w:rsidRDefault="00696245" w:rsidP="00696245">
      <w:pPr>
        <w:rPr>
          <w:rFonts w:ascii="Arial" w:hAnsi="Arial"/>
          <w:sz w:val="20"/>
          <w:szCs w:val="20"/>
        </w:rPr>
      </w:pPr>
      <w:r w:rsidRPr="00D61480">
        <w:rPr>
          <w:rFonts w:ascii="Arial" w:hAnsi="Arial"/>
          <w:sz w:val="20"/>
          <w:szCs w:val="20"/>
        </w:rPr>
        <w:t>Se debe pro</w:t>
      </w:r>
      <w:r w:rsidR="003A0198" w:rsidRPr="00D61480">
        <w:rPr>
          <w:rFonts w:ascii="Arial" w:hAnsi="Arial"/>
          <w:sz w:val="20"/>
          <w:szCs w:val="20"/>
        </w:rPr>
        <w:t>pender para</w:t>
      </w:r>
      <w:r w:rsidRPr="00D61480">
        <w:rPr>
          <w:rFonts w:ascii="Arial" w:hAnsi="Arial"/>
          <w:sz w:val="20"/>
          <w:szCs w:val="20"/>
        </w:rPr>
        <w:t xml:space="preserve"> que los operadores de red adquieran servicios de balance, gestión de la congestión y servicios auxiliares de los activos conectados a la red tanto a nivel de distribución, sobre la base de la cooperación mutua</w:t>
      </w:r>
      <w:r w:rsidR="003A0198" w:rsidRPr="00D61480">
        <w:rPr>
          <w:rFonts w:ascii="Arial" w:hAnsi="Arial"/>
          <w:sz w:val="20"/>
          <w:szCs w:val="20"/>
        </w:rPr>
        <w:t xml:space="preserve"> con los TSO</w:t>
      </w:r>
      <w:r w:rsidRPr="00D61480">
        <w:rPr>
          <w:rFonts w:ascii="Arial" w:hAnsi="Arial"/>
          <w:sz w:val="20"/>
          <w:szCs w:val="20"/>
        </w:rPr>
        <w:t xml:space="preserve">. Esto permitirá una gestión y optimización de la red más eficiente y eficaz, en beneficio de una mayor respuesta de la demanda y la capacidad de integrar cuotas cada vez mayores de energías renovables. </w:t>
      </w:r>
    </w:p>
    <w:p w14:paraId="5A446E4D" w14:textId="77777777" w:rsidR="00696245" w:rsidRPr="00D61480" w:rsidRDefault="00696245" w:rsidP="00696245">
      <w:pPr>
        <w:rPr>
          <w:rFonts w:ascii="Arial" w:hAnsi="Arial"/>
          <w:sz w:val="20"/>
          <w:szCs w:val="20"/>
        </w:rPr>
      </w:pPr>
    </w:p>
    <w:p w14:paraId="0E486D4C" w14:textId="77777777" w:rsidR="00696245" w:rsidRPr="00D61480" w:rsidRDefault="00696245" w:rsidP="00696245">
      <w:pPr>
        <w:rPr>
          <w:rFonts w:ascii="Arial" w:hAnsi="Arial"/>
          <w:sz w:val="20"/>
          <w:szCs w:val="20"/>
        </w:rPr>
      </w:pPr>
      <w:r w:rsidRPr="00D61480">
        <w:rPr>
          <w:rFonts w:ascii="Arial" w:hAnsi="Arial"/>
          <w:sz w:val="20"/>
          <w:szCs w:val="20"/>
        </w:rPr>
        <w:t>De acuerdo a los antecedentes internacionales, el acceso a la red flexible y la flexibilidad en tiempo real pueden reducir o posponer las necesidades de inversión, por lo tanto, los DSO deben tener la posibilidad de optimizar la inversión en redes mediante el uso de redes inteligentes, incluida la flexibilidad del lado de la demanda.</w:t>
      </w:r>
    </w:p>
    <w:p w14:paraId="0B95B09D" w14:textId="77777777" w:rsidR="00696245" w:rsidRPr="00D61480" w:rsidRDefault="00696245" w:rsidP="00696245">
      <w:pPr>
        <w:rPr>
          <w:rFonts w:ascii="Arial" w:hAnsi="Arial"/>
          <w:sz w:val="20"/>
          <w:szCs w:val="20"/>
        </w:rPr>
      </w:pPr>
    </w:p>
    <w:p w14:paraId="08A52CC3" w14:textId="77777777" w:rsidR="00696245" w:rsidRPr="00D61480" w:rsidRDefault="00696245" w:rsidP="00696245">
      <w:pPr>
        <w:rPr>
          <w:rFonts w:ascii="Arial" w:hAnsi="Arial"/>
          <w:sz w:val="20"/>
          <w:szCs w:val="20"/>
        </w:rPr>
      </w:pPr>
      <w:r w:rsidRPr="00D61480">
        <w:rPr>
          <w:rFonts w:ascii="Arial" w:hAnsi="Arial"/>
          <w:sz w:val="20"/>
          <w:szCs w:val="20"/>
        </w:rPr>
        <w:t>El DSO debe recibir nuevas responsabilidades "estructurales", en particular la verificación y validación de las activaciones de los DER vinculados a la prestación de servicios auxiliares. Para el DSO se deben traducir en las siguientes funcionalidades que son esenciales para garantizar la plena integración y valorización y coordinación de los DER con los TSO:</w:t>
      </w:r>
    </w:p>
    <w:p w14:paraId="43B2F162" w14:textId="77777777" w:rsidR="00696245" w:rsidRPr="00D61480" w:rsidRDefault="00696245" w:rsidP="00696245">
      <w:pPr>
        <w:rPr>
          <w:rFonts w:ascii="Arial" w:hAnsi="Arial"/>
          <w:sz w:val="20"/>
          <w:szCs w:val="20"/>
        </w:rPr>
      </w:pPr>
    </w:p>
    <w:p w14:paraId="348C7F2A" w14:textId="77777777" w:rsidR="003A0198" w:rsidRPr="00D61480" w:rsidRDefault="00696245" w:rsidP="004E0B95">
      <w:pPr>
        <w:pStyle w:val="Prrafodelista"/>
        <w:numPr>
          <w:ilvl w:val="0"/>
          <w:numId w:val="36"/>
        </w:numPr>
        <w:spacing w:line="256" w:lineRule="auto"/>
        <w:rPr>
          <w:rFonts w:ascii="Arial" w:hAnsi="Arial"/>
          <w:sz w:val="20"/>
          <w:szCs w:val="20"/>
        </w:rPr>
      </w:pPr>
      <w:r w:rsidRPr="00D61480">
        <w:rPr>
          <w:rFonts w:ascii="Arial" w:hAnsi="Arial"/>
          <w:sz w:val="20"/>
          <w:szCs w:val="20"/>
        </w:rPr>
        <w:t>Estimación del estado del sistema de distribución (previsibilidad de los flujos de energía) mediante la recopilación de medidas, la producción de DER/pronóstico de carga y la transmisión de datos hacia los sistemas TSO (observabilidad);</w:t>
      </w:r>
    </w:p>
    <w:p w14:paraId="03385B5F" w14:textId="21750675" w:rsidR="003A0198" w:rsidRPr="00D61480" w:rsidRDefault="00696245" w:rsidP="004E0B95">
      <w:pPr>
        <w:pStyle w:val="Prrafodelista"/>
        <w:numPr>
          <w:ilvl w:val="0"/>
          <w:numId w:val="36"/>
        </w:numPr>
        <w:spacing w:line="256" w:lineRule="auto"/>
        <w:rPr>
          <w:rFonts w:ascii="Arial" w:hAnsi="Arial"/>
          <w:sz w:val="20"/>
          <w:szCs w:val="20"/>
        </w:rPr>
      </w:pPr>
      <w:r w:rsidRPr="00D61480">
        <w:rPr>
          <w:rFonts w:ascii="Arial" w:hAnsi="Arial"/>
          <w:sz w:val="20"/>
          <w:szCs w:val="20"/>
        </w:rPr>
        <w:lastRenderedPageBreak/>
        <w:t>Regulación de voltaje, a través de diferentes estrategias</w:t>
      </w:r>
      <w:r w:rsidR="003A0198" w:rsidRPr="00D61480">
        <w:rPr>
          <w:rFonts w:ascii="Arial" w:hAnsi="Arial"/>
          <w:sz w:val="20"/>
          <w:szCs w:val="20"/>
        </w:rPr>
        <w:t>.</w:t>
      </w:r>
    </w:p>
    <w:p w14:paraId="24160C7A" w14:textId="77777777" w:rsidR="003A0198" w:rsidRPr="00D61480" w:rsidRDefault="003A0198" w:rsidP="003A0198">
      <w:pPr>
        <w:pStyle w:val="Prrafodelista"/>
        <w:rPr>
          <w:rFonts w:ascii="Arial" w:hAnsi="Arial"/>
          <w:sz w:val="20"/>
          <w:szCs w:val="20"/>
        </w:rPr>
      </w:pPr>
    </w:p>
    <w:p w14:paraId="43FFF5B8" w14:textId="37C103B5" w:rsidR="00696245" w:rsidRPr="00D61480" w:rsidRDefault="00696245" w:rsidP="004E0B95">
      <w:pPr>
        <w:pStyle w:val="Prrafodelista"/>
        <w:numPr>
          <w:ilvl w:val="0"/>
          <w:numId w:val="36"/>
        </w:numPr>
        <w:spacing w:line="256" w:lineRule="auto"/>
        <w:rPr>
          <w:rFonts w:ascii="Arial" w:hAnsi="Arial"/>
          <w:sz w:val="20"/>
          <w:szCs w:val="20"/>
        </w:rPr>
      </w:pPr>
      <w:r w:rsidRPr="00D61480">
        <w:rPr>
          <w:rFonts w:ascii="Arial" w:hAnsi="Arial"/>
          <w:sz w:val="20"/>
          <w:szCs w:val="20"/>
        </w:rPr>
        <w:t>Modulación de potencia activa, para permitir que la generación distribuida participe en el mercado de prestación de servicios locales</w:t>
      </w:r>
      <w:r w:rsidR="003A0198" w:rsidRPr="00D61480">
        <w:rPr>
          <w:rFonts w:ascii="Arial" w:hAnsi="Arial"/>
          <w:sz w:val="20"/>
          <w:szCs w:val="20"/>
        </w:rPr>
        <w:t xml:space="preserve"> y </w:t>
      </w:r>
      <w:r w:rsidRPr="00D61480">
        <w:rPr>
          <w:rFonts w:ascii="Arial" w:hAnsi="Arial"/>
          <w:sz w:val="20"/>
          <w:szCs w:val="20"/>
        </w:rPr>
        <w:t>mercados de servicios auxiliares del sistema de transmisión.</w:t>
      </w:r>
    </w:p>
    <w:p w14:paraId="0CA4D4E8" w14:textId="77777777" w:rsidR="00696245" w:rsidRPr="00D61480" w:rsidRDefault="00696245" w:rsidP="00696245">
      <w:pPr>
        <w:rPr>
          <w:rFonts w:ascii="Arial" w:hAnsi="Arial"/>
          <w:sz w:val="20"/>
          <w:szCs w:val="20"/>
        </w:rPr>
      </w:pPr>
    </w:p>
    <w:p w14:paraId="2A8881C1" w14:textId="77777777" w:rsidR="00696245" w:rsidRPr="00D61480" w:rsidRDefault="00696245" w:rsidP="00696245">
      <w:pPr>
        <w:rPr>
          <w:rFonts w:ascii="Arial" w:hAnsi="Arial"/>
          <w:sz w:val="20"/>
          <w:szCs w:val="20"/>
        </w:rPr>
      </w:pPr>
      <w:r w:rsidRPr="00D61480">
        <w:rPr>
          <w:rFonts w:ascii="Arial" w:hAnsi="Arial"/>
          <w:sz w:val="20"/>
          <w:szCs w:val="20"/>
        </w:rPr>
        <w:t>En Colombia, la Misión para la Transformación Energética, en el Documento Foco 5: Institucional y Regulatorio planteó que:</w:t>
      </w:r>
    </w:p>
    <w:p w14:paraId="51E688CD" w14:textId="77777777" w:rsidR="00696245" w:rsidRPr="00D61480" w:rsidRDefault="00696245" w:rsidP="00696245">
      <w:pPr>
        <w:rPr>
          <w:rFonts w:ascii="Arial" w:hAnsi="Arial"/>
          <w:sz w:val="20"/>
          <w:szCs w:val="20"/>
        </w:rPr>
      </w:pPr>
    </w:p>
    <w:p w14:paraId="141B0973" w14:textId="77777777" w:rsidR="00696245" w:rsidRPr="00D61480" w:rsidRDefault="00696245" w:rsidP="00696245">
      <w:pPr>
        <w:ind w:left="426" w:right="474"/>
        <w:rPr>
          <w:rFonts w:ascii="Arial" w:hAnsi="Arial"/>
          <w:i/>
          <w:sz w:val="20"/>
          <w:szCs w:val="20"/>
        </w:rPr>
      </w:pPr>
      <w:r w:rsidRPr="00D61480">
        <w:rPr>
          <w:rFonts w:ascii="Arial" w:hAnsi="Arial"/>
          <w:sz w:val="20"/>
          <w:szCs w:val="20"/>
        </w:rPr>
        <w:t>“</w:t>
      </w:r>
      <w:r w:rsidRPr="00D61480">
        <w:rPr>
          <w:rFonts w:ascii="Arial" w:hAnsi="Arial"/>
          <w:i/>
          <w:sz w:val="20"/>
          <w:szCs w:val="20"/>
        </w:rPr>
        <w:t>Así, por ejemplo, se crearán nuevos servicios y mercados donde se transen estos nuevos servicios. Los servicios que se deben prestar de forma descentralizada son:</w:t>
      </w:r>
    </w:p>
    <w:p w14:paraId="6C46469C" w14:textId="77777777" w:rsidR="00696245" w:rsidRPr="00D61480" w:rsidRDefault="00696245" w:rsidP="00696245">
      <w:pPr>
        <w:ind w:left="426" w:right="474"/>
        <w:rPr>
          <w:rFonts w:ascii="Arial" w:hAnsi="Arial"/>
          <w:i/>
          <w:sz w:val="20"/>
          <w:szCs w:val="20"/>
        </w:rPr>
      </w:pPr>
      <w:r w:rsidRPr="00D61480">
        <w:rPr>
          <w:rFonts w:ascii="Arial" w:hAnsi="Arial"/>
          <w:i/>
          <w:sz w:val="20"/>
          <w:szCs w:val="20"/>
        </w:rPr>
        <w:t>1. Congestión y gestión de pérdidas. La gran mayoría de mercados en el mundo no incorporan señales de congestión en redes de distribución. Sin embargo, ya hay varios esfuerzos por crear estas señales. Al igual que en el mercado mayorista, las señales deben reflejar precio de la energía, congestión y pérdidas.</w:t>
      </w:r>
    </w:p>
    <w:p w14:paraId="5F0FB399" w14:textId="77777777" w:rsidR="00696245" w:rsidRPr="00D61480" w:rsidRDefault="00696245" w:rsidP="00696245">
      <w:pPr>
        <w:ind w:left="426" w:right="474"/>
        <w:rPr>
          <w:rFonts w:ascii="Arial" w:hAnsi="Arial"/>
          <w:i/>
          <w:sz w:val="20"/>
          <w:szCs w:val="20"/>
        </w:rPr>
      </w:pPr>
      <w:r w:rsidRPr="00D61480">
        <w:rPr>
          <w:rFonts w:ascii="Arial" w:hAnsi="Arial"/>
          <w:i/>
          <w:sz w:val="20"/>
          <w:szCs w:val="20"/>
        </w:rPr>
        <w:t>2. Servicios complementarios (SSCC): Para responder por confiabilidad, seguridad y estabilidad. Dentro de los SSCC tradicionales se espera que mercados de reactiva sean posibles a este nivel, aunque requerirán de transacciones automatizadas (inteligentes).</w:t>
      </w:r>
    </w:p>
    <w:p w14:paraId="7869E831" w14:textId="77777777" w:rsidR="00696245" w:rsidRPr="00D61480" w:rsidRDefault="00696245" w:rsidP="00696245">
      <w:pPr>
        <w:ind w:left="426" w:right="474"/>
        <w:rPr>
          <w:rFonts w:ascii="Arial" w:hAnsi="Arial"/>
          <w:sz w:val="20"/>
          <w:szCs w:val="20"/>
        </w:rPr>
      </w:pPr>
      <w:r w:rsidRPr="00D61480">
        <w:rPr>
          <w:rFonts w:ascii="Arial" w:hAnsi="Arial"/>
          <w:i/>
          <w:sz w:val="20"/>
          <w:szCs w:val="20"/>
        </w:rPr>
        <w:t>3. Gestión de carga: Modelos de precios y de incentivos de gestión de la demanda.</w:t>
      </w:r>
      <w:r w:rsidRPr="00D61480">
        <w:rPr>
          <w:rFonts w:ascii="Arial" w:hAnsi="Arial"/>
          <w:sz w:val="20"/>
          <w:szCs w:val="20"/>
        </w:rPr>
        <w:t>”</w:t>
      </w:r>
    </w:p>
    <w:p w14:paraId="11FDAA6C" w14:textId="77777777" w:rsidR="00696245" w:rsidRPr="00D61480" w:rsidRDefault="00696245" w:rsidP="00696245">
      <w:pPr>
        <w:rPr>
          <w:rFonts w:ascii="Arial" w:hAnsi="Arial"/>
          <w:sz w:val="20"/>
          <w:szCs w:val="20"/>
        </w:rPr>
      </w:pPr>
    </w:p>
    <w:p w14:paraId="68F18395" w14:textId="5FC82ED4" w:rsidR="00696245" w:rsidRPr="00D61480" w:rsidRDefault="00696245" w:rsidP="00696245">
      <w:pPr>
        <w:rPr>
          <w:rFonts w:ascii="Arial" w:hAnsi="Arial"/>
          <w:sz w:val="20"/>
          <w:szCs w:val="20"/>
        </w:rPr>
      </w:pPr>
      <w:r w:rsidRPr="00D61480">
        <w:rPr>
          <w:rFonts w:ascii="Arial" w:hAnsi="Arial"/>
          <w:sz w:val="20"/>
          <w:szCs w:val="20"/>
        </w:rPr>
        <w:t xml:space="preserve">Acorde con las tendencias internacionales y la alineación de las señales de la Misión de Transformación Energética, </w:t>
      </w:r>
      <w:r w:rsidR="003A0198" w:rsidRPr="00D61480">
        <w:rPr>
          <w:rFonts w:ascii="Arial" w:hAnsi="Arial"/>
          <w:sz w:val="20"/>
          <w:szCs w:val="20"/>
        </w:rPr>
        <w:t xml:space="preserve">varios Operadores de Red en Colombia </w:t>
      </w:r>
      <w:r w:rsidRPr="00D61480">
        <w:rPr>
          <w:rFonts w:ascii="Arial" w:hAnsi="Arial"/>
          <w:sz w:val="20"/>
          <w:szCs w:val="20"/>
        </w:rPr>
        <w:t>está</w:t>
      </w:r>
      <w:r w:rsidR="003A0198" w:rsidRPr="00D61480">
        <w:rPr>
          <w:rFonts w:ascii="Arial" w:hAnsi="Arial"/>
          <w:sz w:val="20"/>
          <w:szCs w:val="20"/>
        </w:rPr>
        <w:t>n</w:t>
      </w:r>
      <w:r w:rsidRPr="00D61480">
        <w:rPr>
          <w:rFonts w:ascii="Arial" w:hAnsi="Arial"/>
          <w:sz w:val="20"/>
          <w:szCs w:val="20"/>
        </w:rPr>
        <w:t xml:space="preserve"> incorporando en su hoja de ruta tecnológica y en la visión de la transformación digital del negocio, la incursión en la figura del DSO</w:t>
      </w:r>
      <w:r w:rsidR="003A0198" w:rsidRPr="00D61480">
        <w:rPr>
          <w:rFonts w:ascii="Arial" w:hAnsi="Arial"/>
          <w:sz w:val="20"/>
          <w:szCs w:val="20"/>
        </w:rPr>
        <w:t>,</w:t>
      </w:r>
      <w:r w:rsidRPr="00D61480">
        <w:rPr>
          <w:rFonts w:ascii="Arial" w:hAnsi="Arial"/>
          <w:sz w:val="20"/>
          <w:szCs w:val="20"/>
        </w:rPr>
        <w:t xml:space="preserve"> que </w:t>
      </w:r>
      <w:r w:rsidR="003A0198" w:rsidRPr="00D61480">
        <w:rPr>
          <w:rFonts w:ascii="Arial" w:hAnsi="Arial"/>
          <w:sz w:val="20"/>
          <w:szCs w:val="20"/>
        </w:rPr>
        <w:t xml:space="preserve">es </w:t>
      </w:r>
      <w:r w:rsidRPr="00D61480">
        <w:rPr>
          <w:rFonts w:ascii="Arial" w:hAnsi="Arial"/>
          <w:sz w:val="20"/>
          <w:szCs w:val="20"/>
        </w:rPr>
        <w:t>estratégica para el aprovechamiento país de los DER, garantizando la seguridad energética y eléctrica, mediante mecanismos adecuados de coordinación, incluida la coordinación operativa, mediante mecanismos de control coordinado, para lo cual no existen limitantes desde la perspectiva tecnológica y menos con los avances tecnológicos actuales en control y comunicaciones, pues incluso ya las ofertas de los proveedores para centros de control, incorporan el componente DERMS, cuya arquitectura incluye entre otras las funcionalidades mencionadas</w:t>
      </w:r>
      <w:r w:rsidR="003A0198" w:rsidRPr="00D61480">
        <w:rPr>
          <w:rFonts w:ascii="Arial" w:hAnsi="Arial"/>
          <w:sz w:val="20"/>
          <w:szCs w:val="20"/>
        </w:rPr>
        <w:t xml:space="preserve">. </w:t>
      </w:r>
      <w:r w:rsidRPr="00D61480">
        <w:rPr>
          <w:rFonts w:ascii="Arial" w:hAnsi="Arial"/>
          <w:sz w:val="20"/>
          <w:szCs w:val="20"/>
        </w:rPr>
        <w:t>A su vez, se tiene</w:t>
      </w:r>
      <w:r w:rsidR="003A0198" w:rsidRPr="00D61480">
        <w:rPr>
          <w:rFonts w:ascii="Arial" w:hAnsi="Arial"/>
          <w:sz w:val="20"/>
          <w:szCs w:val="20"/>
        </w:rPr>
        <w:t>n</w:t>
      </w:r>
      <w:r w:rsidRPr="00D61480">
        <w:rPr>
          <w:rFonts w:ascii="Arial" w:hAnsi="Arial"/>
          <w:sz w:val="20"/>
          <w:szCs w:val="20"/>
        </w:rPr>
        <w:t xml:space="preserve"> un proyecto de I+D+i que pretende lograr una red digitalizada, distribuida, democratizada y autónoma que esta orquestada por el operador de red en su nuevo rol de DSO.</w:t>
      </w:r>
      <w:r w:rsidR="003A0198" w:rsidRPr="00D61480">
        <w:rPr>
          <w:rFonts w:ascii="Arial" w:hAnsi="Arial"/>
          <w:sz w:val="20"/>
          <w:szCs w:val="20"/>
        </w:rPr>
        <w:t xml:space="preserve"> </w:t>
      </w:r>
      <w:r w:rsidRPr="00D61480">
        <w:rPr>
          <w:rFonts w:ascii="Arial" w:hAnsi="Arial"/>
          <w:sz w:val="20"/>
          <w:szCs w:val="20"/>
        </w:rPr>
        <w:t>Estos nuevos retos permitirán abordar la confiabilidad del suministro eléctrico en forma distribuida, automatizada, digitalizada y eficiente, a partir de arquitecturas</w:t>
      </w:r>
      <w:r w:rsidR="009E3D14" w:rsidRPr="00D61480">
        <w:rPr>
          <w:rFonts w:ascii="Arial" w:hAnsi="Arial"/>
          <w:sz w:val="20"/>
          <w:szCs w:val="20"/>
        </w:rPr>
        <w:t>,</w:t>
      </w:r>
      <w:r w:rsidRPr="00D61480">
        <w:rPr>
          <w:rFonts w:ascii="Arial" w:hAnsi="Arial"/>
          <w:sz w:val="20"/>
          <w:szCs w:val="20"/>
        </w:rPr>
        <w:t xml:space="preserve"> estándares y el diseño de sistemas de intercambio de información optimizados y suficientemente robustos, de manera que sea posible anticipar y prepararse para contingencias, mejorando la toma de decisiones oportunas en lo referente a sus recursos de red, los DER, las microrredes, los sistemas de almacenamiento y las plantas virtuales por mayor disponibilidad y oportunidad de información.</w:t>
      </w:r>
    </w:p>
    <w:p w14:paraId="1451E74A" w14:textId="77777777" w:rsidR="00696245" w:rsidRPr="00D61480" w:rsidRDefault="00696245" w:rsidP="00696245">
      <w:pPr>
        <w:rPr>
          <w:rFonts w:ascii="Arial" w:hAnsi="Arial"/>
          <w:sz w:val="20"/>
          <w:szCs w:val="20"/>
        </w:rPr>
      </w:pPr>
    </w:p>
    <w:p w14:paraId="2522B489" w14:textId="165C8701" w:rsidR="00696245" w:rsidRPr="00D61480" w:rsidRDefault="00696245" w:rsidP="00696245">
      <w:pPr>
        <w:rPr>
          <w:rFonts w:ascii="Arial" w:hAnsi="Arial"/>
          <w:sz w:val="20"/>
          <w:szCs w:val="20"/>
        </w:rPr>
      </w:pPr>
      <w:r w:rsidRPr="00D61480">
        <w:rPr>
          <w:rFonts w:ascii="Arial" w:hAnsi="Arial"/>
          <w:sz w:val="20"/>
          <w:szCs w:val="20"/>
        </w:rPr>
        <w:t>Para el diseño de un nuevo concepto de planeación y operación de la red, se deberá desarrollar el DSO, que le permitirá al sistema eléctrico hacer transacciones de flexibilidad de red, conectividad, acceso, administración de activos, respaldo, además de los procesos tradicionales, se requiere diseñar sistemas que habiliten su capacidad de administrar como distribuidores elementos nuevos en el sistema, tales como: generación distribuida, nuevas fuentes de energía, estaciones de carga para movilidad eléctrica, ciudadelas o ciudades inteligentes con red propia, microrredes, VPP y su interacción con otros DSO tal como se muestra en la Figura 1</w:t>
      </w:r>
      <w:r w:rsidR="009E3D14" w:rsidRPr="00D61480">
        <w:rPr>
          <w:rFonts w:ascii="Arial" w:hAnsi="Arial"/>
          <w:sz w:val="20"/>
          <w:szCs w:val="20"/>
        </w:rPr>
        <w:t>0</w:t>
      </w:r>
      <w:r w:rsidRPr="00D61480">
        <w:rPr>
          <w:rFonts w:ascii="Arial" w:hAnsi="Arial"/>
          <w:sz w:val="20"/>
          <w:szCs w:val="20"/>
        </w:rPr>
        <w:t xml:space="preserve">. El despliegue de la red digitalizada, distribuida, democratizada y autónoma significa que se habilite la prestación de mayor número de servicios, desmarcándose de los servicios de red tradicional de distribución de energía, dándole la potencialidad a la red de ser una plataforma de </w:t>
      </w:r>
      <w:r w:rsidRPr="00D61480">
        <w:rPr>
          <w:rFonts w:ascii="Arial" w:hAnsi="Arial"/>
          <w:i/>
          <w:iCs/>
          <w:sz w:val="20"/>
          <w:szCs w:val="20"/>
        </w:rPr>
        <w:t xml:space="preserve">hosting </w:t>
      </w:r>
      <w:proofErr w:type="spellStart"/>
      <w:r w:rsidRPr="00D61480">
        <w:rPr>
          <w:rFonts w:ascii="Arial" w:hAnsi="Arial"/>
          <w:i/>
          <w:iCs/>
          <w:sz w:val="20"/>
          <w:szCs w:val="20"/>
        </w:rPr>
        <w:t>capacity</w:t>
      </w:r>
      <w:proofErr w:type="spellEnd"/>
      <w:r w:rsidRPr="00D61480">
        <w:rPr>
          <w:rFonts w:ascii="Arial" w:hAnsi="Arial"/>
          <w:sz w:val="20"/>
          <w:szCs w:val="20"/>
        </w:rPr>
        <w:t>, agregador de medida y demanda (VPP) para facilitar la inserción de nuevas tecnologías para nuevos mercados.</w:t>
      </w:r>
    </w:p>
    <w:p w14:paraId="7C97514F" w14:textId="20F6FF73" w:rsidR="00696245" w:rsidRPr="00D61480" w:rsidRDefault="00696245" w:rsidP="00696245">
      <w:pPr>
        <w:jc w:val="center"/>
        <w:rPr>
          <w:rFonts w:ascii="Arial" w:hAnsi="Arial"/>
          <w:sz w:val="20"/>
          <w:szCs w:val="20"/>
        </w:rPr>
      </w:pPr>
      <w:r w:rsidRPr="00D61480">
        <w:rPr>
          <w:noProof/>
          <w:sz w:val="20"/>
          <w:szCs w:val="20"/>
        </w:rPr>
        <w:lastRenderedPageBreak/>
        <w:drawing>
          <wp:inline distT="0" distB="0" distL="0" distR="0" wp14:anchorId="351938FB" wp14:editId="642CAD08">
            <wp:extent cx="4445000" cy="167005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5000" cy="1670050"/>
                    </a:xfrm>
                    <a:prstGeom prst="rect">
                      <a:avLst/>
                    </a:prstGeom>
                    <a:noFill/>
                    <a:ln>
                      <a:noFill/>
                    </a:ln>
                  </pic:spPr>
                </pic:pic>
              </a:graphicData>
            </a:graphic>
          </wp:inline>
        </w:drawing>
      </w:r>
    </w:p>
    <w:p w14:paraId="5417342A" w14:textId="6F619223" w:rsidR="00696245" w:rsidRPr="00D61480" w:rsidRDefault="00696245" w:rsidP="00696245">
      <w:pPr>
        <w:jc w:val="center"/>
        <w:rPr>
          <w:rFonts w:ascii="Arial" w:hAnsi="Arial"/>
          <w:sz w:val="16"/>
          <w:szCs w:val="16"/>
        </w:rPr>
      </w:pPr>
      <w:r w:rsidRPr="00D61480">
        <w:rPr>
          <w:rFonts w:ascii="Arial" w:hAnsi="Arial"/>
          <w:sz w:val="16"/>
          <w:szCs w:val="16"/>
        </w:rPr>
        <w:t>Figura 1</w:t>
      </w:r>
      <w:r w:rsidR="009E3D14" w:rsidRPr="00D61480">
        <w:rPr>
          <w:rFonts w:ascii="Arial" w:hAnsi="Arial"/>
          <w:sz w:val="16"/>
          <w:szCs w:val="16"/>
        </w:rPr>
        <w:t>0</w:t>
      </w:r>
      <w:r w:rsidRPr="00D61480">
        <w:rPr>
          <w:rFonts w:ascii="Arial" w:hAnsi="Arial"/>
          <w:sz w:val="16"/>
          <w:szCs w:val="16"/>
        </w:rPr>
        <w:t>. Arquitectura DSO</w:t>
      </w:r>
    </w:p>
    <w:p w14:paraId="193921D3" w14:textId="77777777" w:rsidR="00696245" w:rsidRPr="00D61480" w:rsidRDefault="00696245" w:rsidP="00696245">
      <w:pPr>
        <w:jc w:val="center"/>
        <w:rPr>
          <w:rFonts w:ascii="Arial" w:hAnsi="Arial"/>
          <w:sz w:val="16"/>
          <w:szCs w:val="16"/>
        </w:rPr>
      </w:pPr>
      <w:r w:rsidRPr="00D61480">
        <w:rPr>
          <w:rFonts w:ascii="Arial" w:hAnsi="Arial"/>
          <w:sz w:val="16"/>
          <w:szCs w:val="16"/>
        </w:rPr>
        <w:t>Fuente: Proyecto I+D+i Celsia</w:t>
      </w:r>
    </w:p>
    <w:p w14:paraId="3FD36B14" w14:textId="77777777" w:rsidR="00696245" w:rsidRPr="00D61480" w:rsidRDefault="00696245" w:rsidP="00696245">
      <w:pPr>
        <w:tabs>
          <w:tab w:val="left" w:pos="2579"/>
        </w:tabs>
        <w:rPr>
          <w:rFonts w:ascii="Arial" w:hAnsi="Arial"/>
          <w:sz w:val="20"/>
          <w:szCs w:val="20"/>
        </w:rPr>
      </w:pPr>
      <w:r w:rsidRPr="00D61480">
        <w:rPr>
          <w:rFonts w:ascii="Arial" w:hAnsi="Arial"/>
          <w:sz w:val="20"/>
          <w:szCs w:val="20"/>
        </w:rPr>
        <w:tab/>
      </w:r>
    </w:p>
    <w:p w14:paraId="2CBFA66C" w14:textId="29F28C9A" w:rsidR="00696245" w:rsidRPr="00D61480" w:rsidRDefault="00696245" w:rsidP="002D3B44">
      <w:pPr>
        <w:pStyle w:val="Ttulo2"/>
        <w:numPr>
          <w:ilvl w:val="1"/>
          <w:numId w:val="12"/>
        </w:numPr>
        <w:jc w:val="both"/>
        <w:rPr>
          <w:rFonts w:ascii="Arial" w:hAnsi="Arial"/>
          <w:sz w:val="20"/>
          <w:szCs w:val="20"/>
        </w:rPr>
      </w:pPr>
      <w:r w:rsidRPr="00D61480">
        <w:rPr>
          <w:rFonts w:ascii="Arial" w:hAnsi="Arial"/>
          <w:sz w:val="20"/>
          <w:szCs w:val="20"/>
        </w:rPr>
        <w:t>Requerimientos actuales de información</w:t>
      </w:r>
      <w:r w:rsidR="002D3B44" w:rsidRPr="00D61480">
        <w:rPr>
          <w:rFonts w:ascii="Arial" w:hAnsi="Arial"/>
          <w:sz w:val="20"/>
          <w:szCs w:val="20"/>
        </w:rPr>
        <w:t>.</w:t>
      </w:r>
    </w:p>
    <w:p w14:paraId="4F605400" w14:textId="77777777" w:rsidR="00696245" w:rsidRPr="00D61480" w:rsidRDefault="00696245" w:rsidP="00696245">
      <w:pPr>
        <w:rPr>
          <w:rFonts w:ascii="Arial" w:hAnsi="Arial"/>
          <w:sz w:val="20"/>
          <w:szCs w:val="20"/>
        </w:rPr>
      </w:pPr>
    </w:p>
    <w:p w14:paraId="3D836AE1" w14:textId="77777777" w:rsidR="00696245" w:rsidRPr="00D61480" w:rsidRDefault="00696245" w:rsidP="00696245">
      <w:pPr>
        <w:rPr>
          <w:rFonts w:ascii="Arial" w:hAnsi="Arial"/>
          <w:sz w:val="20"/>
          <w:szCs w:val="20"/>
        </w:rPr>
      </w:pPr>
      <w:r w:rsidRPr="00D61480">
        <w:rPr>
          <w:rFonts w:ascii="Arial" w:hAnsi="Arial"/>
          <w:sz w:val="20"/>
          <w:szCs w:val="20"/>
        </w:rPr>
        <w:t>Los siguientes son los requerimientos actuales de información sobre variables operativas de las plantas de generación renovables integradas de forma directa o indirecta al CND:</w:t>
      </w:r>
    </w:p>
    <w:p w14:paraId="75A7FC46" w14:textId="77777777" w:rsidR="00696245" w:rsidRPr="00D61480" w:rsidRDefault="00696245" w:rsidP="00696245">
      <w:pPr>
        <w:rPr>
          <w:rFonts w:ascii="Arial" w:hAnsi="Arial"/>
          <w:sz w:val="20"/>
          <w:szCs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79"/>
        <w:gridCol w:w="1368"/>
        <w:gridCol w:w="2268"/>
        <w:gridCol w:w="5103"/>
      </w:tblGrid>
      <w:tr w:rsidR="00696245" w:rsidRPr="00D61480" w14:paraId="29FFCD53" w14:textId="77777777" w:rsidTr="00696245">
        <w:trPr>
          <w:trHeight w:val="26"/>
          <w:tblHeader/>
          <w:jc w:val="center"/>
        </w:trPr>
        <w:tc>
          <w:tcPr>
            <w:tcW w:w="11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885EEA8" w14:textId="77777777" w:rsidR="00696245" w:rsidRPr="00D61480" w:rsidRDefault="00696245">
            <w:pPr>
              <w:jc w:val="center"/>
              <w:rPr>
                <w:rFonts w:ascii="Arial" w:hAnsi="Arial"/>
                <w:b/>
                <w:bCs/>
                <w:sz w:val="18"/>
                <w:szCs w:val="18"/>
              </w:rPr>
            </w:pPr>
            <w:r w:rsidRPr="00D61480">
              <w:rPr>
                <w:rFonts w:ascii="Arial" w:hAnsi="Arial"/>
                <w:b/>
                <w:bCs/>
                <w:sz w:val="18"/>
                <w:szCs w:val="18"/>
              </w:rPr>
              <w:t>Ítem</w:t>
            </w:r>
          </w:p>
        </w:tc>
        <w:tc>
          <w:tcPr>
            <w:tcW w:w="13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5218C28" w14:textId="77777777" w:rsidR="00696245" w:rsidRPr="00D61480" w:rsidRDefault="00696245">
            <w:pPr>
              <w:jc w:val="center"/>
              <w:rPr>
                <w:rFonts w:ascii="Arial" w:hAnsi="Arial"/>
                <w:b/>
                <w:bCs/>
                <w:sz w:val="18"/>
                <w:szCs w:val="18"/>
              </w:rPr>
            </w:pPr>
            <w:r w:rsidRPr="00D61480">
              <w:rPr>
                <w:rFonts w:ascii="Arial" w:hAnsi="Arial"/>
                <w:b/>
                <w:bCs/>
                <w:sz w:val="18"/>
                <w:szCs w:val="18"/>
              </w:rPr>
              <w:t>Tiempo Real</w:t>
            </w:r>
          </w:p>
        </w:tc>
        <w:tc>
          <w:tcPr>
            <w:tcW w:w="22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30AAE4E" w14:textId="77777777" w:rsidR="00696245" w:rsidRPr="00D61480" w:rsidRDefault="00696245">
            <w:pPr>
              <w:jc w:val="center"/>
              <w:rPr>
                <w:rFonts w:ascii="Arial" w:hAnsi="Arial"/>
                <w:b/>
                <w:bCs/>
                <w:sz w:val="18"/>
                <w:szCs w:val="18"/>
              </w:rPr>
            </w:pPr>
            <w:r w:rsidRPr="00D61480">
              <w:rPr>
                <w:rFonts w:ascii="Arial" w:hAnsi="Arial"/>
                <w:b/>
                <w:bCs/>
                <w:sz w:val="18"/>
                <w:szCs w:val="18"/>
              </w:rPr>
              <w:t>Planeación</w:t>
            </w:r>
          </w:p>
        </w:tc>
        <w:tc>
          <w:tcPr>
            <w:tcW w:w="510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BCD9CA9" w14:textId="77777777" w:rsidR="00696245" w:rsidRPr="00D61480" w:rsidRDefault="00696245">
            <w:pPr>
              <w:jc w:val="center"/>
              <w:rPr>
                <w:rFonts w:ascii="Arial" w:hAnsi="Arial"/>
                <w:b/>
                <w:bCs/>
                <w:sz w:val="18"/>
                <w:szCs w:val="18"/>
              </w:rPr>
            </w:pPr>
            <w:r w:rsidRPr="00D61480">
              <w:rPr>
                <w:rFonts w:ascii="Arial" w:hAnsi="Arial"/>
                <w:b/>
                <w:bCs/>
                <w:sz w:val="18"/>
                <w:szCs w:val="18"/>
              </w:rPr>
              <w:t>Estructural</w:t>
            </w:r>
          </w:p>
        </w:tc>
      </w:tr>
      <w:tr w:rsidR="00696245" w:rsidRPr="00D61480" w14:paraId="754ECA4D" w14:textId="77777777" w:rsidTr="00696245">
        <w:trPr>
          <w:trHeight w:val="1615"/>
          <w:jc w:val="center"/>
        </w:trPr>
        <w:tc>
          <w:tcPr>
            <w:tcW w:w="11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574B009" w14:textId="77777777" w:rsidR="00696245" w:rsidRPr="00D61480" w:rsidRDefault="00696245">
            <w:pPr>
              <w:rPr>
                <w:rFonts w:ascii="Arial" w:hAnsi="Arial"/>
                <w:sz w:val="18"/>
                <w:szCs w:val="18"/>
              </w:rPr>
            </w:pPr>
            <w:r w:rsidRPr="00D61480">
              <w:rPr>
                <w:rFonts w:ascii="Arial" w:hAnsi="Arial"/>
                <w:sz w:val="18"/>
                <w:szCs w:val="18"/>
              </w:rPr>
              <w:t>Variables</w:t>
            </w:r>
          </w:p>
        </w:tc>
        <w:tc>
          <w:tcPr>
            <w:tcW w:w="13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8921CA9" w14:textId="5908AD16" w:rsidR="00696245" w:rsidRPr="00D61480" w:rsidRDefault="00696245">
            <w:pPr>
              <w:rPr>
                <w:rFonts w:ascii="Arial" w:hAnsi="Arial"/>
                <w:sz w:val="18"/>
                <w:szCs w:val="18"/>
              </w:rPr>
            </w:pPr>
            <w:r w:rsidRPr="00D61480">
              <w:rPr>
                <w:rFonts w:ascii="Arial" w:hAnsi="Arial"/>
                <w:sz w:val="18"/>
                <w:szCs w:val="18"/>
              </w:rPr>
              <w:t xml:space="preserve">Datos </w:t>
            </w:r>
            <w:proofErr w:type="spellStart"/>
            <w:r w:rsidRPr="00D61480">
              <w:rPr>
                <w:rFonts w:ascii="Arial" w:hAnsi="Arial"/>
                <w:sz w:val="18"/>
                <w:szCs w:val="18"/>
              </w:rPr>
              <w:t>tele</w:t>
            </w:r>
            <w:r w:rsidR="002D3B44" w:rsidRPr="00D61480">
              <w:rPr>
                <w:rFonts w:ascii="Arial" w:hAnsi="Arial"/>
                <w:sz w:val="18"/>
                <w:szCs w:val="18"/>
              </w:rPr>
              <w:t>-</w:t>
            </w:r>
            <w:r w:rsidRPr="00D61480">
              <w:rPr>
                <w:rFonts w:ascii="Arial" w:hAnsi="Arial"/>
                <w:sz w:val="18"/>
                <w:szCs w:val="18"/>
              </w:rPr>
              <w:t>medidos</w:t>
            </w:r>
            <w:proofErr w:type="spellEnd"/>
          </w:p>
          <w:p w14:paraId="186285F8" w14:textId="77777777" w:rsidR="00696245" w:rsidRPr="00D61480" w:rsidRDefault="00696245">
            <w:pPr>
              <w:rPr>
                <w:rFonts w:ascii="Arial" w:hAnsi="Arial"/>
                <w:sz w:val="18"/>
                <w:szCs w:val="18"/>
              </w:rPr>
            </w:pPr>
            <w:r w:rsidRPr="00D61480">
              <w:rPr>
                <w:rFonts w:ascii="Arial" w:hAnsi="Arial"/>
                <w:sz w:val="18"/>
                <w:szCs w:val="18"/>
              </w:rPr>
              <w:t xml:space="preserve">V, </w:t>
            </w:r>
            <w:r w:rsidRPr="00D61480">
              <w:rPr>
                <w:rFonts w:ascii="Arial" w:hAnsi="Arial"/>
                <w:i/>
                <w:iCs/>
                <w:sz w:val="18"/>
                <w:szCs w:val="18"/>
              </w:rPr>
              <w:t>f</w:t>
            </w:r>
            <w:r w:rsidRPr="00D61480">
              <w:rPr>
                <w:rFonts w:ascii="Arial" w:hAnsi="Arial"/>
                <w:sz w:val="18"/>
                <w:szCs w:val="18"/>
              </w:rPr>
              <w:t>, P, Q</w:t>
            </w:r>
          </w:p>
          <w:p w14:paraId="16BA3744" w14:textId="77777777" w:rsidR="00696245" w:rsidRPr="00D61480" w:rsidRDefault="00696245">
            <w:pPr>
              <w:rPr>
                <w:rFonts w:ascii="Arial" w:hAnsi="Arial"/>
                <w:sz w:val="18"/>
                <w:szCs w:val="18"/>
              </w:rPr>
            </w:pPr>
            <w:r w:rsidRPr="00D61480">
              <w:rPr>
                <w:rFonts w:ascii="Arial" w:hAnsi="Arial"/>
                <w:sz w:val="18"/>
                <w:szCs w:val="18"/>
              </w:rPr>
              <w:t>RTU/</w:t>
            </w:r>
            <w:r w:rsidRPr="00D61480">
              <w:rPr>
                <w:rFonts w:ascii="Arial" w:hAnsi="Arial"/>
                <w:i/>
                <w:iCs/>
                <w:sz w:val="18"/>
                <w:szCs w:val="18"/>
              </w:rPr>
              <w:t>PMU</w:t>
            </w:r>
          </w:p>
        </w:tc>
        <w:tc>
          <w:tcPr>
            <w:tcW w:w="22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5A4C32A" w14:textId="77777777" w:rsidR="002D3B44" w:rsidRPr="00D61480" w:rsidRDefault="00696245" w:rsidP="004E0B95">
            <w:pPr>
              <w:pStyle w:val="Prrafodelista"/>
              <w:numPr>
                <w:ilvl w:val="0"/>
                <w:numId w:val="37"/>
              </w:numPr>
              <w:rPr>
                <w:rFonts w:ascii="Arial" w:hAnsi="Arial"/>
                <w:sz w:val="18"/>
                <w:szCs w:val="18"/>
              </w:rPr>
            </w:pPr>
            <w:r w:rsidRPr="00D61480">
              <w:rPr>
                <w:rFonts w:ascii="Arial" w:hAnsi="Arial"/>
                <w:sz w:val="18"/>
                <w:szCs w:val="18"/>
              </w:rPr>
              <w:t>Acuerdo CNO 13</w:t>
            </w:r>
            <w:r w:rsidR="002D3B44" w:rsidRPr="00D61480">
              <w:rPr>
                <w:rFonts w:ascii="Arial" w:hAnsi="Arial"/>
                <w:sz w:val="18"/>
                <w:szCs w:val="18"/>
              </w:rPr>
              <w:t>62</w:t>
            </w:r>
            <w:r w:rsidRPr="00D61480">
              <w:rPr>
                <w:rFonts w:ascii="Arial" w:hAnsi="Arial"/>
                <w:sz w:val="18"/>
                <w:szCs w:val="18"/>
              </w:rPr>
              <w:t xml:space="preserve"> Parámetros técnicos planeamiento operativo SIN</w:t>
            </w:r>
            <w:r w:rsidR="002D3B44" w:rsidRPr="00D61480">
              <w:rPr>
                <w:rFonts w:ascii="Arial" w:hAnsi="Arial"/>
                <w:sz w:val="18"/>
                <w:szCs w:val="18"/>
              </w:rPr>
              <w:t>.</w:t>
            </w:r>
          </w:p>
          <w:p w14:paraId="6332B432" w14:textId="02570D41" w:rsidR="00696245" w:rsidRPr="00D61480" w:rsidRDefault="00696245" w:rsidP="004E0B95">
            <w:pPr>
              <w:pStyle w:val="Prrafodelista"/>
              <w:numPr>
                <w:ilvl w:val="0"/>
                <w:numId w:val="37"/>
              </w:numPr>
              <w:rPr>
                <w:rFonts w:ascii="Arial" w:hAnsi="Arial"/>
                <w:sz w:val="18"/>
                <w:szCs w:val="18"/>
              </w:rPr>
            </w:pPr>
            <w:r w:rsidRPr="00D61480">
              <w:rPr>
                <w:rFonts w:ascii="Arial" w:hAnsi="Arial"/>
                <w:sz w:val="18"/>
                <w:szCs w:val="18"/>
              </w:rPr>
              <w:t>Acuerdo CNO  1237 Generación mínima</w:t>
            </w:r>
            <w:r w:rsidR="002D3B44" w:rsidRPr="00D61480">
              <w:rPr>
                <w:rFonts w:ascii="Arial" w:hAnsi="Arial"/>
                <w:sz w:val="18"/>
                <w:szCs w:val="18"/>
              </w:rPr>
              <w:t xml:space="preserve">. </w:t>
            </w:r>
            <w:r w:rsidRPr="00D61480">
              <w:rPr>
                <w:rFonts w:ascii="Arial" w:hAnsi="Arial"/>
                <w:sz w:val="18"/>
                <w:szCs w:val="18"/>
              </w:rPr>
              <w:t>Programación de recursos</w:t>
            </w:r>
            <w:r w:rsidR="002D3B44" w:rsidRPr="00D61480">
              <w:rPr>
                <w:rFonts w:ascii="Arial" w:hAnsi="Arial"/>
                <w:sz w:val="18"/>
                <w:szCs w:val="18"/>
              </w:rPr>
              <w:t xml:space="preserve">. </w:t>
            </w:r>
            <w:r w:rsidRPr="00D61480">
              <w:rPr>
                <w:rFonts w:ascii="Arial" w:hAnsi="Arial"/>
                <w:sz w:val="18"/>
                <w:szCs w:val="18"/>
              </w:rPr>
              <w:t>Consignaciones, cambios de topología</w:t>
            </w:r>
          </w:p>
        </w:tc>
        <w:tc>
          <w:tcPr>
            <w:tcW w:w="510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7667175" w14:textId="77777777" w:rsidR="002D3B44" w:rsidRPr="00D61480" w:rsidRDefault="00696245" w:rsidP="004E0B95">
            <w:pPr>
              <w:pStyle w:val="Prrafodelista"/>
              <w:numPr>
                <w:ilvl w:val="0"/>
                <w:numId w:val="37"/>
              </w:numPr>
              <w:rPr>
                <w:rFonts w:ascii="Arial" w:hAnsi="Arial"/>
                <w:sz w:val="18"/>
                <w:szCs w:val="18"/>
              </w:rPr>
            </w:pPr>
            <w:r w:rsidRPr="00D61480">
              <w:rPr>
                <w:rFonts w:ascii="Arial" w:hAnsi="Arial"/>
                <w:sz w:val="18"/>
                <w:szCs w:val="18"/>
              </w:rPr>
              <w:t>Acuerdo CNO 1</w:t>
            </w:r>
            <w:r w:rsidR="002D3B44" w:rsidRPr="00D61480">
              <w:rPr>
                <w:rFonts w:ascii="Arial" w:hAnsi="Arial"/>
                <w:sz w:val="18"/>
                <w:szCs w:val="18"/>
              </w:rPr>
              <w:t>320</w:t>
            </w:r>
            <w:r w:rsidRPr="00D61480">
              <w:rPr>
                <w:rFonts w:ascii="Arial" w:hAnsi="Arial"/>
                <w:sz w:val="18"/>
                <w:szCs w:val="18"/>
              </w:rPr>
              <w:t xml:space="preserve"> Entrada en operación</w:t>
            </w:r>
            <w:r w:rsidR="002D3B44" w:rsidRPr="00D61480">
              <w:rPr>
                <w:rFonts w:ascii="Arial" w:hAnsi="Arial"/>
                <w:sz w:val="18"/>
                <w:szCs w:val="18"/>
              </w:rPr>
              <w:t xml:space="preserve">. </w:t>
            </w:r>
            <w:r w:rsidRPr="00D61480">
              <w:rPr>
                <w:rFonts w:ascii="Arial" w:hAnsi="Arial"/>
                <w:sz w:val="18"/>
                <w:szCs w:val="18"/>
              </w:rPr>
              <w:t>Plantas al SIN - Activos STN/STR</w:t>
            </w:r>
            <w:r w:rsidR="002D3B44" w:rsidRPr="00D61480">
              <w:rPr>
                <w:rFonts w:ascii="Arial" w:hAnsi="Arial"/>
                <w:sz w:val="18"/>
                <w:szCs w:val="18"/>
              </w:rPr>
              <w:t>.</w:t>
            </w:r>
          </w:p>
          <w:p w14:paraId="70375C28" w14:textId="77777777" w:rsidR="002D3B44" w:rsidRPr="00D61480" w:rsidRDefault="00696245" w:rsidP="004E0B95">
            <w:pPr>
              <w:pStyle w:val="Prrafodelista"/>
              <w:numPr>
                <w:ilvl w:val="0"/>
                <w:numId w:val="37"/>
              </w:numPr>
              <w:rPr>
                <w:rFonts w:ascii="Arial" w:hAnsi="Arial"/>
                <w:sz w:val="18"/>
                <w:szCs w:val="18"/>
              </w:rPr>
            </w:pPr>
            <w:r w:rsidRPr="00D61480">
              <w:rPr>
                <w:rFonts w:ascii="Arial" w:hAnsi="Arial"/>
                <w:sz w:val="18"/>
                <w:szCs w:val="18"/>
              </w:rPr>
              <w:t>Acuerdo CNO 1237 mínimos, rampas</w:t>
            </w:r>
            <w:r w:rsidR="002D3B44" w:rsidRPr="00D61480">
              <w:rPr>
                <w:rFonts w:ascii="Arial" w:hAnsi="Arial"/>
                <w:sz w:val="18"/>
                <w:szCs w:val="18"/>
              </w:rPr>
              <w:t>.</w:t>
            </w:r>
          </w:p>
          <w:p w14:paraId="77AAFA3C" w14:textId="16D75036" w:rsidR="00696245" w:rsidRPr="00D61480" w:rsidRDefault="00696245" w:rsidP="004E0B95">
            <w:pPr>
              <w:pStyle w:val="Prrafodelista"/>
              <w:numPr>
                <w:ilvl w:val="0"/>
                <w:numId w:val="37"/>
              </w:numPr>
              <w:rPr>
                <w:rFonts w:ascii="Arial" w:hAnsi="Arial"/>
                <w:sz w:val="18"/>
                <w:szCs w:val="18"/>
              </w:rPr>
            </w:pPr>
            <w:r w:rsidRPr="00D61480">
              <w:rPr>
                <w:rFonts w:ascii="Arial" w:hAnsi="Arial"/>
                <w:sz w:val="18"/>
                <w:szCs w:val="18"/>
              </w:rPr>
              <w:t>Acuerdo CNO 1322 Requisitos protecciones</w:t>
            </w:r>
            <w:r w:rsidR="002D3B44" w:rsidRPr="00D61480">
              <w:rPr>
                <w:rFonts w:ascii="Arial" w:hAnsi="Arial"/>
                <w:sz w:val="18"/>
                <w:szCs w:val="18"/>
              </w:rPr>
              <w:t>.</w:t>
            </w:r>
          </w:p>
        </w:tc>
      </w:tr>
      <w:tr w:rsidR="00696245" w:rsidRPr="00D61480" w14:paraId="33566896" w14:textId="77777777" w:rsidTr="00696245">
        <w:trPr>
          <w:trHeight w:val="437"/>
          <w:jc w:val="center"/>
        </w:trPr>
        <w:tc>
          <w:tcPr>
            <w:tcW w:w="11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AB3EB93" w14:textId="77777777" w:rsidR="00696245" w:rsidRPr="00D61480" w:rsidRDefault="00696245">
            <w:pPr>
              <w:rPr>
                <w:rFonts w:ascii="Arial" w:hAnsi="Arial"/>
                <w:sz w:val="18"/>
                <w:szCs w:val="18"/>
              </w:rPr>
            </w:pPr>
            <w:r w:rsidRPr="00D61480">
              <w:rPr>
                <w:rFonts w:ascii="Arial" w:hAnsi="Arial"/>
                <w:sz w:val="18"/>
                <w:szCs w:val="18"/>
              </w:rPr>
              <w:t>Frecuencia</w:t>
            </w:r>
          </w:p>
        </w:tc>
        <w:tc>
          <w:tcPr>
            <w:tcW w:w="13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3614D22" w14:textId="77777777" w:rsidR="00696245" w:rsidRPr="00D61480" w:rsidRDefault="00696245">
            <w:pPr>
              <w:rPr>
                <w:rFonts w:ascii="Arial" w:hAnsi="Arial"/>
                <w:sz w:val="18"/>
                <w:szCs w:val="18"/>
              </w:rPr>
            </w:pPr>
            <w:r w:rsidRPr="00D61480">
              <w:rPr>
                <w:rFonts w:ascii="Arial" w:hAnsi="Arial"/>
                <w:sz w:val="18"/>
                <w:szCs w:val="18"/>
              </w:rPr>
              <w:t xml:space="preserve">4 </w:t>
            </w:r>
            <w:proofErr w:type="spellStart"/>
            <w:r w:rsidRPr="00D61480">
              <w:rPr>
                <w:rFonts w:ascii="Arial" w:hAnsi="Arial"/>
                <w:sz w:val="18"/>
                <w:szCs w:val="18"/>
              </w:rPr>
              <w:t>sg</w:t>
            </w:r>
            <w:proofErr w:type="spellEnd"/>
            <w:r w:rsidRPr="00D61480">
              <w:rPr>
                <w:rFonts w:ascii="Arial" w:hAnsi="Arial"/>
                <w:sz w:val="18"/>
                <w:szCs w:val="18"/>
              </w:rPr>
              <w:t xml:space="preserve"> ± 10ms</w:t>
            </w:r>
          </w:p>
        </w:tc>
        <w:tc>
          <w:tcPr>
            <w:tcW w:w="22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6D8C5F4" w14:textId="77777777" w:rsidR="00696245" w:rsidRPr="00D61480" w:rsidRDefault="00696245">
            <w:pPr>
              <w:rPr>
                <w:rFonts w:ascii="Arial" w:hAnsi="Arial"/>
                <w:sz w:val="18"/>
                <w:szCs w:val="18"/>
              </w:rPr>
            </w:pPr>
            <w:r w:rsidRPr="00D61480">
              <w:rPr>
                <w:rFonts w:ascii="Arial" w:hAnsi="Arial"/>
                <w:sz w:val="18"/>
                <w:szCs w:val="18"/>
              </w:rPr>
              <w:t>1 día</w:t>
            </w:r>
          </w:p>
        </w:tc>
        <w:tc>
          <w:tcPr>
            <w:tcW w:w="510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52EE8C0" w14:textId="6B4CD0B9" w:rsidR="00696245" w:rsidRPr="00D61480" w:rsidRDefault="00696245">
            <w:pPr>
              <w:rPr>
                <w:rFonts w:ascii="Arial" w:hAnsi="Arial"/>
                <w:sz w:val="18"/>
                <w:szCs w:val="18"/>
              </w:rPr>
            </w:pPr>
            <w:r w:rsidRPr="00D61480">
              <w:rPr>
                <w:rFonts w:ascii="Arial" w:hAnsi="Arial"/>
                <w:sz w:val="18"/>
                <w:szCs w:val="18"/>
              </w:rPr>
              <w:t>-180 días proceso conexión, Estudio de Ajuste y Coordinación de Protecciones (A.1322), modelos recursos generación y controles asociados, modelos de control (simulación RMS), rampa operativa para arranque y parada, información histórica meteorológica (A.1</w:t>
            </w:r>
            <w:r w:rsidR="00447CA3" w:rsidRPr="00D61480">
              <w:rPr>
                <w:rFonts w:ascii="Arial" w:hAnsi="Arial"/>
                <w:sz w:val="18"/>
                <w:szCs w:val="18"/>
              </w:rPr>
              <w:t>319</w:t>
            </w:r>
            <w:r w:rsidRPr="00D61480">
              <w:rPr>
                <w:rFonts w:ascii="Arial" w:hAnsi="Arial"/>
                <w:sz w:val="18"/>
                <w:szCs w:val="18"/>
              </w:rPr>
              <w:t xml:space="preserve">), </w:t>
            </w:r>
          </w:p>
          <w:p w14:paraId="43A3CFB0" w14:textId="77777777" w:rsidR="00696245" w:rsidRPr="00D61480" w:rsidRDefault="00696245">
            <w:pPr>
              <w:rPr>
                <w:rFonts w:ascii="Arial" w:hAnsi="Arial"/>
                <w:sz w:val="18"/>
                <w:szCs w:val="18"/>
              </w:rPr>
            </w:pPr>
            <w:r w:rsidRPr="00D61480">
              <w:rPr>
                <w:rFonts w:ascii="Arial" w:hAnsi="Arial"/>
                <w:sz w:val="18"/>
                <w:szCs w:val="18"/>
              </w:rPr>
              <w:t>-90 días proceso supervisión, curva y tabla de estatismo y banda muerta, curva de capacidad PQ, certificado funcionalidad LVRT/HVTR.</w:t>
            </w:r>
          </w:p>
          <w:p w14:paraId="7E6366C7" w14:textId="77777777" w:rsidR="00696245" w:rsidRPr="00D61480" w:rsidRDefault="00696245">
            <w:pPr>
              <w:rPr>
                <w:rFonts w:ascii="Arial" w:hAnsi="Arial"/>
                <w:sz w:val="18"/>
                <w:szCs w:val="18"/>
              </w:rPr>
            </w:pPr>
            <w:r w:rsidRPr="00D61480">
              <w:rPr>
                <w:rFonts w:ascii="Arial" w:hAnsi="Arial"/>
                <w:sz w:val="18"/>
                <w:szCs w:val="18"/>
              </w:rPr>
              <w:t>-30 días señales SOE/SCADA, modelos de simulación RMS detallados.</w:t>
            </w:r>
          </w:p>
          <w:p w14:paraId="466AEA50" w14:textId="5A59CDE2" w:rsidR="00696245" w:rsidRPr="00D61480" w:rsidRDefault="00696245">
            <w:pPr>
              <w:rPr>
                <w:rFonts w:ascii="Arial" w:hAnsi="Arial"/>
                <w:sz w:val="18"/>
                <w:szCs w:val="18"/>
              </w:rPr>
            </w:pPr>
            <w:r w:rsidRPr="00D61480">
              <w:rPr>
                <w:rFonts w:ascii="Arial" w:hAnsi="Arial"/>
                <w:sz w:val="18"/>
                <w:szCs w:val="18"/>
              </w:rPr>
              <w:t>-15 días parámetros técnicos térmicos (Acuerdo CNO 1</w:t>
            </w:r>
            <w:r w:rsidR="00447CA3" w:rsidRPr="00D61480">
              <w:rPr>
                <w:rFonts w:ascii="Arial" w:hAnsi="Arial"/>
                <w:sz w:val="18"/>
                <w:szCs w:val="18"/>
              </w:rPr>
              <w:t>361</w:t>
            </w:r>
            <w:r w:rsidRPr="00D61480">
              <w:rPr>
                <w:rFonts w:ascii="Arial" w:hAnsi="Arial"/>
                <w:sz w:val="18"/>
                <w:szCs w:val="18"/>
              </w:rPr>
              <w:t>)</w:t>
            </w:r>
          </w:p>
          <w:p w14:paraId="0EABC905" w14:textId="77777777" w:rsidR="00696245" w:rsidRPr="00D61480" w:rsidRDefault="00696245">
            <w:pPr>
              <w:rPr>
                <w:rFonts w:ascii="Arial" w:hAnsi="Arial"/>
                <w:sz w:val="18"/>
                <w:szCs w:val="18"/>
              </w:rPr>
            </w:pPr>
            <w:r w:rsidRPr="00D61480">
              <w:rPr>
                <w:rFonts w:ascii="Arial" w:hAnsi="Arial"/>
                <w:sz w:val="18"/>
                <w:szCs w:val="18"/>
              </w:rPr>
              <w:t xml:space="preserve">-10 días variables adicionales (Acuerdo CNO  1237) </w:t>
            </w:r>
          </w:p>
          <w:p w14:paraId="6F4B8301" w14:textId="77777777" w:rsidR="00696245" w:rsidRPr="00D61480" w:rsidRDefault="00696245">
            <w:pPr>
              <w:rPr>
                <w:rFonts w:ascii="Arial" w:hAnsi="Arial"/>
                <w:sz w:val="18"/>
                <w:szCs w:val="18"/>
              </w:rPr>
            </w:pPr>
            <w:r w:rsidRPr="00D61480">
              <w:rPr>
                <w:rFonts w:ascii="Arial" w:hAnsi="Arial"/>
                <w:sz w:val="18"/>
                <w:szCs w:val="18"/>
              </w:rPr>
              <w:t>-10 días pruebas comunicaciones</w:t>
            </w:r>
          </w:p>
          <w:p w14:paraId="3EEDB46D" w14:textId="77777777" w:rsidR="00696245" w:rsidRPr="00D61480" w:rsidRDefault="00696245">
            <w:pPr>
              <w:rPr>
                <w:rFonts w:ascii="Arial" w:hAnsi="Arial"/>
                <w:sz w:val="18"/>
                <w:szCs w:val="18"/>
              </w:rPr>
            </w:pPr>
            <w:r w:rsidRPr="00D61480">
              <w:rPr>
                <w:rFonts w:ascii="Arial" w:hAnsi="Arial"/>
                <w:sz w:val="18"/>
                <w:szCs w:val="18"/>
              </w:rPr>
              <w:t>-5 días pruebas supervisión</w:t>
            </w:r>
          </w:p>
          <w:p w14:paraId="402F8533" w14:textId="77777777" w:rsidR="00696245" w:rsidRPr="00D61480" w:rsidRDefault="00696245">
            <w:pPr>
              <w:rPr>
                <w:rFonts w:ascii="Arial" w:hAnsi="Arial"/>
                <w:sz w:val="18"/>
                <w:szCs w:val="18"/>
              </w:rPr>
            </w:pPr>
            <w:r w:rsidRPr="00D61480">
              <w:rPr>
                <w:rFonts w:ascii="Arial" w:hAnsi="Arial"/>
                <w:sz w:val="18"/>
                <w:szCs w:val="18"/>
              </w:rPr>
              <w:t>-3 días información técnica definitiva y pruebas de estatismo y banda muerta, serios históricas últimos 6 meses (OEF, variables meteorológicas resolución 10 minutos)</w:t>
            </w:r>
          </w:p>
          <w:p w14:paraId="7A15D9EE" w14:textId="77777777" w:rsidR="00696245" w:rsidRPr="00D61480" w:rsidRDefault="00696245">
            <w:pPr>
              <w:rPr>
                <w:rFonts w:ascii="Arial" w:hAnsi="Arial"/>
                <w:sz w:val="18"/>
                <w:szCs w:val="18"/>
              </w:rPr>
            </w:pPr>
            <w:r w:rsidRPr="00D61480">
              <w:rPr>
                <w:rFonts w:ascii="Arial" w:hAnsi="Arial"/>
                <w:sz w:val="18"/>
                <w:szCs w:val="18"/>
              </w:rPr>
              <w:t>30 días ajuste de protecciones</w:t>
            </w:r>
          </w:p>
        </w:tc>
      </w:tr>
      <w:tr w:rsidR="00696245" w:rsidRPr="00D61480" w14:paraId="45555593" w14:textId="77777777" w:rsidTr="00696245">
        <w:trPr>
          <w:trHeight w:val="591"/>
          <w:jc w:val="center"/>
        </w:trPr>
        <w:tc>
          <w:tcPr>
            <w:tcW w:w="11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4F71657" w14:textId="77777777" w:rsidR="00696245" w:rsidRPr="00D61480" w:rsidRDefault="00696245">
            <w:pPr>
              <w:rPr>
                <w:rFonts w:ascii="Arial" w:hAnsi="Arial"/>
                <w:sz w:val="18"/>
                <w:szCs w:val="18"/>
              </w:rPr>
            </w:pPr>
            <w:r w:rsidRPr="00D61480">
              <w:rPr>
                <w:rFonts w:ascii="Arial" w:hAnsi="Arial"/>
                <w:sz w:val="18"/>
                <w:szCs w:val="18"/>
              </w:rPr>
              <w:lastRenderedPageBreak/>
              <w:t>Volumen</w:t>
            </w:r>
          </w:p>
        </w:tc>
        <w:tc>
          <w:tcPr>
            <w:tcW w:w="13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620C4E5" w14:textId="77777777" w:rsidR="00696245" w:rsidRPr="00D61480" w:rsidRDefault="00696245">
            <w:pPr>
              <w:rPr>
                <w:rFonts w:ascii="Arial" w:hAnsi="Arial"/>
                <w:sz w:val="18"/>
                <w:szCs w:val="18"/>
              </w:rPr>
            </w:pPr>
            <w:r w:rsidRPr="00D61480">
              <w:rPr>
                <w:rFonts w:ascii="Arial" w:hAnsi="Arial"/>
                <w:sz w:val="18"/>
                <w:szCs w:val="18"/>
              </w:rPr>
              <w:t>Plantas conectadas al SDL &gt; 5 MW</w:t>
            </w:r>
          </w:p>
        </w:tc>
        <w:tc>
          <w:tcPr>
            <w:tcW w:w="22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22E755D" w14:textId="77777777" w:rsidR="00696245" w:rsidRPr="00D61480" w:rsidRDefault="00696245">
            <w:pPr>
              <w:rPr>
                <w:rFonts w:ascii="Arial" w:hAnsi="Arial"/>
                <w:sz w:val="18"/>
                <w:szCs w:val="18"/>
              </w:rPr>
            </w:pPr>
            <w:r w:rsidRPr="00D61480">
              <w:rPr>
                <w:rFonts w:ascii="Arial" w:hAnsi="Arial"/>
                <w:sz w:val="18"/>
                <w:szCs w:val="18"/>
              </w:rPr>
              <w:t>Plantas disponibilidad horaria</w:t>
            </w:r>
          </w:p>
        </w:tc>
        <w:tc>
          <w:tcPr>
            <w:tcW w:w="510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B59210B" w14:textId="77777777" w:rsidR="00696245" w:rsidRPr="00D61480" w:rsidRDefault="00696245">
            <w:pPr>
              <w:rPr>
                <w:rFonts w:ascii="Arial" w:hAnsi="Arial"/>
                <w:sz w:val="18"/>
                <w:szCs w:val="18"/>
              </w:rPr>
            </w:pPr>
            <w:r w:rsidRPr="00D61480">
              <w:rPr>
                <w:rFonts w:ascii="Arial" w:hAnsi="Arial"/>
                <w:sz w:val="18"/>
                <w:szCs w:val="18"/>
              </w:rPr>
              <w:t>Por cada planta o activo para conexión al SIN</w:t>
            </w:r>
          </w:p>
        </w:tc>
      </w:tr>
    </w:tbl>
    <w:p w14:paraId="75C0B32E" w14:textId="77777777" w:rsidR="00696245" w:rsidRPr="00D61480" w:rsidRDefault="00696245" w:rsidP="00696245">
      <w:pPr>
        <w:jc w:val="center"/>
        <w:rPr>
          <w:rFonts w:ascii="Arial" w:hAnsi="Arial"/>
          <w:sz w:val="16"/>
          <w:szCs w:val="16"/>
          <w:lang w:eastAsia="en-US"/>
        </w:rPr>
      </w:pPr>
      <w:r w:rsidRPr="00D61480">
        <w:rPr>
          <w:rFonts w:ascii="Arial" w:hAnsi="Arial"/>
          <w:sz w:val="16"/>
          <w:szCs w:val="16"/>
        </w:rPr>
        <w:t>Tabla 4. Variables operativas requeridas para plantas de generación</w:t>
      </w:r>
    </w:p>
    <w:p w14:paraId="7CA6D030" w14:textId="77777777" w:rsidR="00696245" w:rsidRPr="00D61480" w:rsidRDefault="00696245" w:rsidP="00696245">
      <w:pPr>
        <w:rPr>
          <w:rFonts w:ascii="Arial" w:hAnsi="Arial"/>
          <w:sz w:val="20"/>
          <w:szCs w:val="20"/>
        </w:rPr>
      </w:pPr>
    </w:p>
    <w:p w14:paraId="268DB19B" w14:textId="77777777" w:rsidR="00696245" w:rsidRPr="00D61480" w:rsidRDefault="00696245" w:rsidP="00696245">
      <w:pPr>
        <w:rPr>
          <w:rFonts w:ascii="Arial" w:hAnsi="Arial"/>
          <w:sz w:val="20"/>
          <w:szCs w:val="20"/>
        </w:rPr>
      </w:pPr>
      <w:r w:rsidRPr="00D61480">
        <w:rPr>
          <w:rFonts w:ascii="Arial" w:hAnsi="Arial"/>
          <w:sz w:val="20"/>
          <w:szCs w:val="20"/>
        </w:rPr>
        <w:t>Algunas precisiones adicionales sobre la supervisión y control de los DER, específicamente fotovoltaica y eólica, por parte del operador del sistema, los operadores de red y otros agentes:</w:t>
      </w:r>
    </w:p>
    <w:p w14:paraId="24E35E01" w14:textId="77777777" w:rsidR="00696245" w:rsidRPr="00D61480" w:rsidRDefault="00696245" w:rsidP="00696245">
      <w:pPr>
        <w:rPr>
          <w:rFonts w:ascii="Arial" w:hAnsi="Arial"/>
          <w:sz w:val="20"/>
          <w:szCs w:val="20"/>
        </w:rPr>
      </w:pPr>
    </w:p>
    <w:p w14:paraId="419A05E9" w14:textId="1E2C22C4" w:rsidR="00696245" w:rsidRPr="00D61480" w:rsidRDefault="00696245" w:rsidP="004E0B95">
      <w:pPr>
        <w:pStyle w:val="Prrafodelista"/>
        <w:numPr>
          <w:ilvl w:val="0"/>
          <w:numId w:val="28"/>
        </w:numPr>
        <w:spacing w:line="256" w:lineRule="auto"/>
        <w:rPr>
          <w:rFonts w:ascii="Arial" w:hAnsi="Arial"/>
          <w:sz w:val="20"/>
          <w:szCs w:val="20"/>
        </w:rPr>
      </w:pPr>
      <w:r w:rsidRPr="00D61480">
        <w:rPr>
          <w:rFonts w:ascii="Arial" w:hAnsi="Arial"/>
          <w:sz w:val="20"/>
          <w:szCs w:val="20"/>
        </w:rPr>
        <w:t>Plantas mayores a 5</w:t>
      </w:r>
      <w:r w:rsidR="00447CA3" w:rsidRPr="00D61480">
        <w:rPr>
          <w:rFonts w:ascii="Arial" w:hAnsi="Arial"/>
          <w:sz w:val="20"/>
          <w:szCs w:val="20"/>
        </w:rPr>
        <w:t xml:space="preserve"> </w:t>
      </w:r>
      <w:r w:rsidRPr="00D61480">
        <w:rPr>
          <w:rFonts w:ascii="Arial" w:hAnsi="Arial"/>
          <w:sz w:val="20"/>
          <w:szCs w:val="20"/>
        </w:rPr>
        <w:t xml:space="preserve">MW fotovoltaicas o eólicas, cumplen con los requisitos de conexión y operación definidos en la </w:t>
      </w:r>
      <w:proofErr w:type="spellStart"/>
      <w:r w:rsidRPr="00D61480">
        <w:rPr>
          <w:rFonts w:ascii="Arial" w:hAnsi="Arial"/>
          <w:sz w:val="20"/>
          <w:szCs w:val="20"/>
        </w:rPr>
        <w:t>R</w:t>
      </w:r>
      <w:r w:rsidR="00447CA3" w:rsidRPr="00D61480">
        <w:rPr>
          <w:rFonts w:ascii="Arial" w:hAnsi="Arial"/>
          <w:sz w:val="20"/>
          <w:szCs w:val="20"/>
        </w:rPr>
        <w:t>eolución</w:t>
      </w:r>
      <w:proofErr w:type="spellEnd"/>
      <w:r w:rsidRPr="00D61480">
        <w:rPr>
          <w:rFonts w:ascii="Arial" w:hAnsi="Arial"/>
          <w:sz w:val="20"/>
          <w:szCs w:val="20"/>
        </w:rPr>
        <w:t xml:space="preserve"> CREG 060 del 2019, y el acuerdo CNO 1</w:t>
      </w:r>
      <w:r w:rsidR="00447CA3" w:rsidRPr="00D61480">
        <w:rPr>
          <w:rFonts w:ascii="Arial" w:hAnsi="Arial"/>
          <w:sz w:val="20"/>
          <w:szCs w:val="20"/>
        </w:rPr>
        <w:t>320</w:t>
      </w:r>
      <w:r w:rsidRPr="00D61480">
        <w:rPr>
          <w:rFonts w:ascii="Arial" w:hAnsi="Arial"/>
          <w:sz w:val="20"/>
          <w:szCs w:val="20"/>
        </w:rPr>
        <w:t>. Adicionalmente debe cumplir requisitos de medida establecidos en la RES CREG 038 del 2014. La observabilidad de estas plantas se hace a través de centros de control de los operadores de red o del CND por intercambio de información o incluso de forma directa desde el CND.</w:t>
      </w:r>
    </w:p>
    <w:p w14:paraId="5FC753BF" w14:textId="77777777" w:rsidR="00447CA3" w:rsidRPr="00D61480" w:rsidRDefault="00447CA3" w:rsidP="00447CA3">
      <w:pPr>
        <w:pStyle w:val="Prrafodelista"/>
        <w:spacing w:line="256" w:lineRule="auto"/>
        <w:ind w:left="360"/>
        <w:rPr>
          <w:rFonts w:ascii="Arial" w:hAnsi="Arial"/>
          <w:sz w:val="20"/>
          <w:szCs w:val="20"/>
        </w:rPr>
      </w:pPr>
    </w:p>
    <w:p w14:paraId="4CE1824D" w14:textId="1E3E86D5" w:rsidR="00696245" w:rsidRPr="00D61480" w:rsidRDefault="00696245" w:rsidP="004E0B95">
      <w:pPr>
        <w:pStyle w:val="Prrafodelista"/>
        <w:numPr>
          <w:ilvl w:val="0"/>
          <w:numId w:val="28"/>
        </w:numPr>
        <w:spacing w:line="256" w:lineRule="auto"/>
        <w:rPr>
          <w:rFonts w:ascii="Arial" w:hAnsi="Arial"/>
          <w:sz w:val="20"/>
          <w:szCs w:val="20"/>
        </w:rPr>
      </w:pPr>
      <w:r w:rsidRPr="00D61480">
        <w:rPr>
          <w:rFonts w:ascii="Arial" w:hAnsi="Arial"/>
          <w:sz w:val="20"/>
          <w:szCs w:val="20"/>
        </w:rPr>
        <w:t>Plantas menores a 5MW fotovoltaicas o eólicas, cumplen con los requisitos de conexión y operación definidos en la RES CREG 030 del 2018. Adicionalmente debe cumplir requisitos de medida establecidos en la RES CREG 038 del 2014. La observabilidad de estas plantas se hace a través de medición inteligente AMI que se integra a los centros de gestión de medida (en algunos casos) logrando observar variables de operación como por ejemplo voltaje por fase, corriente por fase, potencia activa y reactiva, energía activa y reactiva, alarmas, entre otras.</w:t>
      </w:r>
    </w:p>
    <w:p w14:paraId="0250A8D5" w14:textId="77777777" w:rsidR="00696245" w:rsidRPr="00D61480" w:rsidRDefault="00696245" w:rsidP="00696245">
      <w:pPr>
        <w:rPr>
          <w:rFonts w:ascii="Arial" w:hAnsi="Arial"/>
          <w:sz w:val="20"/>
          <w:szCs w:val="20"/>
        </w:rPr>
      </w:pPr>
    </w:p>
    <w:p w14:paraId="6B699339" w14:textId="38ACEF83" w:rsidR="00696245" w:rsidRPr="00D61480" w:rsidRDefault="00696245" w:rsidP="00447CA3">
      <w:pPr>
        <w:pStyle w:val="Ttulo2"/>
        <w:numPr>
          <w:ilvl w:val="1"/>
          <w:numId w:val="12"/>
        </w:numPr>
        <w:jc w:val="both"/>
        <w:rPr>
          <w:rFonts w:ascii="Arial" w:hAnsi="Arial"/>
          <w:sz w:val="20"/>
          <w:szCs w:val="20"/>
        </w:rPr>
      </w:pPr>
      <w:bookmarkStart w:id="8" w:name="_Toc52213533"/>
      <w:r w:rsidRPr="00D61480">
        <w:rPr>
          <w:rFonts w:ascii="Arial" w:hAnsi="Arial"/>
          <w:sz w:val="20"/>
          <w:szCs w:val="20"/>
        </w:rPr>
        <w:t>Ciberseguridad</w:t>
      </w:r>
      <w:bookmarkEnd w:id="8"/>
      <w:r w:rsidR="00447CA3" w:rsidRPr="00D61480">
        <w:rPr>
          <w:rFonts w:ascii="Arial" w:hAnsi="Arial"/>
          <w:sz w:val="20"/>
          <w:szCs w:val="20"/>
        </w:rPr>
        <w:t>.</w:t>
      </w:r>
    </w:p>
    <w:p w14:paraId="4C41D31E" w14:textId="77777777" w:rsidR="00696245" w:rsidRPr="00D61480" w:rsidRDefault="00696245" w:rsidP="00696245">
      <w:pPr>
        <w:rPr>
          <w:rFonts w:ascii="Arial" w:hAnsi="Arial"/>
          <w:sz w:val="20"/>
          <w:szCs w:val="20"/>
        </w:rPr>
      </w:pPr>
    </w:p>
    <w:p w14:paraId="144CF58D" w14:textId="77777777" w:rsidR="00696245" w:rsidRPr="00D61480" w:rsidRDefault="00696245" w:rsidP="00696245">
      <w:pPr>
        <w:rPr>
          <w:rFonts w:ascii="Arial" w:hAnsi="Arial"/>
          <w:sz w:val="20"/>
          <w:szCs w:val="20"/>
        </w:rPr>
      </w:pPr>
      <w:r w:rsidRPr="00D61480">
        <w:rPr>
          <w:rFonts w:ascii="Arial" w:hAnsi="Arial"/>
          <w:sz w:val="20"/>
          <w:szCs w:val="20"/>
        </w:rPr>
        <w:t>La globalización y el uso de las Tecnologías de la Información y las Comunicaciones, así como las tecnologías de operación en todas las áreas del conocimiento y la sociedad, traen consigo nuevos retos, escenarios y riesgos en el ecosistema digital, los cuales pueden afectar la sostenibilidad y competitividad de los países. Es así, que Colombia desde el año 2011, ha visto la dependencia e importancia de las TIC en los servicios esenciales de la Nación y su infraestructura crítica, por lo tanto, mediante el CONPES 3701 de 2011 y el 3854 de 2016, estableció a la ICCN como un activo nacional a ser protegido de las amenazas en el ciberespacio, en aras de garantizar la sostenibilidad y prosperidad económica y social del país. Así mismo, el Ministerio de Defensa de Colombia admite que la protección de la soberanía y los ciudadanos depende en gran medida de la lucha contra la delincuencia cibernética y de la defensa de la ICCN. Por tanto, el Plan Estratégico del Sector Defensa y Seguridad establece como una de sus metas “el desarrollo de una estrategia de cooperación conjunta, que permita generar todas las acciones necesarias para la protección de la infraestructura en el ámbito cibernético, que pueda comprometer la seguridad nacional”. Actualmente y de acuerdo con el Catálogo de Infraestructura Crítica Cibernética de Colombia Versión 1.0, sectores como el eléctrico están catalogados como de muy alto impacto en la ICCN, en razón a que sus procesos funcionales guardan una alta dependencia con las TIC. Otras plataformas críticas cibernéticas se encuentran distribuidas en el sector financiero, transporte e hidrocarburos, los cuales encuentran riesgos cibernéticos de alto impacto en la prestación de sus servicios esenciales, así mismo basan su operación en plataformas digitales que en la mayoría de los casos se conectan a internet (Plan Nacional de Protección y Defensa para la Infraestructura Crítica Cibernética de Colombia PNPICCN V 1.0 Año 2017).</w:t>
      </w:r>
    </w:p>
    <w:p w14:paraId="41F70B35" w14:textId="77777777" w:rsidR="00447CA3" w:rsidRPr="00D61480" w:rsidRDefault="00447CA3" w:rsidP="00696245">
      <w:pPr>
        <w:rPr>
          <w:rFonts w:ascii="Arial" w:hAnsi="Arial"/>
          <w:sz w:val="20"/>
          <w:szCs w:val="20"/>
        </w:rPr>
      </w:pPr>
    </w:p>
    <w:p w14:paraId="6774D8EB" w14:textId="393E71FA" w:rsidR="00696245" w:rsidRPr="00D61480" w:rsidRDefault="00696245" w:rsidP="00696245">
      <w:pPr>
        <w:rPr>
          <w:rFonts w:ascii="Arial" w:hAnsi="Arial"/>
          <w:sz w:val="20"/>
          <w:szCs w:val="20"/>
        </w:rPr>
      </w:pPr>
      <w:r w:rsidRPr="00D61480">
        <w:rPr>
          <w:rFonts w:ascii="Arial" w:hAnsi="Arial"/>
          <w:sz w:val="20"/>
          <w:szCs w:val="20"/>
        </w:rPr>
        <w:t>Del anterior documento se desprende la Guía de Elaboración del plan de protección específico para la infraestructura critica cibernética nacional del Sector Eléctrico el cual esta implementado a través del acuerdo CNO 1</w:t>
      </w:r>
      <w:r w:rsidR="00447CA3" w:rsidRPr="00D61480">
        <w:rPr>
          <w:rFonts w:ascii="Arial" w:hAnsi="Arial"/>
          <w:sz w:val="20"/>
          <w:szCs w:val="20"/>
        </w:rPr>
        <w:t>347,</w:t>
      </w:r>
      <w:r w:rsidRPr="00D61480">
        <w:rPr>
          <w:rFonts w:ascii="Arial" w:hAnsi="Arial"/>
          <w:sz w:val="20"/>
          <w:szCs w:val="20"/>
        </w:rPr>
        <w:t xml:space="preserve"> en el cual se reglamenta las actividades y la periodicidad para la actualización de los activos críticos eléctricos en el país. Para la elaboración de esta guía se utilizó principalmente como referente la normativa publicada por la NERC (</w:t>
      </w:r>
      <w:r w:rsidRPr="00D61480">
        <w:rPr>
          <w:rFonts w:ascii="Arial" w:hAnsi="Arial"/>
          <w:i/>
          <w:iCs/>
          <w:sz w:val="20"/>
          <w:szCs w:val="20"/>
        </w:rPr>
        <w:t xml:space="preserve">North American Electric </w:t>
      </w:r>
      <w:proofErr w:type="spellStart"/>
      <w:r w:rsidRPr="00D61480">
        <w:rPr>
          <w:rFonts w:ascii="Arial" w:hAnsi="Arial"/>
          <w:i/>
          <w:iCs/>
          <w:sz w:val="20"/>
          <w:szCs w:val="20"/>
        </w:rPr>
        <w:t>Reliability</w:t>
      </w:r>
      <w:proofErr w:type="spellEnd"/>
      <w:r w:rsidRPr="00D61480">
        <w:rPr>
          <w:rFonts w:ascii="Arial" w:hAnsi="Arial"/>
          <w:i/>
          <w:iCs/>
          <w:sz w:val="20"/>
          <w:szCs w:val="20"/>
        </w:rPr>
        <w:t xml:space="preserve"> </w:t>
      </w:r>
      <w:proofErr w:type="spellStart"/>
      <w:r w:rsidRPr="00D61480">
        <w:rPr>
          <w:rFonts w:ascii="Arial" w:hAnsi="Arial"/>
          <w:i/>
          <w:iCs/>
          <w:sz w:val="20"/>
          <w:szCs w:val="20"/>
        </w:rPr>
        <w:t>Corporation</w:t>
      </w:r>
      <w:proofErr w:type="spellEnd"/>
      <w:r w:rsidRPr="00D61480">
        <w:rPr>
          <w:rFonts w:ascii="Arial" w:hAnsi="Arial"/>
          <w:sz w:val="20"/>
          <w:szCs w:val="20"/>
        </w:rPr>
        <w:t>) y compuesta por los estándares CIP (</w:t>
      </w:r>
      <w:proofErr w:type="spellStart"/>
      <w:r w:rsidRPr="00D61480">
        <w:rPr>
          <w:rFonts w:ascii="Arial" w:hAnsi="Arial"/>
          <w:i/>
          <w:iCs/>
          <w:sz w:val="20"/>
          <w:szCs w:val="20"/>
        </w:rPr>
        <w:t>Critical</w:t>
      </w:r>
      <w:proofErr w:type="spellEnd"/>
      <w:r w:rsidRPr="00D61480">
        <w:rPr>
          <w:rFonts w:ascii="Arial" w:hAnsi="Arial"/>
          <w:i/>
          <w:iCs/>
          <w:sz w:val="20"/>
          <w:szCs w:val="20"/>
        </w:rPr>
        <w:t xml:space="preserve"> </w:t>
      </w:r>
      <w:proofErr w:type="spellStart"/>
      <w:r w:rsidRPr="00D61480">
        <w:rPr>
          <w:rFonts w:ascii="Arial" w:hAnsi="Arial"/>
          <w:i/>
          <w:iCs/>
          <w:sz w:val="20"/>
          <w:szCs w:val="20"/>
        </w:rPr>
        <w:t>Infrastructure</w:t>
      </w:r>
      <w:proofErr w:type="spellEnd"/>
      <w:r w:rsidRPr="00D61480">
        <w:rPr>
          <w:rFonts w:ascii="Arial" w:hAnsi="Arial"/>
          <w:i/>
          <w:iCs/>
          <w:sz w:val="20"/>
          <w:szCs w:val="20"/>
        </w:rPr>
        <w:t xml:space="preserve"> </w:t>
      </w:r>
      <w:proofErr w:type="spellStart"/>
      <w:r w:rsidRPr="00D61480">
        <w:rPr>
          <w:rFonts w:ascii="Arial" w:hAnsi="Arial"/>
          <w:i/>
          <w:iCs/>
          <w:sz w:val="20"/>
          <w:szCs w:val="20"/>
        </w:rPr>
        <w:t>Protection</w:t>
      </w:r>
      <w:proofErr w:type="spellEnd"/>
      <w:r w:rsidRPr="00D61480">
        <w:rPr>
          <w:rFonts w:ascii="Arial" w:hAnsi="Arial"/>
          <w:sz w:val="20"/>
          <w:szCs w:val="20"/>
        </w:rPr>
        <w:t>), CIP-002 a CIP-014, de los cuales se extractaron y adaptaron aspectos aplicables al caso colombiano que fueron revisados por expertos de diferentes empresas del sector asignados a la comisión de ciberseguridad y el comité de supervisión y ciberseguridad (antes comité tecnológico) del CNO. Las normas NERC CIP-002 a la CIP-014, tratan:</w:t>
      </w:r>
    </w:p>
    <w:p w14:paraId="2BA7592B" w14:textId="77777777" w:rsidR="00447CA3" w:rsidRPr="00D61480" w:rsidRDefault="00447CA3" w:rsidP="00696245">
      <w:pPr>
        <w:rPr>
          <w:rFonts w:ascii="Arial" w:hAnsi="Arial"/>
          <w:sz w:val="20"/>
          <w:szCs w:val="20"/>
        </w:rPr>
      </w:pPr>
    </w:p>
    <w:p w14:paraId="08B2A024" w14:textId="175A4A59"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CIP-002-5</w:t>
      </w:r>
      <w:r w:rsidR="00447CA3" w:rsidRPr="00D61480">
        <w:rPr>
          <w:rFonts w:ascii="Arial" w:hAnsi="Arial"/>
          <w:sz w:val="20"/>
          <w:szCs w:val="20"/>
        </w:rPr>
        <w:t>.1</w:t>
      </w:r>
      <w:r w:rsidRPr="00D61480">
        <w:rPr>
          <w:rFonts w:ascii="Arial" w:hAnsi="Arial"/>
          <w:sz w:val="20"/>
          <w:szCs w:val="20"/>
        </w:rPr>
        <w:t xml:space="preserve">a Categorización de </w:t>
      </w:r>
      <w:proofErr w:type="spellStart"/>
      <w:r w:rsidRPr="00D61480">
        <w:rPr>
          <w:rFonts w:ascii="Arial" w:hAnsi="Arial"/>
          <w:sz w:val="20"/>
          <w:szCs w:val="20"/>
        </w:rPr>
        <w:t>ciberactivos</w:t>
      </w:r>
      <w:proofErr w:type="spellEnd"/>
      <w:r w:rsidRPr="00D61480">
        <w:rPr>
          <w:rFonts w:ascii="Arial" w:hAnsi="Arial"/>
          <w:sz w:val="20"/>
          <w:szCs w:val="20"/>
        </w:rPr>
        <w:t xml:space="preserve"> críticos.</w:t>
      </w:r>
    </w:p>
    <w:p w14:paraId="47B646B7" w14:textId="77777777"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CIP-003-7 Gestión de controles de seguridad.</w:t>
      </w:r>
    </w:p>
    <w:p w14:paraId="36C3B8D1" w14:textId="77777777"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CIP-004-6 Personal y entrenamiento.</w:t>
      </w:r>
    </w:p>
    <w:p w14:paraId="0D95F7B4" w14:textId="77777777"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CIP-005-6 Perímetro(s) de seguridad electrónica.</w:t>
      </w:r>
    </w:p>
    <w:p w14:paraId="4D4C7CB2" w14:textId="77777777"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 xml:space="preserve">CIP-006-6 Seguridad física de </w:t>
      </w:r>
      <w:proofErr w:type="spellStart"/>
      <w:r w:rsidRPr="00D61480">
        <w:rPr>
          <w:rFonts w:ascii="Arial" w:hAnsi="Arial"/>
          <w:sz w:val="20"/>
          <w:szCs w:val="20"/>
        </w:rPr>
        <w:t>ciberactivos</w:t>
      </w:r>
      <w:proofErr w:type="spellEnd"/>
      <w:r w:rsidRPr="00D61480">
        <w:rPr>
          <w:rFonts w:ascii="Arial" w:hAnsi="Arial"/>
          <w:sz w:val="20"/>
          <w:szCs w:val="20"/>
        </w:rPr>
        <w:t xml:space="preserve"> críticos.</w:t>
      </w:r>
    </w:p>
    <w:p w14:paraId="0A589D5F" w14:textId="77777777"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CIP-007-6 Gestión de seguridad del sistema.</w:t>
      </w:r>
    </w:p>
    <w:p w14:paraId="0499FDC9" w14:textId="77777777"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CIP-008-5 Reporte de incidentes planes de respuesta.</w:t>
      </w:r>
    </w:p>
    <w:p w14:paraId="22A9CB4F" w14:textId="77777777"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 xml:space="preserve">CIP-009-6 Planes de recuperación de </w:t>
      </w:r>
      <w:proofErr w:type="spellStart"/>
      <w:r w:rsidRPr="00D61480">
        <w:rPr>
          <w:rFonts w:ascii="Arial" w:hAnsi="Arial"/>
          <w:sz w:val="20"/>
          <w:szCs w:val="20"/>
        </w:rPr>
        <w:t>ciberactivos</w:t>
      </w:r>
      <w:proofErr w:type="spellEnd"/>
      <w:r w:rsidRPr="00D61480">
        <w:rPr>
          <w:rFonts w:ascii="Arial" w:hAnsi="Arial"/>
          <w:sz w:val="20"/>
          <w:szCs w:val="20"/>
        </w:rPr>
        <w:t xml:space="preserve"> críticos.</w:t>
      </w:r>
    </w:p>
    <w:p w14:paraId="66E94D85" w14:textId="77777777"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CIP-010-3 Gestión de la configuración, cambios y evaluación de vulnerabilidades.</w:t>
      </w:r>
    </w:p>
    <w:p w14:paraId="1F4FCD85" w14:textId="77777777"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CIP-011-2 Protección de la información.</w:t>
      </w:r>
    </w:p>
    <w:p w14:paraId="538C37DD" w14:textId="77777777"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CIP-013-1 Ciberseguridad cadena de suministro.</w:t>
      </w:r>
    </w:p>
    <w:p w14:paraId="4547FD3D" w14:textId="77777777"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CIP-014-2 Seguridad física.</w:t>
      </w:r>
    </w:p>
    <w:p w14:paraId="75CAF2D6" w14:textId="5E2E9CCF" w:rsidR="00696245" w:rsidRPr="00D61480" w:rsidRDefault="00696245" w:rsidP="004E0B95">
      <w:pPr>
        <w:pStyle w:val="Prrafodelista"/>
        <w:numPr>
          <w:ilvl w:val="0"/>
          <w:numId w:val="29"/>
        </w:numPr>
        <w:spacing w:after="160" w:line="256" w:lineRule="auto"/>
        <w:jc w:val="left"/>
        <w:rPr>
          <w:rFonts w:ascii="Arial" w:hAnsi="Arial"/>
          <w:sz w:val="20"/>
          <w:szCs w:val="20"/>
        </w:rPr>
      </w:pPr>
      <w:r w:rsidRPr="00D61480">
        <w:rPr>
          <w:rFonts w:ascii="Arial" w:hAnsi="Arial"/>
          <w:sz w:val="20"/>
          <w:szCs w:val="20"/>
        </w:rPr>
        <w:t>Criterios de activos críticos (Anexo 1347).</w:t>
      </w:r>
    </w:p>
    <w:p w14:paraId="13B3E311" w14:textId="77777777" w:rsidR="00696245" w:rsidRPr="00D61480" w:rsidRDefault="00696245" w:rsidP="00696245">
      <w:pPr>
        <w:rPr>
          <w:rFonts w:ascii="Arial" w:hAnsi="Arial"/>
          <w:sz w:val="20"/>
          <w:szCs w:val="20"/>
        </w:rPr>
      </w:pPr>
    </w:p>
    <w:p w14:paraId="771AB6E0" w14:textId="77777777" w:rsidR="00696245" w:rsidRPr="00D61480" w:rsidRDefault="00696245" w:rsidP="00696245">
      <w:pPr>
        <w:rPr>
          <w:rFonts w:ascii="Arial" w:hAnsi="Arial"/>
          <w:sz w:val="20"/>
          <w:szCs w:val="20"/>
        </w:rPr>
      </w:pPr>
      <w:r w:rsidRPr="00D61480">
        <w:rPr>
          <w:rFonts w:ascii="Arial" w:hAnsi="Arial"/>
          <w:sz w:val="20"/>
          <w:szCs w:val="20"/>
        </w:rPr>
        <w:t xml:space="preserve">Desde el punto normativo, se destaca la norma NTC 6079, la cual define los requerimientos de comunicación y ciberseguridad aplicables a la infraestructura de medición avanzada AMI. La norma fue incluida dentro de la resolución CREG 131 (en consulta). </w:t>
      </w:r>
    </w:p>
    <w:p w14:paraId="3EDC7949" w14:textId="77777777" w:rsidR="0002558B" w:rsidRPr="00D61480" w:rsidRDefault="0002558B" w:rsidP="00696245">
      <w:pPr>
        <w:rPr>
          <w:rFonts w:ascii="Arial" w:hAnsi="Arial"/>
          <w:sz w:val="20"/>
          <w:szCs w:val="20"/>
        </w:rPr>
      </w:pPr>
    </w:p>
    <w:p w14:paraId="56E695F3" w14:textId="3D429860" w:rsidR="00696245" w:rsidRPr="00D61480" w:rsidRDefault="00696245" w:rsidP="00696245">
      <w:pPr>
        <w:rPr>
          <w:rFonts w:ascii="Arial" w:hAnsi="Arial"/>
          <w:sz w:val="20"/>
          <w:szCs w:val="20"/>
        </w:rPr>
      </w:pPr>
      <w:r w:rsidRPr="00D61480">
        <w:rPr>
          <w:rFonts w:ascii="Arial" w:hAnsi="Arial"/>
          <w:sz w:val="20"/>
          <w:szCs w:val="20"/>
        </w:rPr>
        <w:t>Los requisitos de comunicación están divididos en: requisitos generales y requisitos para tecnologías, protocolos y modelos de datos. Entre estos requisitos se destacan:</w:t>
      </w:r>
    </w:p>
    <w:p w14:paraId="64F48C73" w14:textId="77777777" w:rsidR="0002558B" w:rsidRPr="00D61480" w:rsidRDefault="0002558B" w:rsidP="00696245">
      <w:pPr>
        <w:rPr>
          <w:rFonts w:ascii="Arial" w:hAnsi="Arial"/>
          <w:sz w:val="20"/>
          <w:szCs w:val="20"/>
        </w:rPr>
      </w:pPr>
    </w:p>
    <w:p w14:paraId="67137EBD" w14:textId="77777777" w:rsidR="00696245" w:rsidRPr="00D61480" w:rsidRDefault="00696245" w:rsidP="004E0B95">
      <w:pPr>
        <w:pStyle w:val="Prrafodelista"/>
        <w:numPr>
          <w:ilvl w:val="0"/>
          <w:numId w:val="30"/>
        </w:numPr>
        <w:spacing w:after="160" w:line="256" w:lineRule="auto"/>
        <w:rPr>
          <w:rFonts w:ascii="Arial" w:hAnsi="Arial"/>
          <w:sz w:val="20"/>
          <w:szCs w:val="20"/>
        </w:rPr>
      </w:pPr>
      <w:r w:rsidRPr="00D61480">
        <w:rPr>
          <w:rFonts w:ascii="Arial" w:hAnsi="Arial"/>
          <w:sz w:val="20"/>
          <w:szCs w:val="20"/>
        </w:rPr>
        <w:t xml:space="preserve">Los sistemas AMI deben estar habilitados para comunicaciones bidireccionales seguras con sistemas y dispositivos autorizados. Esto aplica para todas las interfaces de comunicación. </w:t>
      </w:r>
    </w:p>
    <w:p w14:paraId="59C88DE6" w14:textId="77777777" w:rsidR="00F51940" w:rsidRPr="00D61480" w:rsidRDefault="00F51940" w:rsidP="00F51940">
      <w:pPr>
        <w:pStyle w:val="Prrafodelista"/>
        <w:spacing w:after="160" w:line="256" w:lineRule="auto"/>
        <w:ind w:left="360"/>
        <w:rPr>
          <w:rFonts w:ascii="Arial" w:hAnsi="Arial"/>
          <w:sz w:val="20"/>
          <w:szCs w:val="20"/>
        </w:rPr>
      </w:pPr>
    </w:p>
    <w:p w14:paraId="71F21557" w14:textId="280B6FB0" w:rsidR="00696245" w:rsidRPr="00D61480" w:rsidRDefault="00696245" w:rsidP="004E0B95">
      <w:pPr>
        <w:pStyle w:val="Prrafodelista"/>
        <w:numPr>
          <w:ilvl w:val="0"/>
          <w:numId w:val="30"/>
        </w:numPr>
        <w:spacing w:after="160" w:line="256" w:lineRule="auto"/>
        <w:rPr>
          <w:rFonts w:ascii="Arial" w:hAnsi="Arial"/>
          <w:sz w:val="20"/>
          <w:szCs w:val="20"/>
        </w:rPr>
      </w:pPr>
      <w:r w:rsidRPr="00D61480">
        <w:rPr>
          <w:rFonts w:ascii="Arial" w:hAnsi="Arial"/>
          <w:sz w:val="20"/>
          <w:szCs w:val="20"/>
        </w:rPr>
        <w:t>Cuando las capas bajas de la interfaz de comunicación (como transporte, red, enlace de datos y física) no estén definidas por un protocolo estandarizado con reconocimiento internacional, el protocolo utilizado debe estar basado en proyectos de estándar públicos o en implementaciones industriales “de- facto”. Todas las interfaces de comunicación deben priorizar la habilitación de los protocolos y funcionalidades que sean requeridos para la comunicación con otros equipos componentes de la infraestructura de medición.</w:t>
      </w:r>
    </w:p>
    <w:p w14:paraId="45D3347B" w14:textId="77777777" w:rsidR="00F51940" w:rsidRPr="00D61480" w:rsidRDefault="00F51940" w:rsidP="00F51940">
      <w:pPr>
        <w:pStyle w:val="Prrafodelista"/>
        <w:spacing w:after="160" w:line="256" w:lineRule="auto"/>
        <w:ind w:left="360"/>
        <w:rPr>
          <w:rFonts w:ascii="Arial" w:hAnsi="Arial"/>
          <w:sz w:val="20"/>
          <w:szCs w:val="20"/>
        </w:rPr>
      </w:pPr>
    </w:p>
    <w:p w14:paraId="6F298E08" w14:textId="7DF89E05" w:rsidR="00696245" w:rsidRPr="00D61480" w:rsidRDefault="00696245" w:rsidP="004E0B95">
      <w:pPr>
        <w:pStyle w:val="Prrafodelista"/>
        <w:numPr>
          <w:ilvl w:val="0"/>
          <w:numId w:val="30"/>
        </w:numPr>
        <w:spacing w:after="160" w:line="256" w:lineRule="auto"/>
        <w:rPr>
          <w:rFonts w:ascii="Arial" w:hAnsi="Arial"/>
          <w:sz w:val="20"/>
          <w:szCs w:val="20"/>
        </w:rPr>
      </w:pPr>
      <w:r w:rsidRPr="00D61480">
        <w:rPr>
          <w:rFonts w:ascii="Arial" w:hAnsi="Arial"/>
          <w:sz w:val="20"/>
          <w:szCs w:val="20"/>
        </w:rPr>
        <w:t xml:space="preserve">Los sistemas AMI deben proporcionar la funcionalidad de autenticación y autorización de comunicación de datos en todas sus interfaces de comunicación. </w:t>
      </w:r>
    </w:p>
    <w:p w14:paraId="257FECB3" w14:textId="77777777" w:rsidR="00F51940" w:rsidRPr="00D61480" w:rsidRDefault="00F51940" w:rsidP="00F51940">
      <w:pPr>
        <w:pStyle w:val="Prrafodelista"/>
        <w:spacing w:after="160" w:line="256" w:lineRule="auto"/>
        <w:ind w:left="360"/>
        <w:rPr>
          <w:rFonts w:ascii="Arial" w:hAnsi="Arial"/>
          <w:sz w:val="20"/>
          <w:szCs w:val="20"/>
        </w:rPr>
      </w:pPr>
    </w:p>
    <w:p w14:paraId="283ACA9C" w14:textId="52912687" w:rsidR="00696245" w:rsidRPr="00D61480" w:rsidRDefault="00696245" w:rsidP="004E0B95">
      <w:pPr>
        <w:pStyle w:val="Prrafodelista"/>
        <w:numPr>
          <w:ilvl w:val="0"/>
          <w:numId w:val="30"/>
        </w:numPr>
        <w:spacing w:after="160" w:line="256" w:lineRule="auto"/>
        <w:rPr>
          <w:rFonts w:ascii="Arial" w:hAnsi="Arial"/>
          <w:sz w:val="20"/>
          <w:szCs w:val="20"/>
        </w:rPr>
      </w:pPr>
      <w:r w:rsidRPr="00D61480">
        <w:rPr>
          <w:rFonts w:ascii="Arial" w:hAnsi="Arial"/>
          <w:sz w:val="20"/>
          <w:szCs w:val="20"/>
        </w:rPr>
        <w:lastRenderedPageBreak/>
        <w:t>Los componentes del sistema AMI deben funcionar mediante comunicaciones autorizadas, estar en capacidad de continuar operando mientras se comunican e inclusive durante fallas de comunicación.</w:t>
      </w:r>
    </w:p>
    <w:p w14:paraId="5064B9FF" w14:textId="77777777" w:rsidR="00F51940" w:rsidRPr="00D61480" w:rsidRDefault="00F51940" w:rsidP="00F51940">
      <w:pPr>
        <w:pStyle w:val="Prrafodelista"/>
        <w:spacing w:after="160" w:line="256" w:lineRule="auto"/>
        <w:ind w:left="360"/>
        <w:rPr>
          <w:rFonts w:ascii="Arial" w:hAnsi="Arial"/>
          <w:sz w:val="20"/>
          <w:szCs w:val="20"/>
        </w:rPr>
      </w:pPr>
    </w:p>
    <w:p w14:paraId="727B8654" w14:textId="37A858D5" w:rsidR="00696245" w:rsidRPr="00D61480" w:rsidRDefault="00696245" w:rsidP="004E0B95">
      <w:pPr>
        <w:pStyle w:val="Prrafodelista"/>
        <w:numPr>
          <w:ilvl w:val="0"/>
          <w:numId w:val="30"/>
        </w:numPr>
        <w:spacing w:after="160" w:line="256" w:lineRule="auto"/>
        <w:rPr>
          <w:rFonts w:ascii="Arial" w:hAnsi="Arial"/>
          <w:sz w:val="20"/>
          <w:szCs w:val="20"/>
        </w:rPr>
      </w:pPr>
      <w:r w:rsidRPr="00D61480">
        <w:rPr>
          <w:rFonts w:ascii="Arial" w:hAnsi="Arial"/>
          <w:sz w:val="20"/>
          <w:szCs w:val="20"/>
        </w:rPr>
        <w:t xml:space="preserve">Después de un corte de energía los sistemas AMI deben estar en capacidad de reconectarse automáticamente a todos los canales de comunicación, siempre y cuando el medio de comunicación esté disponible. </w:t>
      </w:r>
    </w:p>
    <w:p w14:paraId="1393AC8C" w14:textId="77777777" w:rsidR="00F51940" w:rsidRPr="00D61480" w:rsidRDefault="00F51940" w:rsidP="00F51940">
      <w:pPr>
        <w:pStyle w:val="Prrafodelista"/>
        <w:spacing w:after="160" w:line="256" w:lineRule="auto"/>
        <w:ind w:left="360"/>
        <w:rPr>
          <w:rFonts w:ascii="Arial" w:hAnsi="Arial"/>
          <w:sz w:val="20"/>
          <w:szCs w:val="20"/>
        </w:rPr>
      </w:pPr>
    </w:p>
    <w:p w14:paraId="07DD458C" w14:textId="43404494" w:rsidR="00696245" w:rsidRPr="00D61480" w:rsidRDefault="00696245" w:rsidP="004E0B95">
      <w:pPr>
        <w:pStyle w:val="Prrafodelista"/>
        <w:numPr>
          <w:ilvl w:val="0"/>
          <w:numId w:val="30"/>
        </w:numPr>
        <w:spacing w:after="160" w:line="256" w:lineRule="auto"/>
        <w:rPr>
          <w:rFonts w:ascii="Arial" w:hAnsi="Arial"/>
          <w:sz w:val="20"/>
          <w:szCs w:val="20"/>
        </w:rPr>
      </w:pPr>
      <w:r w:rsidRPr="00D61480">
        <w:rPr>
          <w:rFonts w:ascii="Arial" w:hAnsi="Arial"/>
          <w:sz w:val="20"/>
          <w:szCs w:val="20"/>
        </w:rPr>
        <w:t xml:space="preserve">Los sistemas AMI deben disponer de funcionalidades de chequeo de la comunicación. La ejecución del chequeo de comunicaciones se podrá realizar antes, durante o después de un trabajo de mantenimiento. </w:t>
      </w:r>
    </w:p>
    <w:p w14:paraId="30B0248D" w14:textId="77777777" w:rsidR="00F51940" w:rsidRPr="00D61480" w:rsidRDefault="00F51940" w:rsidP="00F51940">
      <w:pPr>
        <w:pStyle w:val="Prrafodelista"/>
        <w:spacing w:after="160" w:line="256" w:lineRule="auto"/>
        <w:ind w:left="360"/>
        <w:rPr>
          <w:rFonts w:ascii="Arial" w:hAnsi="Arial"/>
          <w:sz w:val="20"/>
          <w:szCs w:val="20"/>
        </w:rPr>
      </w:pPr>
    </w:p>
    <w:p w14:paraId="0AB9E699" w14:textId="77777777" w:rsidR="00F51940" w:rsidRPr="00D61480" w:rsidRDefault="00696245" w:rsidP="004E0B95">
      <w:pPr>
        <w:pStyle w:val="Prrafodelista"/>
        <w:numPr>
          <w:ilvl w:val="0"/>
          <w:numId w:val="30"/>
        </w:numPr>
        <w:spacing w:after="160" w:line="256" w:lineRule="auto"/>
        <w:rPr>
          <w:rFonts w:ascii="Arial" w:hAnsi="Arial"/>
          <w:sz w:val="20"/>
          <w:szCs w:val="20"/>
        </w:rPr>
      </w:pPr>
      <w:r w:rsidRPr="00D61480">
        <w:rPr>
          <w:rFonts w:ascii="Arial" w:hAnsi="Arial"/>
          <w:sz w:val="20"/>
          <w:szCs w:val="20"/>
        </w:rPr>
        <w:t xml:space="preserve">La comunicación con otros equipos diferentes a los gestionados por la Unidad Concentradora (UC), no se debe ver afectada de ninguna manera por la remoción de la Unidad Concentradora (UC). </w:t>
      </w:r>
    </w:p>
    <w:p w14:paraId="18D034C1" w14:textId="77777777" w:rsidR="00F51940" w:rsidRPr="00D61480" w:rsidRDefault="00F51940" w:rsidP="00F51940">
      <w:pPr>
        <w:pStyle w:val="Prrafodelista"/>
        <w:rPr>
          <w:rFonts w:ascii="Arial" w:hAnsi="Arial"/>
          <w:sz w:val="20"/>
          <w:szCs w:val="20"/>
        </w:rPr>
      </w:pPr>
    </w:p>
    <w:p w14:paraId="789FA5E1" w14:textId="768FEE67" w:rsidR="00696245" w:rsidRPr="00D61480" w:rsidRDefault="00696245" w:rsidP="00F51940">
      <w:pPr>
        <w:pStyle w:val="Prrafodelista"/>
        <w:spacing w:after="160" w:line="256" w:lineRule="auto"/>
        <w:ind w:left="360"/>
        <w:rPr>
          <w:rFonts w:ascii="Arial" w:hAnsi="Arial"/>
          <w:sz w:val="20"/>
          <w:szCs w:val="20"/>
        </w:rPr>
      </w:pPr>
      <w:r w:rsidRPr="00D61480">
        <w:rPr>
          <w:rFonts w:ascii="Arial" w:hAnsi="Arial"/>
          <w:sz w:val="20"/>
          <w:szCs w:val="20"/>
        </w:rPr>
        <w:t>Para establecer las comunicaciones entre los diferentes dispositivos de la red AMI se pueden utilizar tecnologías basadas en interfaces eléctricas, ópticas, por PLC o radiofrecuencia, de acuerdo con las condiciones definidas en el numeral 6.5.1 de la norma. Como protocolos de la capa de aplicación se deben utilizar los definidos en los estándares IEC 62056 (</w:t>
      </w:r>
      <w:proofErr w:type="spellStart"/>
      <w:r w:rsidRPr="00D61480">
        <w:rPr>
          <w:rFonts w:ascii="Arial" w:hAnsi="Arial"/>
          <w:i/>
          <w:iCs/>
          <w:sz w:val="20"/>
          <w:szCs w:val="20"/>
        </w:rPr>
        <w:t>Electricity</w:t>
      </w:r>
      <w:proofErr w:type="spellEnd"/>
      <w:r w:rsidRPr="00D61480">
        <w:rPr>
          <w:rFonts w:ascii="Arial" w:hAnsi="Arial"/>
          <w:i/>
          <w:iCs/>
          <w:sz w:val="20"/>
          <w:szCs w:val="20"/>
        </w:rPr>
        <w:t xml:space="preserve"> </w:t>
      </w:r>
      <w:proofErr w:type="spellStart"/>
      <w:r w:rsidRPr="00D61480">
        <w:rPr>
          <w:rFonts w:ascii="Arial" w:hAnsi="Arial"/>
          <w:i/>
          <w:iCs/>
          <w:sz w:val="20"/>
          <w:szCs w:val="20"/>
        </w:rPr>
        <w:t>Metering</w:t>
      </w:r>
      <w:proofErr w:type="spellEnd"/>
      <w:r w:rsidRPr="00D61480">
        <w:rPr>
          <w:rFonts w:ascii="Arial" w:hAnsi="Arial"/>
          <w:i/>
          <w:iCs/>
          <w:sz w:val="20"/>
          <w:szCs w:val="20"/>
        </w:rPr>
        <w:t xml:space="preserve"> Data Exchange - </w:t>
      </w:r>
      <w:proofErr w:type="spellStart"/>
      <w:r w:rsidRPr="00D61480">
        <w:rPr>
          <w:rFonts w:ascii="Arial" w:hAnsi="Arial"/>
          <w:i/>
          <w:iCs/>
          <w:sz w:val="20"/>
          <w:szCs w:val="20"/>
        </w:rPr>
        <w:t>The</w:t>
      </w:r>
      <w:proofErr w:type="spellEnd"/>
      <w:r w:rsidRPr="00D61480">
        <w:rPr>
          <w:rFonts w:ascii="Arial" w:hAnsi="Arial"/>
          <w:i/>
          <w:iCs/>
          <w:sz w:val="20"/>
          <w:szCs w:val="20"/>
        </w:rPr>
        <w:t xml:space="preserve"> DLMS/COSEM Suite</w:t>
      </w:r>
      <w:r w:rsidRPr="00D61480">
        <w:rPr>
          <w:rFonts w:ascii="Arial" w:hAnsi="Arial"/>
          <w:sz w:val="20"/>
          <w:szCs w:val="20"/>
        </w:rPr>
        <w:t xml:space="preserve">), ANSI C12.18, C12.21, C12.22 y la especificación técnica CLC/TS 50568-8:2015. Como modelo de datos se deben utilizar los definidos en los estándares IEC 62056, ANSI C12.19, y en la especificación técnica CLC/TS 50568-8:2015 y CLC/TS 50568-4:2015. El uso de estos estándares tiene como objetivo facilitar la interoperabilidad entre la Unidad de Medida (UM) y el Sistema de Gestión y Operación (SGO).  La integración de los Sistemas de Gestión y Operación (SGO) con otras aplicaciones software y sistemas de información, no se encuentra dentro del alcance de la norma, pero se recomienda utilizar los estándares IEC 61968-9 (CIM), </w:t>
      </w:r>
      <w:proofErr w:type="spellStart"/>
      <w:r w:rsidRPr="00D61480">
        <w:rPr>
          <w:rFonts w:ascii="Arial" w:hAnsi="Arial"/>
          <w:i/>
          <w:iCs/>
          <w:sz w:val="20"/>
          <w:szCs w:val="20"/>
        </w:rPr>
        <w:t>Multispeak</w:t>
      </w:r>
      <w:proofErr w:type="spellEnd"/>
      <w:r w:rsidRPr="00D61480">
        <w:rPr>
          <w:rFonts w:ascii="Arial" w:hAnsi="Arial"/>
          <w:sz w:val="20"/>
          <w:szCs w:val="20"/>
        </w:rPr>
        <w:t xml:space="preserve"> u otros mecanismos que se establezcan en la regulación (estos mecanismos también podrían utilizarse para la comunicación entre agentes). </w:t>
      </w:r>
    </w:p>
    <w:p w14:paraId="46FA4A8E" w14:textId="423B8B00" w:rsidR="00F51940" w:rsidRPr="00D61480" w:rsidRDefault="00696245" w:rsidP="00696245">
      <w:pPr>
        <w:rPr>
          <w:rFonts w:ascii="Arial" w:hAnsi="Arial"/>
          <w:sz w:val="20"/>
          <w:szCs w:val="20"/>
        </w:rPr>
      </w:pPr>
      <w:r w:rsidRPr="00D61480">
        <w:rPr>
          <w:rFonts w:ascii="Arial" w:hAnsi="Arial"/>
          <w:sz w:val="20"/>
          <w:szCs w:val="20"/>
        </w:rPr>
        <w:t xml:space="preserve">Los requisitos de seguridad definidos en la norma NTC 6079 se enfocan en mantener la confidencialidad, integridad y disponibilidad de la información. Los siguientes requisitos se enfocan en estas tres áreas de la seguridad y la integración de algunas de estas. Un sistema AMI debe cumplir los siguientes requisitos generales: </w:t>
      </w:r>
    </w:p>
    <w:p w14:paraId="0150582B" w14:textId="77777777" w:rsidR="00F51940" w:rsidRPr="00D61480" w:rsidRDefault="00F51940" w:rsidP="00696245">
      <w:pPr>
        <w:rPr>
          <w:rFonts w:ascii="Arial" w:hAnsi="Arial"/>
          <w:sz w:val="20"/>
          <w:szCs w:val="20"/>
        </w:rPr>
      </w:pPr>
    </w:p>
    <w:p w14:paraId="15215275" w14:textId="77777777" w:rsidR="00696245" w:rsidRPr="00D61480" w:rsidRDefault="00696245" w:rsidP="004E0B95">
      <w:pPr>
        <w:pStyle w:val="Prrafodelista"/>
        <w:numPr>
          <w:ilvl w:val="0"/>
          <w:numId w:val="31"/>
        </w:numPr>
        <w:spacing w:after="160" w:line="256" w:lineRule="auto"/>
        <w:rPr>
          <w:rFonts w:ascii="Arial" w:hAnsi="Arial"/>
          <w:sz w:val="20"/>
          <w:szCs w:val="20"/>
        </w:rPr>
      </w:pPr>
      <w:r w:rsidRPr="00D61480">
        <w:rPr>
          <w:rFonts w:ascii="Arial" w:hAnsi="Arial"/>
          <w:sz w:val="20"/>
          <w:szCs w:val="20"/>
        </w:rPr>
        <w:t xml:space="preserve">Documentación formal sobre la implantación y gestión de la seguridad del sistema. </w:t>
      </w:r>
    </w:p>
    <w:p w14:paraId="227745D8" w14:textId="77777777" w:rsidR="00F51940" w:rsidRPr="00D61480" w:rsidRDefault="00F51940" w:rsidP="00F51940">
      <w:pPr>
        <w:pStyle w:val="Prrafodelista"/>
        <w:spacing w:after="160" w:line="256" w:lineRule="auto"/>
        <w:ind w:left="360"/>
        <w:rPr>
          <w:rFonts w:ascii="Arial" w:hAnsi="Arial"/>
          <w:sz w:val="20"/>
          <w:szCs w:val="20"/>
        </w:rPr>
      </w:pPr>
    </w:p>
    <w:p w14:paraId="3A6521EE" w14:textId="48DEB29E" w:rsidR="00696245" w:rsidRPr="00D61480" w:rsidRDefault="00696245" w:rsidP="004E0B95">
      <w:pPr>
        <w:pStyle w:val="Prrafodelista"/>
        <w:numPr>
          <w:ilvl w:val="0"/>
          <w:numId w:val="31"/>
        </w:numPr>
        <w:spacing w:after="160" w:line="256" w:lineRule="auto"/>
        <w:rPr>
          <w:rFonts w:ascii="Arial" w:hAnsi="Arial"/>
          <w:sz w:val="20"/>
          <w:szCs w:val="20"/>
        </w:rPr>
      </w:pPr>
      <w:r w:rsidRPr="00D61480">
        <w:rPr>
          <w:rFonts w:ascii="Arial" w:hAnsi="Arial"/>
          <w:sz w:val="20"/>
          <w:szCs w:val="20"/>
        </w:rPr>
        <w:t xml:space="preserve">Diagnóstico inicial, previo a la implantación, de la seguridad del conjunto AMI y sus componentes, identificando sus vulnerabilidades, y componentes a los que afecta, así como la forma de mitigarlas, especificando el plan de evaluaciones periódicas que se debe seguir para el mantenimiento de la seguridad. </w:t>
      </w:r>
    </w:p>
    <w:p w14:paraId="47EAFEB3" w14:textId="77777777" w:rsidR="00F51940" w:rsidRPr="00D61480" w:rsidRDefault="00F51940" w:rsidP="00F51940">
      <w:pPr>
        <w:pStyle w:val="Prrafodelista"/>
        <w:spacing w:after="160" w:line="256" w:lineRule="auto"/>
        <w:ind w:left="360"/>
        <w:rPr>
          <w:rFonts w:ascii="Arial" w:hAnsi="Arial"/>
          <w:sz w:val="20"/>
          <w:szCs w:val="20"/>
        </w:rPr>
      </w:pPr>
    </w:p>
    <w:p w14:paraId="54D36F9E" w14:textId="54BF3F44" w:rsidR="00696245" w:rsidRPr="00D61480" w:rsidRDefault="00696245" w:rsidP="004E0B95">
      <w:pPr>
        <w:pStyle w:val="Prrafodelista"/>
        <w:numPr>
          <w:ilvl w:val="0"/>
          <w:numId w:val="31"/>
        </w:numPr>
        <w:spacing w:after="160" w:line="256" w:lineRule="auto"/>
        <w:rPr>
          <w:rFonts w:ascii="Arial" w:hAnsi="Arial"/>
          <w:sz w:val="20"/>
          <w:szCs w:val="20"/>
        </w:rPr>
      </w:pPr>
      <w:r w:rsidRPr="00D61480">
        <w:rPr>
          <w:rFonts w:ascii="Arial" w:hAnsi="Arial"/>
          <w:sz w:val="20"/>
          <w:szCs w:val="20"/>
        </w:rPr>
        <w:t xml:space="preserve">Política escrita, prácticas y procedimientos para la identificación de riesgos que permitan la gestión de los objetos de autorización, roles, perfiles y usuarios asociados con los niveles de autorización, el establecimiento y gestión de contraseñas y claves criptográficas, tanto si usa infraestructura de clave pública, como si no. </w:t>
      </w:r>
    </w:p>
    <w:p w14:paraId="555A66F9" w14:textId="77777777" w:rsidR="00F51940" w:rsidRPr="00D61480" w:rsidRDefault="00F51940" w:rsidP="00F51940">
      <w:pPr>
        <w:pStyle w:val="Prrafodelista"/>
        <w:spacing w:after="160" w:line="256" w:lineRule="auto"/>
        <w:ind w:left="360"/>
        <w:rPr>
          <w:rFonts w:ascii="Arial" w:hAnsi="Arial"/>
          <w:sz w:val="20"/>
          <w:szCs w:val="20"/>
        </w:rPr>
      </w:pPr>
    </w:p>
    <w:p w14:paraId="4E6DD72A" w14:textId="1D3A018E" w:rsidR="00696245" w:rsidRPr="00D61480" w:rsidRDefault="00696245" w:rsidP="004E0B95">
      <w:pPr>
        <w:pStyle w:val="Prrafodelista"/>
        <w:numPr>
          <w:ilvl w:val="0"/>
          <w:numId w:val="31"/>
        </w:numPr>
        <w:spacing w:after="160" w:line="256" w:lineRule="auto"/>
        <w:rPr>
          <w:rFonts w:ascii="Arial" w:hAnsi="Arial"/>
          <w:sz w:val="20"/>
          <w:szCs w:val="20"/>
        </w:rPr>
      </w:pPr>
      <w:r w:rsidRPr="00D61480">
        <w:rPr>
          <w:rFonts w:ascii="Arial" w:hAnsi="Arial"/>
          <w:sz w:val="20"/>
          <w:szCs w:val="20"/>
        </w:rPr>
        <w:lastRenderedPageBreak/>
        <w:t xml:space="preserve">Los componentes de un sistema AMI deben ser actualizables, debiendo estar dotado de un plan y mecanismos para la distribución, gestión e implantación de actualizaciones o parches, incluyendo en este plan el firmware de la Unidad de Medida (UM) y Unidad Concentradora (UC) (si se contempla en la solución). </w:t>
      </w:r>
    </w:p>
    <w:p w14:paraId="4973D1AE" w14:textId="77777777" w:rsidR="00F51940" w:rsidRPr="00D61480" w:rsidRDefault="00F51940" w:rsidP="00F51940">
      <w:pPr>
        <w:pStyle w:val="Prrafodelista"/>
        <w:spacing w:after="160" w:line="256" w:lineRule="auto"/>
        <w:ind w:left="360"/>
        <w:rPr>
          <w:rFonts w:ascii="Arial" w:hAnsi="Arial"/>
          <w:sz w:val="20"/>
          <w:szCs w:val="20"/>
        </w:rPr>
      </w:pPr>
    </w:p>
    <w:p w14:paraId="66E44D22" w14:textId="082D35C1" w:rsidR="00696245" w:rsidRPr="00D61480" w:rsidRDefault="00696245" w:rsidP="004E0B95">
      <w:pPr>
        <w:pStyle w:val="Prrafodelista"/>
        <w:numPr>
          <w:ilvl w:val="0"/>
          <w:numId w:val="31"/>
        </w:numPr>
        <w:spacing w:after="160" w:line="256" w:lineRule="auto"/>
        <w:rPr>
          <w:rFonts w:ascii="Arial" w:hAnsi="Arial"/>
          <w:sz w:val="20"/>
          <w:szCs w:val="20"/>
        </w:rPr>
      </w:pPr>
      <w:r w:rsidRPr="00D61480">
        <w:rPr>
          <w:rFonts w:ascii="Arial" w:hAnsi="Arial"/>
          <w:sz w:val="20"/>
          <w:szCs w:val="20"/>
        </w:rPr>
        <w:t xml:space="preserve">El fabricante debe proporcionar dichas actualizaciones con la frecuencia adecuada, especialmente tras el descubrimiento de una vulnerabilidad que afecte a los componentes, enviando convenientemente alertas y consejos de seguridad. </w:t>
      </w:r>
    </w:p>
    <w:p w14:paraId="598C0E30" w14:textId="77777777" w:rsidR="00F51940" w:rsidRPr="00D61480" w:rsidRDefault="00F51940" w:rsidP="00F51940">
      <w:pPr>
        <w:pStyle w:val="Prrafodelista"/>
        <w:spacing w:after="160" w:line="256" w:lineRule="auto"/>
        <w:ind w:left="360"/>
        <w:rPr>
          <w:rFonts w:ascii="Arial" w:hAnsi="Arial"/>
          <w:sz w:val="20"/>
          <w:szCs w:val="20"/>
        </w:rPr>
      </w:pPr>
    </w:p>
    <w:p w14:paraId="5F6FFA40" w14:textId="7B3FCC43" w:rsidR="00696245" w:rsidRPr="00D61480" w:rsidRDefault="00696245" w:rsidP="004E0B95">
      <w:pPr>
        <w:pStyle w:val="Prrafodelista"/>
        <w:numPr>
          <w:ilvl w:val="0"/>
          <w:numId w:val="31"/>
        </w:numPr>
        <w:spacing w:after="160" w:line="256" w:lineRule="auto"/>
        <w:rPr>
          <w:rFonts w:ascii="Arial" w:hAnsi="Arial"/>
          <w:sz w:val="20"/>
          <w:szCs w:val="20"/>
        </w:rPr>
      </w:pPr>
      <w:r w:rsidRPr="00D61480">
        <w:rPr>
          <w:rFonts w:ascii="Arial" w:hAnsi="Arial"/>
          <w:sz w:val="20"/>
          <w:szCs w:val="20"/>
        </w:rPr>
        <w:t xml:space="preserve">Deben existir mecanismos para mantener la seguridad en el tiempo, incluyendo un plan y mecanismos para la monitorización de la seguridad, así como una política de respuesta a incidentes. </w:t>
      </w:r>
    </w:p>
    <w:p w14:paraId="16A9C04A" w14:textId="77777777" w:rsidR="00F51940" w:rsidRPr="00D61480" w:rsidRDefault="00F51940" w:rsidP="00F51940">
      <w:pPr>
        <w:pStyle w:val="Prrafodelista"/>
        <w:spacing w:after="160" w:line="256" w:lineRule="auto"/>
        <w:ind w:left="360"/>
        <w:rPr>
          <w:rFonts w:ascii="Arial" w:hAnsi="Arial"/>
          <w:sz w:val="20"/>
          <w:szCs w:val="20"/>
        </w:rPr>
      </w:pPr>
    </w:p>
    <w:p w14:paraId="65E04E7A" w14:textId="6D093E59" w:rsidR="00696245" w:rsidRPr="00D61480" w:rsidRDefault="00696245" w:rsidP="004E0B95">
      <w:pPr>
        <w:pStyle w:val="Prrafodelista"/>
        <w:numPr>
          <w:ilvl w:val="0"/>
          <w:numId w:val="31"/>
        </w:numPr>
        <w:spacing w:after="160" w:line="256" w:lineRule="auto"/>
        <w:rPr>
          <w:rFonts w:ascii="Arial" w:hAnsi="Arial"/>
          <w:sz w:val="20"/>
          <w:szCs w:val="20"/>
        </w:rPr>
      </w:pPr>
      <w:r w:rsidRPr="00D61480">
        <w:rPr>
          <w:rFonts w:ascii="Arial" w:hAnsi="Arial"/>
          <w:sz w:val="20"/>
          <w:szCs w:val="20"/>
        </w:rPr>
        <w:t xml:space="preserve">De igual modo se deben definir procedimientos para abordar de forma segura el final de la vida útil de los componentes, incluyendo instrucciones para su borrado seguro, destrucción, eliminación del registro y configuración del sistema AMI. </w:t>
      </w:r>
    </w:p>
    <w:p w14:paraId="692F875E" w14:textId="0942965A" w:rsidR="00696245" w:rsidRPr="00D61480" w:rsidRDefault="00696245" w:rsidP="00696245">
      <w:pPr>
        <w:rPr>
          <w:rFonts w:ascii="Arial" w:hAnsi="Arial"/>
          <w:sz w:val="20"/>
          <w:szCs w:val="20"/>
        </w:rPr>
      </w:pPr>
      <w:r w:rsidRPr="00D61480">
        <w:rPr>
          <w:rFonts w:ascii="Arial" w:hAnsi="Arial"/>
          <w:sz w:val="20"/>
          <w:szCs w:val="20"/>
        </w:rPr>
        <w:t xml:space="preserve">Desde el punto de vista de ciberseguridad los componentes de un sistema AMI deben cumplir los siguientes requisitos: </w:t>
      </w:r>
    </w:p>
    <w:p w14:paraId="5A8EA866" w14:textId="77777777" w:rsidR="00F51940" w:rsidRPr="00D61480" w:rsidRDefault="00F51940" w:rsidP="00696245">
      <w:pPr>
        <w:rPr>
          <w:rFonts w:ascii="Arial" w:hAnsi="Arial"/>
          <w:sz w:val="20"/>
          <w:szCs w:val="20"/>
        </w:rPr>
      </w:pPr>
    </w:p>
    <w:p w14:paraId="5F691450" w14:textId="77777777" w:rsidR="00696245" w:rsidRPr="00D61480" w:rsidRDefault="00696245" w:rsidP="004E0B95">
      <w:pPr>
        <w:pStyle w:val="Prrafodelista"/>
        <w:numPr>
          <w:ilvl w:val="0"/>
          <w:numId w:val="32"/>
        </w:numPr>
        <w:spacing w:after="160" w:line="256" w:lineRule="auto"/>
        <w:rPr>
          <w:rFonts w:ascii="Arial" w:hAnsi="Arial"/>
          <w:sz w:val="20"/>
          <w:szCs w:val="20"/>
        </w:rPr>
      </w:pPr>
      <w:r w:rsidRPr="00D61480">
        <w:rPr>
          <w:rFonts w:ascii="Arial" w:hAnsi="Arial"/>
          <w:sz w:val="20"/>
          <w:szCs w:val="20"/>
        </w:rPr>
        <w:t xml:space="preserve">Se deben aislar los servicios de gestión y/o configuración de los de operación remota y/o adquisición de datos, dado que los requerimientos de seguridad y criticidad son diferentes para ambos servicios. La separación se puede realizar por ejemplo usando puertos distintos, diferentes unidades de proceso o instancias, distinto direccionamiento, combinaciones de los anteriores, etc. </w:t>
      </w:r>
    </w:p>
    <w:p w14:paraId="6A90F2A3" w14:textId="77777777" w:rsidR="00F51940" w:rsidRPr="00D61480" w:rsidRDefault="00F51940" w:rsidP="00F51940">
      <w:pPr>
        <w:pStyle w:val="Prrafodelista"/>
        <w:spacing w:after="160" w:line="256" w:lineRule="auto"/>
        <w:ind w:left="360"/>
        <w:rPr>
          <w:rFonts w:ascii="Arial" w:hAnsi="Arial"/>
          <w:sz w:val="20"/>
          <w:szCs w:val="20"/>
        </w:rPr>
      </w:pPr>
    </w:p>
    <w:p w14:paraId="5D3D21DE" w14:textId="3D3D0FB9" w:rsidR="00696245" w:rsidRPr="00D61480" w:rsidRDefault="00696245" w:rsidP="004E0B95">
      <w:pPr>
        <w:pStyle w:val="Prrafodelista"/>
        <w:numPr>
          <w:ilvl w:val="0"/>
          <w:numId w:val="32"/>
        </w:numPr>
        <w:spacing w:after="160" w:line="256" w:lineRule="auto"/>
        <w:rPr>
          <w:rFonts w:ascii="Arial" w:hAnsi="Arial"/>
          <w:sz w:val="20"/>
          <w:szCs w:val="20"/>
        </w:rPr>
      </w:pPr>
      <w:r w:rsidRPr="00D61480">
        <w:rPr>
          <w:rFonts w:ascii="Arial" w:hAnsi="Arial"/>
          <w:sz w:val="20"/>
          <w:szCs w:val="20"/>
        </w:rPr>
        <w:t xml:space="preserve">Los puertos y servicios no esenciales se podrán habilitar y/o deshabilitar (no aplica para la Unidad de Medida). </w:t>
      </w:r>
    </w:p>
    <w:p w14:paraId="40E0069D" w14:textId="77777777" w:rsidR="00F51940" w:rsidRPr="00D61480" w:rsidRDefault="00F51940" w:rsidP="00F51940">
      <w:pPr>
        <w:pStyle w:val="Prrafodelista"/>
        <w:spacing w:after="160" w:line="256" w:lineRule="auto"/>
        <w:ind w:left="360"/>
        <w:rPr>
          <w:rFonts w:ascii="Arial" w:hAnsi="Arial"/>
          <w:sz w:val="20"/>
          <w:szCs w:val="20"/>
        </w:rPr>
      </w:pPr>
    </w:p>
    <w:p w14:paraId="0D493591" w14:textId="55B94D87" w:rsidR="00696245" w:rsidRPr="00D61480" w:rsidRDefault="00696245" w:rsidP="004E0B95">
      <w:pPr>
        <w:pStyle w:val="Prrafodelista"/>
        <w:numPr>
          <w:ilvl w:val="0"/>
          <w:numId w:val="32"/>
        </w:numPr>
        <w:spacing w:after="160" w:line="256" w:lineRule="auto"/>
        <w:rPr>
          <w:rFonts w:ascii="Arial" w:hAnsi="Arial"/>
          <w:sz w:val="20"/>
          <w:szCs w:val="20"/>
        </w:rPr>
      </w:pPr>
      <w:r w:rsidRPr="00D61480">
        <w:rPr>
          <w:rFonts w:ascii="Arial" w:hAnsi="Arial"/>
          <w:sz w:val="20"/>
          <w:szCs w:val="20"/>
        </w:rPr>
        <w:t xml:space="preserve">Las funciones de seguridad se deben dividir del resto, usando para ello distintas particiones, dominios, etc. minimizando las interacciones y dependencias a las estrictamente necesarias. </w:t>
      </w:r>
    </w:p>
    <w:p w14:paraId="2CEF2DED" w14:textId="77777777" w:rsidR="00F51940" w:rsidRPr="00D61480" w:rsidRDefault="00F51940" w:rsidP="00F51940">
      <w:pPr>
        <w:pStyle w:val="Prrafodelista"/>
        <w:spacing w:after="160" w:line="256" w:lineRule="auto"/>
        <w:ind w:left="360"/>
        <w:rPr>
          <w:rFonts w:ascii="Arial" w:hAnsi="Arial"/>
          <w:sz w:val="20"/>
          <w:szCs w:val="20"/>
        </w:rPr>
      </w:pPr>
    </w:p>
    <w:p w14:paraId="4C98AF13" w14:textId="6D6A9551" w:rsidR="00696245" w:rsidRPr="00D61480" w:rsidRDefault="00696245" w:rsidP="004E0B95">
      <w:pPr>
        <w:pStyle w:val="Prrafodelista"/>
        <w:numPr>
          <w:ilvl w:val="0"/>
          <w:numId w:val="32"/>
        </w:numPr>
        <w:spacing w:after="160" w:line="256" w:lineRule="auto"/>
        <w:rPr>
          <w:rFonts w:ascii="Arial" w:hAnsi="Arial"/>
          <w:sz w:val="20"/>
          <w:szCs w:val="20"/>
        </w:rPr>
      </w:pPr>
      <w:r w:rsidRPr="00D61480">
        <w:rPr>
          <w:rFonts w:ascii="Arial" w:hAnsi="Arial"/>
          <w:sz w:val="20"/>
          <w:szCs w:val="20"/>
        </w:rPr>
        <w:t xml:space="preserve">Se deben definir las fronteras externas (física o lógica y de comunicación) del sistema AMI y sus componentes, estableciendo medidas de protección en cada una de las mismas. Dichas medidas deben estar detalladas por escrito. </w:t>
      </w:r>
    </w:p>
    <w:p w14:paraId="1723F76A" w14:textId="77777777" w:rsidR="00F51940" w:rsidRPr="00D61480" w:rsidRDefault="00F51940" w:rsidP="00F51940">
      <w:pPr>
        <w:pStyle w:val="Prrafodelista"/>
        <w:spacing w:after="160" w:line="256" w:lineRule="auto"/>
        <w:ind w:left="360"/>
        <w:rPr>
          <w:rFonts w:ascii="Arial" w:hAnsi="Arial"/>
          <w:sz w:val="20"/>
          <w:szCs w:val="20"/>
        </w:rPr>
      </w:pPr>
    </w:p>
    <w:p w14:paraId="18815CF9" w14:textId="6EC1AD58" w:rsidR="00696245" w:rsidRPr="00D61480" w:rsidRDefault="00696245" w:rsidP="004E0B95">
      <w:pPr>
        <w:pStyle w:val="Prrafodelista"/>
        <w:numPr>
          <w:ilvl w:val="0"/>
          <w:numId w:val="32"/>
        </w:numPr>
        <w:spacing w:after="160" w:line="256" w:lineRule="auto"/>
        <w:rPr>
          <w:rFonts w:ascii="Arial" w:hAnsi="Arial"/>
          <w:sz w:val="20"/>
          <w:szCs w:val="20"/>
        </w:rPr>
      </w:pPr>
      <w:r w:rsidRPr="00D61480">
        <w:rPr>
          <w:rFonts w:ascii="Arial" w:hAnsi="Arial"/>
          <w:sz w:val="20"/>
          <w:szCs w:val="20"/>
        </w:rPr>
        <w:t xml:space="preserve">Protección frente a comandos remotos de conexiones/desconexiones masivas. Para evitar los potenciales efectos adversos que se podrían provocar como consecuencia de una conexión/desconexión masiva de Unidades de Medida (UM) en la red, bien sea accidental o malintencionada, se debe cumplir el siguiente control: </w:t>
      </w:r>
    </w:p>
    <w:p w14:paraId="388EF413" w14:textId="77777777" w:rsidR="00F51940" w:rsidRPr="00D61480" w:rsidRDefault="00F51940" w:rsidP="00F51940">
      <w:pPr>
        <w:pStyle w:val="Prrafodelista"/>
        <w:spacing w:after="160" w:line="256" w:lineRule="auto"/>
        <w:ind w:left="360"/>
        <w:rPr>
          <w:rFonts w:ascii="Arial" w:hAnsi="Arial"/>
          <w:sz w:val="20"/>
          <w:szCs w:val="20"/>
        </w:rPr>
      </w:pPr>
    </w:p>
    <w:p w14:paraId="35D8739B" w14:textId="59D76D74" w:rsidR="00696245" w:rsidRPr="00D61480" w:rsidRDefault="00696245" w:rsidP="004E0B95">
      <w:pPr>
        <w:pStyle w:val="Prrafodelista"/>
        <w:numPr>
          <w:ilvl w:val="0"/>
          <w:numId w:val="32"/>
        </w:numPr>
        <w:spacing w:after="160" w:line="256" w:lineRule="auto"/>
        <w:rPr>
          <w:rFonts w:ascii="Arial" w:hAnsi="Arial"/>
          <w:sz w:val="20"/>
          <w:szCs w:val="20"/>
        </w:rPr>
      </w:pPr>
      <w:r w:rsidRPr="00D61480">
        <w:rPr>
          <w:rFonts w:ascii="Arial" w:hAnsi="Arial"/>
          <w:sz w:val="20"/>
          <w:szCs w:val="20"/>
        </w:rPr>
        <w:t xml:space="preserve">Introducir un retraso aleatorio en la respuesta a cualquier comando remoto de conexión/desconexión. </w:t>
      </w:r>
    </w:p>
    <w:p w14:paraId="43A1BD93" w14:textId="77777777" w:rsidR="00F51940" w:rsidRPr="00D61480" w:rsidRDefault="00F51940" w:rsidP="00F51940">
      <w:pPr>
        <w:pStyle w:val="Prrafodelista"/>
        <w:spacing w:after="160" w:line="256" w:lineRule="auto"/>
        <w:ind w:left="360"/>
        <w:rPr>
          <w:rFonts w:ascii="Arial" w:hAnsi="Arial"/>
          <w:sz w:val="20"/>
          <w:szCs w:val="20"/>
        </w:rPr>
      </w:pPr>
    </w:p>
    <w:p w14:paraId="4BD7CF29" w14:textId="5F365D2F" w:rsidR="00696245" w:rsidRPr="00D61480" w:rsidRDefault="00696245" w:rsidP="004E0B95">
      <w:pPr>
        <w:pStyle w:val="Prrafodelista"/>
        <w:numPr>
          <w:ilvl w:val="0"/>
          <w:numId w:val="32"/>
        </w:numPr>
        <w:spacing w:after="160" w:line="256" w:lineRule="auto"/>
        <w:rPr>
          <w:rFonts w:ascii="Arial" w:hAnsi="Arial"/>
          <w:sz w:val="20"/>
          <w:szCs w:val="20"/>
        </w:rPr>
      </w:pPr>
      <w:r w:rsidRPr="00D61480">
        <w:rPr>
          <w:rFonts w:ascii="Arial" w:hAnsi="Arial"/>
          <w:sz w:val="20"/>
          <w:szCs w:val="20"/>
        </w:rPr>
        <w:t xml:space="preserve">El establecimiento del retraso lo realizará la Unidad de Medida (UM) y no es posible modificarlo remotamente. (El retraso se debe establecer en el momento de la recepción del comando. Se debe seleccionar dentro del rango de tiempo máximo previamente configurado por la empresa en la Unidad de Medida (UM)). </w:t>
      </w:r>
    </w:p>
    <w:p w14:paraId="3133272B" w14:textId="2EF280A7" w:rsidR="00696245" w:rsidRPr="00D61480" w:rsidRDefault="00696245" w:rsidP="004E0B95">
      <w:pPr>
        <w:pStyle w:val="Prrafodelista"/>
        <w:numPr>
          <w:ilvl w:val="0"/>
          <w:numId w:val="32"/>
        </w:numPr>
        <w:spacing w:after="160" w:line="256" w:lineRule="auto"/>
        <w:rPr>
          <w:rFonts w:ascii="Arial" w:hAnsi="Arial"/>
          <w:sz w:val="20"/>
          <w:szCs w:val="20"/>
        </w:rPr>
      </w:pPr>
      <w:r w:rsidRPr="00D61480">
        <w:rPr>
          <w:rFonts w:ascii="Arial" w:hAnsi="Arial"/>
          <w:sz w:val="20"/>
          <w:szCs w:val="20"/>
        </w:rPr>
        <w:lastRenderedPageBreak/>
        <w:t>En el caso de recibir una orden de cancelación del comando de conexión/desconexión, se debe cancelar inmediatamente las órdenes recibidas y no ejecutadas.</w:t>
      </w:r>
    </w:p>
    <w:p w14:paraId="4D3A12E6" w14:textId="795FEB8C" w:rsidR="00696245" w:rsidRPr="00D61480" w:rsidRDefault="00696245" w:rsidP="00696245">
      <w:pPr>
        <w:rPr>
          <w:rFonts w:ascii="Arial" w:hAnsi="Arial"/>
          <w:sz w:val="20"/>
          <w:szCs w:val="20"/>
        </w:rPr>
      </w:pPr>
      <w:r w:rsidRPr="00D61480">
        <w:rPr>
          <w:rFonts w:ascii="Arial" w:hAnsi="Arial"/>
          <w:sz w:val="20"/>
          <w:szCs w:val="20"/>
        </w:rPr>
        <w:t>Para plantas mayores de 5</w:t>
      </w:r>
      <w:r w:rsidR="00F51940" w:rsidRPr="00D61480">
        <w:rPr>
          <w:rFonts w:ascii="Arial" w:hAnsi="Arial"/>
          <w:sz w:val="20"/>
          <w:szCs w:val="20"/>
        </w:rPr>
        <w:t xml:space="preserve"> </w:t>
      </w:r>
      <w:r w:rsidRPr="00D61480">
        <w:rPr>
          <w:rFonts w:ascii="Arial" w:hAnsi="Arial"/>
          <w:sz w:val="20"/>
          <w:szCs w:val="20"/>
        </w:rPr>
        <w:t>MW, el intercambio de datos entre el equipo de comunicación y el perímetro de seguridad electrónico deberá contar con mecanismos que aseguren la confidencialidad, integridad y no repudio de la información por medio de cifrado sobre cualquier tipo de canal o protocolo de comunicación, con una de las siguientes alternativas: VPN IPSEC, VPN SSL, algoritmo de cifrado robusto o aquellas que las sustituyan o aquellas que las mejoren. Las condiciones mínimas del equipo de comunicación son:</w:t>
      </w:r>
    </w:p>
    <w:p w14:paraId="47F3E7AF" w14:textId="77777777" w:rsidR="00696245" w:rsidRPr="00D61480" w:rsidRDefault="00696245" w:rsidP="00696245">
      <w:pPr>
        <w:rPr>
          <w:rFonts w:ascii="Arial" w:hAnsi="Arial"/>
          <w:sz w:val="20"/>
          <w:szCs w:val="20"/>
        </w:rPr>
      </w:pPr>
    </w:p>
    <w:p w14:paraId="730BEE27" w14:textId="77777777" w:rsidR="00696245" w:rsidRPr="00D61480" w:rsidRDefault="00696245" w:rsidP="004E0B95">
      <w:pPr>
        <w:pStyle w:val="Prrafodelista"/>
        <w:numPr>
          <w:ilvl w:val="0"/>
          <w:numId w:val="33"/>
        </w:numPr>
        <w:spacing w:line="256" w:lineRule="auto"/>
        <w:rPr>
          <w:rFonts w:ascii="Arial" w:hAnsi="Arial"/>
          <w:sz w:val="20"/>
          <w:szCs w:val="20"/>
        </w:rPr>
      </w:pPr>
      <w:r w:rsidRPr="00D61480">
        <w:rPr>
          <w:rFonts w:ascii="Arial" w:hAnsi="Arial"/>
          <w:sz w:val="20"/>
          <w:szCs w:val="20"/>
        </w:rPr>
        <w:t>Permitir la segregación de la red WAN de la(s) red(es) interna(s).</w:t>
      </w:r>
    </w:p>
    <w:p w14:paraId="39603A6D" w14:textId="77777777" w:rsidR="00F51940" w:rsidRPr="00D61480" w:rsidRDefault="00F51940" w:rsidP="00F51940">
      <w:pPr>
        <w:pStyle w:val="Prrafodelista"/>
        <w:spacing w:line="256" w:lineRule="auto"/>
        <w:ind w:left="360"/>
        <w:rPr>
          <w:rFonts w:ascii="Arial" w:hAnsi="Arial"/>
          <w:sz w:val="20"/>
          <w:szCs w:val="20"/>
        </w:rPr>
      </w:pPr>
    </w:p>
    <w:p w14:paraId="2BBC363F" w14:textId="185CC0E1" w:rsidR="00696245" w:rsidRPr="00D61480" w:rsidRDefault="00696245" w:rsidP="004E0B95">
      <w:pPr>
        <w:pStyle w:val="Prrafodelista"/>
        <w:numPr>
          <w:ilvl w:val="0"/>
          <w:numId w:val="33"/>
        </w:numPr>
        <w:spacing w:line="256" w:lineRule="auto"/>
        <w:rPr>
          <w:rFonts w:ascii="Arial" w:hAnsi="Arial"/>
          <w:sz w:val="20"/>
          <w:szCs w:val="20"/>
        </w:rPr>
      </w:pPr>
      <w:r w:rsidRPr="00D61480">
        <w:rPr>
          <w:rFonts w:ascii="Arial" w:hAnsi="Arial"/>
          <w:sz w:val="20"/>
          <w:szCs w:val="20"/>
        </w:rPr>
        <w:t>Cambio de contraseñas por defecto.</w:t>
      </w:r>
    </w:p>
    <w:p w14:paraId="15257F82" w14:textId="77777777" w:rsidR="00F51940" w:rsidRPr="00D61480" w:rsidRDefault="00F51940" w:rsidP="00F51940">
      <w:pPr>
        <w:pStyle w:val="Prrafodelista"/>
        <w:spacing w:line="256" w:lineRule="auto"/>
        <w:ind w:left="360"/>
        <w:rPr>
          <w:rFonts w:ascii="Arial" w:hAnsi="Arial"/>
          <w:sz w:val="20"/>
          <w:szCs w:val="20"/>
        </w:rPr>
      </w:pPr>
    </w:p>
    <w:p w14:paraId="6E79CDE6" w14:textId="66A9A4D5" w:rsidR="00696245" w:rsidRPr="00D61480" w:rsidRDefault="00696245" w:rsidP="004E0B95">
      <w:pPr>
        <w:pStyle w:val="Prrafodelista"/>
        <w:numPr>
          <w:ilvl w:val="0"/>
          <w:numId w:val="33"/>
        </w:numPr>
        <w:spacing w:line="256" w:lineRule="auto"/>
        <w:rPr>
          <w:rFonts w:ascii="Arial" w:hAnsi="Arial"/>
          <w:sz w:val="20"/>
          <w:szCs w:val="20"/>
        </w:rPr>
      </w:pPr>
      <w:r w:rsidRPr="00D61480">
        <w:rPr>
          <w:rFonts w:ascii="Arial" w:hAnsi="Arial"/>
          <w:sz w:val="20"/>
          <w:szCs w:val="20"/>
        </w:rPr>
        <w:t>Deshabilitar puertos y servicios no requeridos.</w:t>
      </w:r>
    </w:p>
    <w:p w14:paraId="51DCE78A" w14:textId="77777777" w:rsidR="00696245" w:rsidRPr="00D61480" w:rsidRDefault="00696245" w:rsidP="00696245">
      <w:pPr>
        <w:rPr>
          <w:rFonts w:asciiTheme="minorHAnsi" w:hAnsiTheme="minorHAnsi" w:cstheme="minorBidi"/>
          <w:sz w:val="20"/>
          <w:szCs w:val="20"/>
        </w:rPr>
      </w:pPr>
    </w:p>
    <w:p w14:paraId="22AB840F" w14:textId="04D2F2B6" w:rsidR="00696245" w:rsidRPr="00D61480" w:rsidRDefault="00696245" w:rsidP="00696245">
      <w:pPr>
        <w:rPr>
          <w:rFonts w:ascii="Arial" w:hAnsi="Arial"/>
          <w:sz w:val="20"/>
          <w:szCs w:val="20"/>
        </w:rPr>
      </w:pPr>
      <w:r w:rsidRPr="00D61480">
        <w:rPr>
          <w:rFonts w:ascii="Arial" w:hAnsi="Arial"/>
          <w:sz w:val="20"/>
          <w:szCs w:val="20"/>
        </w:rPr>
        <w:t xml:space="preserve">La conexión de las plantas se debe realizar a través de un </w:t>
      </w:r>
      <w:proofErr w:type="spellStart"/>
      <w:r w:rsidRPr="00D61480">
        <w:rPr>
          <w:rFonts w:ascii="Arial" w:hAnsi="Arial"/>
          <w:i/>
          <w:iCs/>
          <w:sz w:val="20"/>
          <w:szCs w:val="20"/>
        </w:rPr>
        <w:t>router</w:t>
      </w:r>
      <w:proofErr w:type="spellEnd"/>
      <w:r w:rsidRPr="00D61480">
        <w:rPr>
          <w:rFonts w:ascii="Arial" w:hAnsi="Arial"/>
          <w:sz w:val="20"/>
          <w:szCs w:val="20"/>
        </w:rPr>
        <w:t xml:space="preserve"> celular que cumpla con las características anteriormente mencionadas. Si se considera un activo crítico aplicaría el acuerdo 1</w:t>
      </w:r>
      <w:r w:rsidR="00F51940" w:rsidRPr="00D61480">
        <w:rPr>
          <w:rFonts w:ascii="Arial" w:hAnsi="Arial"/>
          <w:sz w:val="20"/>
          <w:szCs w:val="20"/>
        </w:rPr>
        <w:t>347</w:t>
      </w:r>
      <w:r w:rsidRPr="00D61480">
        <w:rPr>
          <w:rFonts w:ascii="Arial" w:hAnsi="Arial"/>
          <w:sz w:val="20"/>
          <w:szCs w:val="20"/>
        </w:rPr>
        <w:t xml:space="preserve"> del CNO.</w:t>
      </w:r>
    </w:p>
    <w:p w14:paraId="28F5EEA5" w14:textId="77777777" w:rsidR="00696245" w:rsidRPr="00D61480" w:rsidRDefault="00696245" w:rsidP="00696245">
      <w:pPr>
        <w:rPr>
          <w:rFonts w:asciiTheme="minorHAnsi" w:hAnsiTheme="minorHAnsi" w:cstheme="minorBidi"/>
          <w:sz w:val="20"/>
          <w:szCs w:val="20"/>
        </w:rPr>
      </w:pPr>
    </w:p>
    <w:p w14:paraId="7DD0F672" w14:textId="77777777" w:rsidR="00696245" w:rsidRPr="00D61480" w:rsidRDefault="00696245" w:rsidP="00696245">
      <w:pPr>
        <w:rPr>
          <w:rFonts w:ascii="Arial" w:hAnsi="Arial"/>
          <w:sz w:val="20"/>
          <w:szCs w:val="20"/>
        </w:rPr>
      </w:pPr>
      <w:r w:rsidRPr="00D61480">
        <w:rPr>
          <w:rFonts w:ascii="Arial" w:hAnsi="Arial"/>
          <w:sz w:val="20"/>
          <w:szCs w:val="20"/>
        </w:rPr>
        <w:t xml:space="preserve">Para plantas menores de 5MW la conexión se debe realizar a través de un </w:t>
      </w:r>
      <w:r w:rsidRPr="00D61480">
        <w:rPr>
          <w:rFonts w:ascii="Arial" w:hAnsi="Arial"/>
          <w:i/>
          <w:iCs/>
          <w:sz w:val="20"/>
          <w:szCs w:val="20"/>
        </w:rPr>
        <w:t>modem</w:t>
      </w:r>
      <w:r w:rsidRPr="00D61480">
        <w:rPr>
          <w:rFonts w:ascii="Arial" w:hAnsi="Arial"/>
          <w:sz w:val="20"/>
          <w:szCs w:val="20"/>
        </w:rPr>
        <w:t xml:space="preserve"> celular que cumpla con las siguientes características:</w:t>
      </w:r>
    </w:p>
    <w:p w14:paraId="548B70B1" w14:textId="77777777" w:rsidR="00696245" w:rsidRPr="00D61480" w:rsidRDefault="00696245" w:rsidP="00696245">
      <w:pPr>
        <w:rPr>
          <w:rFonts w:ascii="Arial" w:hAnsi="Arial"/>
          <w:sz w:val="20"/>
          <w:szCs w:val="20"/>
        </w:rPr>
      </w:pPr>
    </w:p>
    <w:p w14:paraId="046F2B1E" w14:textId="77777777" w:rsidR="00696245" w:rsidRPr="00D61480" w:rsidRDefault="00696245" w:rsidP="004E0B95">
      <w:pPr>
        <w:pStyle w:val="Prrafodelista"/>
        <w:numPr>
          <w:ilvl w:val="0"/>
          <w:numId w:val="33"/>
        </w:numPr>
        <w:spacing w:line="256" w:lineRule="auto"/>
        <w:rPr>
          <w:rFonts w:ascii="Arial" w:hAnsi="Arial"/>
          <w:sz w:val="20"/>
          <w:szCs w:val="20"/>
        </w:rPr>
      </w:pPr>
      <w:r w:rsidRPr="00D61480">
        <w:rPr>
          <w:rFonts w:ascii="Arial" w:hAnsi="Arial"/>
          <w:sz w:val="20"/>
          <w:szCs w:val="20"/>
        </w:rPr>
        <w:t xml:space="preserve">Soporta </w:t>
      </w:r>
      <w:proofErr w:type="spellStart"/>
      <w:r w:rsidRPr="00D61480">
        <w:rPr>
          <w:rFonts w:ascii="Arial" w:hAnsi="Arial"/>
          <w:sz w:val="20"/>
          <w:szCs w:val="20"/>
        </w:rPr>
        <w:t>VPNs</w:t>
      </w:r>
      <w:proofErr w:type="spellEnd"/>
      <w:r w:rsidRPr="00D61480">
        <w:rPr>
          <w:rFonts w:ascii="Arial" w:hAnsi="Arial"/>
          <w:sz w:val="20"/>
          <w:szCs w:val="20"/>
        </w:rPr>
        <w:t>.</w:t>
      </w:r>
    </w:p>
    <w:p w14:paraId="540CF9F2" w14:textId="77777777" w:rsidR="00F51940" w:rsidRPr="00D61480" w:rsidRDefault="00F51940" w:rsidP="00F51940">
      <w:pPr>
        <w:pStyle w:val="Prrafodelista"/>
        <w:spacing w:line="256" w:lineRule="auto"/>
        <w:ind w:left="360"/>
        <w:rPr>
          <w:rFonts w:ascii="Arial" w:hAnsi="Arial"/>
          <w:sz w:val="20"/>
          <w:szCs w:val="20"/>
        </w:rPr>
      </w:pPr>
    </w:p>
    <w:p w14:paraId="37D5D832" w14:textId="511CAC5B" w:rsidR="00696245" w:rsidRPr="00D61480" w:rsidRDefault="00696245" w:rsidP="004E0B95">
      <w:pPr>
        <w:pStyle w:val="Prrafodelista"/>
        <w:numPr>
          <w:ilvl w:val="0"/>
          <w:numId w:val="33"/>
        </w:numPr>
        <w:spacing w:line="256" w:lineRule="auto"/>
        <w:rPr>
          <w:rFonts w:ascii="Arial" w:hAnsi="Arial"/>
          <w:sz w:val="20"/>
          <w:szCs w:val="20"/>
        </w:rPr>
      </w:pPr>
      <w:r w:rsidRPr="00D61480">
        <w:rPr>
          <w:rFonts w:ascii="Arial" w:hAnsi="Arial"/>
          <w:sz w:val="20"/>
          <w:szCs w:val="20"/>
        </w:rPr>
        <w:t>Permite segregar la red local de la planta de la red WAN.</w:t>
      </w:r>
    </w:p>
    <w:p w14:paraId="213991EE" w14:textId="77777777" w:rsidR="00F51940" w:rsidRPr="00D61480" w:rsidRDefault="00F51940" w:rsidP="00F51940">
      <w:pPr>
        <w:pStyle w:val="Prrafodelista"/>
        <w:spacing w:line="256" w:lineRule="auto"/>
        <w:ind w:left="360"/>
        <w:rPr>
          <w:rFonts w:ascii="Arial" w:hAnsi="Arial"/>
          <w:sz w:val="20"/>
          <w:szCs w:val="20"/>
        </w:rPr>
      </w:pPr>
    </w:p>
    <w:p w14:paraId="21D3B5C8" w14:textId="10DD9F6B" w:rsidR="00696245" w:rsidRPr="00D61480" w:rsidRDefault="00696245" w:rsidP="004E0B95">
      <w:pPr>
        <w:pStyle w:val="Prrafodelista"/>
        <w:numPr>
          <w:ilvl w:val="0"/>
          <w:numId w:val="33"/>
        </w:numPr>
        <w:spacing w:line="256" w:lineRule="auto"/>
        <w:rPr>
          <w:rFonts w:ascii="Arial" w:hAnsi="Arial"/>
          <w:sz w:val="20"/>
          <w:szCs w:val="20"/>
        </w:rPr>
      </w:pPr>
      <w:r w:rsidRPr="00D61480">
        <w:rPr>
          <w:rFonts w:ascii="Arial" w:hAnsi="Arial"/>
          <w:sz w:val="20"/>
          <w:szCs w:val="20"/>
        </w:rPr>
        <w:t>Cambio de contraseñas por defecto.</w:t>
      </w:r>
    </w:p>
    <w:p w14:paraId="739BD3A2" w14:textId="77777777" w:rsidR="00F51940" w:rsidRPr="00D61480" w:rsidRDefault="00F51940" w:rsidP="00F51940">
      <w:pPr>
        <w:pStyle w:val="Prrafodelista"/>
        <w:spacing w:line="256" w:lineRule="auto"/>
        <w:ind w:left="360"/>
        <w:rPr>
          <w:rFonts w:ascii="Arial" w:hAnsi="Arial"/>
          <w:sz w:val="20"/>
          <w:szCs w:val="20"/>
        </w:rPr>
      </w:pPr>
    </w:p>
    <w:p w14:paraId="51F1754C" w14:textId="38A02AEF" w:rsidR="00696245" w:rsidRPr="00D61480" w:rsidRDefault="00696245" w:rsidP="004E0B95">
      <w:pPr>
        <w:pStyle w:val="Prrafodelista"/>
        <w:numPr>
          <w:ilvl w:val="0"/>
          <w:numId w:val="33"/>
        </w:numPr>
        <w:spacing w:line="256" w:lineRule="auto"/>
        <w:rPr>
          <w:rFonts w:ascii="Arial" w:hAnsi="Arial"/>
          <w:sz w:val="20"/>
          <w:szCs w:val="20"/>
        </w:rPr>
      </w:pPr>
      <w:r w:rsidRPr="00D61480">
        <w:rPr>
          <w:rFonts w:ascii="Arial" w:hAnsi="Arial"/>
          <w:sz w:val="20"/>
          <w:szCs w:val="20"/>
        </w:rPr>
        <w:t>Deshabilitar puertos y servicios no requeridos.</w:t>
      </w:r>
    </w:p>
    <w:p w14:paraId="372DD4EE" w14:textId="77777777" w:rsidR="00696245" w:rsidRPr="00D61480" w:rsidRDefault="00696245" w:rsidP="00696245">
      <w:pPr>
        <w:rPr>
          <w:rFonts w:ascii="Arial" w:hAnsi="Arial"/>
          <w:sz w:val="20"/>
          <w:szCs w:val="20"/>
        </w:rPr>
      </w:pPr>
    </w:p>
    <w:p w14:paraId="744E6CA6" w14:textId="23AB0733" w:rsidR="00696245" w:rsidRPr="00D61480" w:rsidRDefault="00696245" w:rsidP="00696245">
      <w:pPr>
        <w:rPr>
          <w:rFonts w:ascii="Arial" w:hAnsi="Arial"/>
          <w:sz w:val="20"/>
          <w:szCs w:val="20"/>
        </w:rPr>
      </w:pPr>
      <w:r w:rsidRPr="00D61480">
        <w:rPr>
          <w:rFonts w:ascii="Arial" w:hAnsi="Arial"/>
          <w:sz w:val="20"/>
          <w:szCs w:val="20"/>
        </w:rPr>
        <w:t>Para plantas mayores a</w:t>
      </w:r>
      <w:r w:rsidR="00F51940" w:rsidRPr="00D61480">
        <w:rPr>
          <w:rFonts w:ascii="Arial" w:hAnsi="Arial"/>
          <w:sz w:val="20"/>
          <w:szCs w:val="20"/>
        </w:rPr>
        <w:t xml:space="preserve"> </w:t>
      </w:r>
      <w:r w:rsidRPr="00D61480">
        <w:rPr>
          <w:rFonts w:ascii="Arial" w:hAnsi="Arial"/>
          <w:sz w:val="20"/>
          <w:szCs w:val="20"/>
        </w:rPr>
        <w:t>5</w:t>
      </w:r>
      <w:r w:rsidR="00F51940" w:rsidRPr="00D61480">
        <w:rPr>
          <w:rFonts w:ascii="Arial" w:hAnsi="Arial"/>
          <w:sz w:val="20"/>
          <w:szCs w:val="20"/>
        </w:rPr>
        <w:t xml:space="preserve"> </w:t>
      </w:r>
      <w:r w:rsidRPr="00D61480">
        <w:rPr>
          <w:rFonts w:ascii="Arial" w:hAnsi="Arial"/>
          <w:sz w:val="20"/>
          <w:szCs w:val="20"/>
        </w:rPr>
        <w:t>MW aplicarán los requisitos de ciberseguridad de la norma NTC 6079 o sus posteriores actualizaciones, y los requisitos de cumplimiento de los acuerdos CNO.</w:t>
      </w:r>
    </w:p>
    <w:p w14:paraId="7FAB135D" w14:textId="77777777" w:rsidR="00696245" w:rsidRPr="00D61480" w:rsidRDefault="00696245" w:rsidP="00696245">
      <w:pPr>
        <w:rPr>
          <w:rFonts w:ascii="Arial" w:hAnsi="Arial"/>
          <w:sz w:val="20"/>
          <w:szCs w:val="20"/>
        </w:rPr>
      </w:pPr>
    </w:p>
    <w:p w14:paraId="6112C8C0" w14:textId="39AD733E" w:rsidR="00696245" w:rsidRPr="00D61480" w:rsidRDefault="00696245" w:rsidP="00F51940">
      <w:pPr>
        <w:pStyle w:val="Ttulo2"/>
        <w:numPr>
          <w:ilvl w:val="1"/>
          <w:numId w:val="12"/>
        </w:numPr>
        <w:jc w:val="both"/>
        <w:rPr>
          <w:rFonts w:ascii="Arial" w:hAnsi="Arial"/>
          <w:sz w:val="20"/>
          <w:szCs w:val="20"/>
        </w:rPr>
      </w:pPr>
      <w:bookmarkStart w:id="9" w:name="_Toc52213534"/>
      <w:r w:rsidRPr="00D61480">
        <w:rPr>
          <w:rFonts w:ascii="Arial" w:hAnsi="Arial"/>
          <w:sz w:val="20"/>
          <w:szCs w:val="20"/>
        </w:rPr>
        <w:t>Redes de telecomunicaciones</w:t>
      </w:r>
      <w:bookmarkEnd w:id="9"/>
      <w:r w:rsidR="00F51940" w:rsidRPr="00D61480">
        <w:rPr>
          <w:rFonts w:ascii="Arial" w:hAnsi="Arial"/>
          <w:sz w:val="20"/>
          <w:szCs w:val="20"/>
        </w:rPr>
        <w:t>.</w:t>
      </w:r>
    </w:p>
    <w:p w14:paraId="28AC523B" w14:textId="77777777" w:rsidR="00696245" w:rsidRPr="00D61480" w:rsidRDefault="00696245" w:rsidP="00696245">
      <w:pPr>
        <w:rPr>
          <w:rFonts w:ascii="Arial" w:hAnsi="Arial"/>
          <w:sz w:val="20"/>
          <w:szCs w:val="20"/>
        </w:rPr>
      </w:pPr>
    </w:p>
    <w:p w14:paraId="75DB6B29" w14:textId="2789E00C" w:rsidR="00696245" w:rsidRPr="00D61480" w:rsidRDefault="00696245" w:rsidP="00696245">
      <w:pPr>
        <w:rPr>
          <w:rFonts w:ascii="Arial" w:hAnsi="Arial"/>
          <w:sz w:val="20"/>
          <w:szCs w:val="20"/>
        </w:rPr>
      </w:pPr>
      <w:r w:rsidRPr="00D61480">
        <w:rPr>
          <w:rFonts w:ascii="Arial" w:hAnsi="Arial"/>
          <w:sz w:val="20"/>
          <w:szCs w:val="20"/>
        </w:rPr>
        <w:t>En el año 2016, se construyó un mapa de ruta referencial para el desarrollo de las redes eléctricas inteligentes (infraestructura de medida avanzada -AMI-, automatización avanzada de la red de distribución -ADA-, recursos energéticos distribuidos -DER- y movilidad eléctrica -VE-). La visión al 2030, busca propiciar la transformación que permita alcanzar las metas definidas por el Sector Eléctrico Colombiano - SEC, en donde las redes de comunicaciones se convierten en un elemento neurálgico y el espectro radioeléctrico en un recurso clave para soportar tanto la operación como la prestación de los servicios de energía eléctrica. Desde el año 2000 diferentes organismos gubernamentales y de estandarización han mostrado preocupación frente a las necesidades de espectro de empresas de servicios públicos en general y del sector eléctrico en particular, resaltando la necesidad de que a futuro se permita la atribución de bandas de frecuencia requeridas para el despliegue de las Redes Inteligentes del Sector Eléctrico. (Colombia Inteligente, 2019).</w:t>
      </w:r>
    </w:p>
    <w:p w14:paraId="6F64F410" w14:textId="77777777" w:rsidR="000340CD" w:rsidRPr="00D61480" w:rsidRDefault="000340CD" w:rsidP="00696245">
      <w:pPr>
        <w:rPr>
          <w:rFonts w:ascii="Arial" w:hAnsi="Arial"/>
          <w:sz w:val="20"/>
          <w:szCs w:val="20"/>
        </w:rPr>
      </w:pPr>
    </w:p>
    <w:p w14:paraId="7DAAF9E7" w14:textId="0D6345F9" w:rsidR="00696245" w:rsidRPr="00D61480" w:rsidRDefault="00696245" w:rsidP="00696245">
      <w:pPr>
        <w:rPr>
          <w:rFonts w:ascii="Arial" w:hAnsi="Arial"/>
          <w:sz w:val="20"/>
          <w:szCs w:val="20"/>
        </w:rPr>
      </w:pPr>
      <w:r w:rsidRPr="00D61480">
        <w:rPr>
          <w:rFonts w:ascii="Arial" w:hAnsi="Arial"/>
          <w:sz w:val="20"/>
          <w:szCs w:val="20"/>
        </w:rPr>
        <w:lastRenderedPageBreak/>
        <w:t>Con base en el análisis de la discusión sectorial y el levantamiento de la información asociada al uso del Espectro Radio Eléctrico–ERE en el sector eléctrico, se identificaron requerimientos de comunicaciones para el sector eléctrico, tanto en el contexto actual como en la transformación digital del sector. En particular, para las aplicaciones asociados a mecanismos del mercado (tarifas en tiempo real, respuesta de la demanda, facturación, gestión de información del cliente, portal web del cliente), sistemas de gestión, arquitecturas, esquemas o protocolos (AMR, DLC, gestión de redes AMI, conexión y desconexión remota, gestión de datos de medida, gestión de apagones, gestión de la distribución e indicadores de falla, conciencia situacional de área amplia, respuesta de emergencias, despacho y automatización de fuerzas de trabajo) y sobre equipos (reconectadores automáticos, control de bancos de capacitores, monitoreo de transformadores, monitoreo de voltaje y corriente, monitoreo de protecciones y control de líneas, generación distribuida y carga de vehículos eléctricos en casa o estaciones).  Frente a lo anterior, se han identificado tres (3) brechas principales frente a las necesidades actuales y futuras de ERE del SEC (Colombia Inteligente, 2019):</w:t>
      </w:r>
    </w:p>
    <w:p w14:paraId="1B214C0A" w14:textId="77777777" w:rsidR="000340CD" w:rsidRPr="00D61480" w:rsidRDefault="000340CD" w:rsidP="00696245">
      <w:pPr>
        <w:rPr>
          <w:rFonts w:ascii="Arial" w:hAnsi="Arial"/>
          <w:sz w:val="20"/>
          <w:szCs w:val="20"/>
        </w:rPr>
      </w:pPr>
    </w:p>
    <w:p w14:paraId="2342166B" w14:textId="77777777" w:rsidR="00696245" w:rsidRPr="00D61480" w:rsidRDefault="00696245" w:rsidP="004E0B95">
      <w:pPr>
        <w:pStyle w:val="Prrafodelista"/>
        <w:numPr>
          <w:ilvl w:val="0"/>
          <w:numId w:val="34"/>
        </w:numPr>
        <w:spacing w:after="160" w:line="256" w:lineRule="auto"/>
        <w:rPr>
          <w:rFonts w:ascii="Arial" w:hAnsi="Arial"/>
          <w:sz w:val="20"/>
          <w:szCs w:val="20"/>
        </w:rPr>
      </w:pPr>
      <w:r w:rsidRPr="00D61480">
        <w:rPr>
          <w:rFonts w:ascii="Arial" w:hAnsi="Arial"/>
          <w:sz w:val="20"/>
          <w:szCs w:val="20"/>
        </w:rPr>
        <w:t>No existen frecuencias atribuidas a las Empresas de Servicios Públicos dentro del Cuadro Nacional de Atribución de Bandas de Frecuencias: Lo cual se convierte en una primera brecha frente a la demanda actual y futura de espectro radioeléctrico, dificultando el acceso a este recurso por parte de las empresas del SEC.</w:t>
      </w:r>
    </w:p>
    <w:p w14:paraId="4B28902B" w14:textId="77777777" w:rsidR="000340CD" w:rsidRPr="00D61480" w:rsidRDefault="000340CD" w:rsidP="000340CD">
      <w:pPr>
        <w:pStyle w:val="Prrafodelista"/>
        <w:spacing w:after="160" w:line="256" w:lineRule="auto"/>
        <w:ind w:left="360"/>
        <w:rPr>
          <w:rFonts w:ascii="Arial" w:hAnsi="Arial"/>
          <w:sz w:val="20"/>
          <w:szCs w:val="20"/>
        </w:rPr>
      </w:pPr>
    </w:p>
    <w:p w14:paraId="3962D852" w14:textId="5D52C3A6" w:rsidR="00696245" w:rsidRPr="00D61480" w:rsidRDefault="00696245" w:rsidP="004E0B95">
      <w:pPr>
        <w:pStyle w:val="Prrafodelista"/>
        <w:numPr>
          <w:ilvl w:val="0"/>
          <w:numId w:val="34"/>
        </w:numPr>
        <w:spacing w:after="160" w:line="256" w:lineRule="auto"/>
        <w:rPr>
          <w:rFonts w:ascii="Arial" w:hAnsi="Arial"/>
          <w:sz w:val="20"/>
          <w:szCs w:val="20"/>
        </w:rPr>
      </w:pPr>
      <w:r w:rsidRPr="00D61480">
        <w:rPr>
          <w:rFonts w:ascii="Arial" w:hAnsi="Arial"/>
          <w:sz w:val="20"/>
          <w:szCs w:val="20"/>
        </w:rPr>
        <w:t xml:space="preserve">Uso de Redes de Terceros: Los niveles de calidad y servicio ofrecidos por los PRST mediante soluciones inalámbricas son inferiores a los requeridos por los sistemas de comunicaciones de misión crítica. Adicionalmente, con la previsible masificación de los AMI y la Automatización de la Red de Distribución, se incrementarían los costos de los servicios de datos requeridos para el funcionamiento de las aplicaciones de estos elementos de red, lo cual no es deseable porque se vería reflejado en las tarifas a los usuarios en el mercado minorista. </w:t>
      </w:r>
    </w:p>
    <w:p w14:paraId="35DE7359" w14:textId="77777777" w:rsidR="000340CD" w:rsidRPr="00D61480" w:rsidRDefault="000340CD" w:rsidP="000340CD">
      <w:pPr>
        <w:pStyle w:val="Prrafodelista"/>
        <w:spacing w:after="160" w:line="256" w:lineRule="auto"/>
        <w:ind w:left="360"/>
        <w:rPr>
          <w:rFonts w:ascii="Arial" w:hAnsi="Arial"/>
          <w:sz w:val="20"/>
          <w:szCs w:val="20"/>
        </w:rPr>
      </w:pPr>
    </w:p>
    <w:p w14:paraId="20118647" w14:textId="6E2FABCB" w:rsidR="00696245" w:rsidRPr="00D61480" w:rsidRDefault="00696245" w:rsidP="004E0B95">
      <w:pPr>
        <w:pStyle w:val="Prrafodelista"/>
        <w:numPr>
          <w:ilvl w:val="0"/>
          <w:numId w:val="34"/>
        </w:numPr>
        <w:spacing w:after="160" w:line="256" w:lineRule="auto"/>
        <w:rPr>
          <w:rFonts w:ascii="Arial" w:hAnsi="Arial"/>
          <w:sz w:val="20"/>
          <w:szCs w:val="20"/>
        </w:rPr>
      </w:pPr>
      <w:r w:rsidRPr="00D61480">
        <w:rPr>
          <w:rFonts w:ascii="Arial" w:hAnsi="Arial"/>
          <w:sz w:val="20"/>
          <w:szCs w:val="20"/>
        </w:rPr>
        <w:t>Uso de espectro Radioeléctrico en Bandas no Licenciadas: Con el fin de soportar los servicios de telecomunicaciones requeridos por las redes inteligentes, las empresas del SEC podrían acceder a bandas de espectro radioeléctrico no licenciado, sin embargo a futuro se prevén posibles problemas de saturación de estas frecuencias, afectando los niveles de calidad de servicio, además de ser más vulnerables a ciberataques, por ejemplo, ataques de denegación de servicios (DoS) mediante saturación de frecuencias, que las bandas licenciadas.</w:t>
      </w:r>
    </w:p>
    <w:p w14:paraId="5B590604" w14:textId="77777777" w:rsidR="00696245" w:rsidRPr="00D61480" w:rsidRDefault="00696245" w:rsidP="00696245">
      <w:pPr>
        <w:rPr>
          <w:rFonts w:ascii="Arial" w:hAnsi="Arial"/>
          <w:sz w:val="20"/>
          <w:szCs w:val="20"/>
        </w:rPr>
      </w:pPr>
      <w:r w:rsidRPr="00D61480">
        <w:rPr>
          <w:rFonts w:ascii="Arial" w:hAnsi="Arial"/>
          <w:sz w:val="20"/>
          <w:szCs w:val="20"/>
        </w:rPr>
        <w:t>Los grandes volúmenes de datos que se transarán en la distribución con la incorporación de la medida inteligente y los recursos de energía distribuidos, entre ellos plantas fotovoltaicas y eólicas, en el SDL, requieren de una mayor confiabilidad, calidad y seguridad de las comunicaciones, por lo tanto, el uso del ERE con bandas dedicadas es una solución a las actuales y futuras necesidades para lograr estos desarrollos de las tecnologías integradas a las redes del SDL.</w:t>
      </w:r>
    </w:p>
    <w:p w14:paraId="27CDC11C" w14:textId="77777777" w:rsidR="000340CD" w:rsidRPr="00D61480" w:rsidRDefault="000340CD" w:rsidP="00696245">
      <w:pPr>
        <w:rPr>
          <w:rFonts w:ascii="Arial" w:hAnsi="Arial"/>
          <w:sz w:val="20"/>
          <w:szCs w:val="20"/>
        </w:rPr>
      </w:pPr>
    </w:p>
    <w:p w14:paraId="0148B873" w14:textId="75E1B735" w:rsidR="00696245" w:rsidRPr="00D61480" w:rsidRDefault="00696245" w:rsidP="00696245">
      <w:pPr>
        <w:rPr>
          <w:rFonts w:ascii="Arial" w:hAnsi="Arial"/>
          <w:sz w:val="20"/>
          <w:szCs w:val="20"/>
        </w:rPr>
      </w:pPr>
      <w:r w:rsidRPr="00D61480">
        <w:rPr>
          <w:rFonts w:ascii="Arial" w:hAnsi="Arial"/>
          <w:sz w:val="20"/>
          <w:szCs w:val="20"/>
        </w:rPr>
        <w:t>Los niveles de comunicación requeridos por una planta DER deben segmentarse de acuerdo con su impacto en el SDL o de acuerdo con los servicios requeridos. Cuando la confiabilidad requerida de las plantas sea muy alta por condiciones de la operación y de los servicios, se deben tener canales de comunicación redundantes. Aquellas plantas de generación distribuida que solo requieren observabilidad, podrán integrarse con comunicaciones bajo internet.</w:t>
      </w:r>
    </w:p>
    <w:p w14:paraId="6F3E5347" w14:textId="450DC1B4" w:rsidR="00423839" w:rsidRPr="00D61480" w:rsidRDefault="00423839" w:rsidP="00696245">
      <w:pPr>
        <w:rPr>
          <w:rFonts w:ascii="Arial" w:hAnsi="Arial"/>
          <w:sz w:val="20"/>
          <w:szCs w:val="20"/>
        </w:rPr>
      </w:pPr>
    </w:p>
    <w:p w14:paraId="3BCCFA6C" w14:textId="77777777" w:rsidR="00423839" w:rsidRPr="00D61480" w:rsidRDefault="00423839" w:rsidP="00696245">
      <w:pPr>
        <w:rPr>
          <w:rFonts w:ascii="Arial" w:hAnsi="Arial"/>
          <w:sz w:val="20"/>
          <w:szCs w:val="20"/>
        </w:rPr>
      </w:pPr>
    </w:p>
    <w:p w14:paraId="477138C7" w14:textId="3FF859BA" w:rsidR="00E32701" w:rsidRPr="00D61480" w:rsidRDefault="00E32701" w:rsidP="00685308">
      <w:pPr>
        <w:pStyle w:val="Enelcorpodeltesto"/>
        <w:contextualSpacing/>
        <w:outlineLvl w:val="0"/>
        <w:rPr>
          <w:rFonts w:ascii="Arial" w:hAnsi="Arial" w:cs="Arial"/>
          <w:bCs/>
          <w:sz w:val="20"/>
          <w:szCs w:val="20"/>
          <w:lang w:val="es-CO" w:eastAsia="es-ES"/>
        </w:rPr>
      </w:pPr>
    </w:p>
    <w:p w14:paraId="0BCBF1CD" w14:textId="66781B95" w:rsidR="00496A09" w:rsidRPr="00D61480" w:rsidRDefault="00496A09" w:rsidP="00496A09">
      <w:pPr>
        <w:pStyle w:val="Enelcorpodeltesto"/>
        <w:numPr>
          <w:ilvl w:val="0"/>
          <w:numId w:val="12"/>
        </w:numPr>
        <w:contextualSpacing/>
        <w:outlineLvl w:val="0"/>
        <w:rPr>
          <w:rFonts w:ascii="Arial" w:hAnsi="Arial" w:cs="Arial"/>
          <w:b/>
          <w:sz w:val="20"/>
          <w:szCs w:val="20"/>
          <w:lang w:val="es-CO" w:eastAsia="es-ES"/>
        </w:rPr>
      </w:pPr>
      <w:bookmarkStart w:id="10" w:name="_Toc52213535"/>
      <w:r w:rsidRPr="00D61480">
        <w:rPr>
          <w:rFonts w:ascii="Arial" w:hAnsi="Arial" w:cs="Arial"/>
          <w:b/>
          <w:sz w:val="20"/>
          <w:szCs w:val="20"/>
          <w:lang w:val="es-CO" w:eastAsia="es-ES"/>
        </w:rPr>
        <w:lastRenderedPageBreak/>
        <w:t>Recomendaciones en Supervisión y Ciberseguridad</w:t>
      </w:r>
      <w:bookmarkEnd w:id="10"/>
      <w:r w:rsidRPr="00D61480">
        <w:rPr>
          <w:rFonts w:ascii="Arial" w:hAnsi="Arial" w:cs="Arial"/>
          <w:b/>
          <w:sz w:val="20"/>
          <w:szCs w:val="20"/>
          <w:lang w:val="es-CO" w:eastAsia="es-ES"/>
        </w:rPr>
        <w:t>.</w:t>
      </w:r>
    </w:p>
    <w:p w14:paraId="2A07EB9D" w14:textId="77777777" w:rsidR="00496A09" w:rsidRPr="00D61480" w:rsidRDefault="00496A09" w:rsidP="00496A09">
      <w:pPr>
        <w:rPr>
          <w:rFonts w:eastAsiaTheme="minorHAnsi"/>
          <w:sz w:val="22"/>
          <w:szCs w:val="22"/>
        </w:rPr>
      </w:pPr>
    </w:p>
    <w:p w14:paraId="0CE6AAF9" w14:textId="77777777" w:rsidR="00496A09" w:rsidRPr="00D61480" w:rsidRDefault="00496A09" w:rsidP="00496A09">
      <w:pPr>
        <w:rPr>
          <w:rFonts w:ascii="Arial" w:hAnsi="Arial"/>
          <w:sz w:val="20"/>
          <w:szCs w:val="20"/>
        </w:rPr>
      </w:pPr>
      <w:r w:rsidRPr="00D61480">
        <w:rPr>
          <w:rFonts w:ascii="Arial" w:hAnsi="Arial"/>
          <w:sz w:val="20"/>
          <w:szCs w:val="20"/>
        </w:rPr>
        <w:t>En el siguiente capítulo se realizan recomendaciones a nivel de los estándares para la integración de los DER en los SDL, y la apropiación de la arquitectura tecnológica para supervisión en la operación.</w:t>
      </w:r>
    </w:p>
    <w:p w14:paraId="0839CA22" w14:textId="77777777" w:rsidR="00496A09" w:rsidRPr="00D61480" w:rsidRDefault="00496A09" w:rsidP="00496A09">
      <w:pPr>
        <w:rPr>
          <w:rFonts w:asciiTheme="minorHAnsi" w:hAnsiTheme="minorHAnsi" w:cstheme="minorBidi"/>
          <w:sz w:val="22"/>
          <w:szCs w:val="22"/>
        </w:rPr>
      </w:pPr>
    </w:p>
    <w:p w14:paraId="3D6F1744" w14:textId="16F34239" w:rsidR="00496A09" w:rsidRPr="00D61480" w:rsidRDefault="00496A09" w:rsidP="00496A09">
      <w:pPr>
        <w:pStyle w:val="Ttulo2"/>
        <w:numPr>
          <w:ilvl w:val="1"/>
          <w:numId w:val="12"/>
        </w:numPr>
        <w:jc w:val="both"/>
        <w:rPr>
          <w:rFonts w:ascii="Arial" w:hAnsi="Arial"/>
          <w:sz w:val="20"/>
          <w:szCs w:val="20"/>
        </w:rPr>
      </w:pPr>
      <w:bookmarkStart w:id="11" w:name="_Toc52213536"/>
      <w:r w:rsidRPr="00D61480">
        <w:rPr>
          <w:rFonts w:ascii="Arial" w:hAnsi="Arial"/>
          <w:sz w:val="20"/>
          <w:szCs w:val="20"/>
        </w:rPr>
        <w:t>Estándares de integración DER en los SDL</w:t>
      </w:r>
      <w:bookmarkEnd w:id="11"/>
      <w:r w:rsidRPr="00D61480">
        <w:rPr>
          <w:rFonts w:ascii="Arial" w:hAnsi="Arial"/>
          <w:sz w:val="20"/>
          <w:szCs w:val="20"/>
        </w:rPr>
        <w:t>.</w:t>
      </w:r>
    </w:p>
    <w:p w14:paraId="6A0A9267" w14:textId="77777777" w:rsidR="00496A09" w:rsidRPr="00D61480" w:rsidRDefault="00496A09" w:rsidP="00496A09">
      <w:pPr>
        <w:rPr>
          <w:rFonts w:ascii="Arial" w:hAnsi="Arial"/>
          <w:bCs/>
          <w:sz w:val="20"/>
          <w:szCs w:val="20"/>
        </w:rPr>
      </w:pPr>
    </w:p>
    <w:p w14:paraId="329F5CA0" w14:textId="77777777" w:rsidR="00496A09" w:rsidRPr="00D61480" w:rsidRDefault="00496A09" w:rsidP="00496A09">
      <w:pPr>
        <w:rPr>
          <w:rFonts w:ascii="Arial" w:hAnsi="Arial"/>
          <w:bCs/>
          <w:sz w:val="20"/>
          <w:szCs w:val="20"/>
        </w:rPr>
      </w:pPr>
      <w:r w:rsidRPr="00D61480">
        <w:rPr>
          <w:rFonts w:ascii="Arial" w:hAnsi="Arial"/>
          <w:bCs/>
          <w:sz w:val="20"/>
          <w:szCs w:val="20"/>
        </w:rPr>
        <w:t>Con base en las mejores prácticas y estándares, las plantas fotovoltaicas y eólicas deberán integrarse al SDL para la supervisión y control bajo las consideraciones de interoperabilidad, ciberseguridad y de habilitación de servicios que faciliten su despliegue. A continuación, se describen algunos aspectos relevantes:</w:t>
      </w:r>
    </w:p>
    <w:p w14:paraId="2ED299FA" w14:textId="77777777" w:rsidR="00496A09" w:rsidRPr="00D61480" w:rsidRDefault="00496A09" w:rsidP="00496A09">
      <w:pPr>
        <w:rPr>
          <w:rFonts w:ascii="Arial" w:hAnsi="Arial"/>
          <w:b/>
          <w:bCs/>
          <w:sz w:val="20"/>
          <w:szCs w:val="20"/>
        </w:rPr>
      </w:pPr>
    </w:p>
    <w:p w14:paraId="64834924" w14:textId="77777777" w:rsidR="00496A09" w:rsidRPr="00D61480" w:rsidRDefault="00496A09" w:rsidP="004E0B95">
      <w:pPr>
        <w:pStyle w:val="Prrafodelista"/>
        <w:numPr>
          <w:ilvl w:val="0"/>
          <w:numId w:val="41"/>
        </w:numPr>
        <w:rPr>
          <w:rFonts w:ascii="Arial" w:hAnsi="Arial"/>
          <w:b/>
          <w:bCs/>
          <w:sz w:val="20"/>
          <w:szCs w:val="20"/>
        </w:rPr>
      </w:pPr>
      <w:r w:rsidRPr="00D61480">
        <w:rPr>
          <w:rFonts w:ascii="Arial" w:hAnsi="Arial"/>
          <w:b/>
          <w:bCs/>
          <w:sz w:val="20"/>
          <w:szCs w:val="20"/>
        </w:rPr>
        <w:t xml:space="preserve">Infraestructura de comunicación y control de recursos distribuidos </w:t>
      </w:r>
      <w:r w:rsidRPr="00D61480">
        <w:rPr>
          <w:b/>
          <w:bCs/>
        </w:rPr>
        <w:t>(</w:t>
      </w:r>
      <w:r w:rsidRPr="00D61480">
        <w:rPr>
          <w:rFonts w:ascii="Arial" w:hAnsi="Arial"/>
          <w:sz w:val="20"/>
          <w:szCs w:val="20"/>
        </w:rPr>
        <w:t>Colombia Inteligente, noviembre 2019)</w:t>
      </w:r>
      <w:r w:rsidRPr="00D61480">
        <w:rPr>
          <w:rFonts w:ascii="Arial" w:hAnsi="Arial"/>
          <w:b/>
          <w:bCs/>
          <w:sz w:val="20"/>
          <w:szCs w:val="20"/>
        </w:rPr>
        <w:t xml:space="preserve">: </w:t>
      </w:r>
      <w:r w:rsidRPr="00D61480">
        <w:rPr>
          <w:rFonts w:ascii="Arial" w:hAnsi="Arial"/>
          <w:sz w:val="20"/>
          <w:szCs w:val="20"/>
        </w:rPr>
        <w:t>Las diferentes interacciones que se podrían llegar a dar entre el administrador del sistema (operador del sistema, operador de red, comercializador/agregador) con sus clientes se pueden establecer a diferentes niveles. Estas interacciones están ligadas a las capacidades tecnológicas del usuario/cliente para el control de sus recursos, así como de las tecnologías de información y comunicaciones disponibles para la integración.  El primer paso del proceso de diseño de la red es estimar la cantidad de tráfico que soportará. Esto dependerá del tipo de servicio a implementar y sus características. Además de las estimaciones de tráfico de la red, otras entradas necesarias para el diseño incluyen el rendimiento de la red, la confiabilidad, calidad de servicio y los requisitos de seguridad.</w:t>
      </w:r>
    </w:p>
    <w:p w14:paraId="7A3683E7" w14:textId="77777777" w:rsidR="00496A09" w:rsidRPr="00D61480" w:rsidRDefault="00496A09" w:rsidP="00496A09">
      <w:pPr>
        <w:pStyle w:val="Prrafodelista"/>
        <w:ind w:left="360"/>
        <w:rPr>
          <w:rFonts w:ascii="Arial" w:hAnsi="Arial"/>
          <w:b/>
          <w:bCs/>
          <w:sz w:val="20"/>
          <w:szCs w:val="20"/>
        </w:rPr>
      </w:pPr>
    </w:p>
    <w:p w14:paraId="76045A06" w14:textId="70E2D180" w:rsidR="00496A09" w:rsidRPr="00D61480" w:rsidRDefault="00496A09" w:rsidP="00496A09">
      <w:pPr>
        <w:pStyle w:val="Prrafodelista"/>
        <w:ind w:left="360"/>
        <w:rPr>
          <w:rFonts w:ascii="Arial" w:hAnsi="Arial"/>
          <w:b/>
          <w:bCs/>
          <w:sz w:val="20"/>
          <w:szCs w:val="20"/>
        </w:rPr>
      </w:pPr>
      <w:r w:rsidRPr="00D61480">
        <w:rPr>
          <w:rFonts w:ascii="Arial" w:hAnsi="Arial"/>
          <w:sz w:val="20"/>
          <w:szCs w:val="20"/>
        </w:rPr>
        <w:t xml:space="preserve">Como condición para lograr la interoperabilidad, la red de comunicación </w:t>
      </w:r>
      <w:r w:rsidRPr="00D61480">
        <w:rPr>
          <w:rFonts w:ascii="Arial" w:hAnsi="Arial"/>
          <w:i/>
          <w:iCs/>
          <w:sz w:val="20"/>
          <w:szCs w:val="20"/>
        </w:rPr>
        <w:t xml:space="preserve">Smart </w:t>
      </w:r>
      <w:proofErr w:type="spellStart"/>
      <w:r w:rsidRPr="00D61480">
        <w:rPr>
          <w:rFonts w:ascii="Arial" w:hAnsi="Arial"/>
          <w:i/>
          <w:iCs/>
          <w:sz w:val="20"/>
          <w:szCs w:val="20"/>
        </w:rPr>
        <w:t>Grid</w:t>
      </w:r>
      <w:proofErr w:type="spellEnd"/>
      <w:r w:rsidRPr="00D61480">
        <w:rPr>
          <w:rFonts w:ascii="Arial" w:hAnsi="Arial"/>
          <w:sz w:val="20"/>
          <w:szCs w:val="20"/>
        </w:rPr>
        <w:t xml:space="preserve"> debe basarse en estándares de redes de comunicación abiertos y preferiblemente bien establecidos. Los estándares pueden clasificarse de acuerdo con su área de aplicación en: modelos de datos o información y protocolos de intercambio o tecnologías de comunicación. El uso de los estándares estará definido por el caso de uso específico y en particular por la arquitectura funcional y tecnológica que soporte el caso de uso.  Por ejemplo, la </w:t>
      </w:r>
      <w:r w:rsidRPr="00D61480">
        <w:rPr>
          <w:rFonts w:ascii="Arial" w:hAnsi="Arial"/>
          <w:sz w:val="20"/>
          <w:szCs w:val="20"/>
        </w:rPr>
        <w:fldChar w:fldCharType="begin"/>
      </w:r>
      <w:r w:rsidRPr="00D61480">
        <w:rPr>
          <w:rFonts w:ascii="Arial" w:hAnsi="Arial"/>
          <w:sz w:val="20"/>
          <w:szCs w:val="20"/>
        </w:rPr>
        <w:instrText xml:space="preserve"> REF _Ref26942959 \h  \* MERGEFORMAT </w:instrText>
      </w:r>
      <w:r w:rsidRPr="00D61480">
        <w:rPr>
          <w:rFonts w:ascii="Arial" w:hAnsi="Arial"/>
          <w:sz w:val="20"/>
          <w:szCs w:val="20"/>
        </w:rPr>
      </w:r>
      <w:r w:rsidRPr="00D61480">
        <w:rPr>
          <w:rFonts w:ascii="Arial" w:hAnsi="Arial"/>
          <w:sz w:val="20"/>
          <w:szCs w:val="20"/>
        </w:rPr>
        <w:fldChar w:fldCharType="separate"/>
      </w:r>
      <w:r w:rsidRPr="00D61480">
        <w:rPr>
          <w:rFonts w:ascii="Arial" w:hAnsi="Arial"/>
          <w:sz w:val="20"/>
          <w:szCs w:val="20"/>
        </w:rPr>
        <w:t xml:space="preserve">Figura </w:t>
      </w:r>
      <w:r w:rsidRPr="00D61480">
        <w:rPr>
          <w:rFonts w:ascii="Arial" w:hAnsi="Arial"/>
          <w:noProof/>
          <w:sz w:val="20"/>
          <w:szCs w:val="20"/>
        </w:rPr>
        <w:t>1</w:t>
      </w:r>
      <w:r w:rsidRPr="00D61480">
        <w:rPr>
          <w:rFonts w:ascii="Arial" w:hAnsi="Arial"/>
          <w:sz w:val="20"/>
          <w:szCs w:val="20"/>
        </w:rPr>
        <w:fldChar w:fldCharType="end"/>
      </w:r>
      <w:r w:rsidRPr="00D61480">
        <w:rPr>
          <w:rFonts w:ascii="Arial" w:hAnsi="Arial"/>
          <w:sz w:val="20"/>
          <w:szCs w:val="20"/>
        </w:rPr>
        <w:t xml:space="preserve">1 muestra la arquitectura funcional de un sistema de recursos distribuidos basado en respuesta de la demanda. A diferentes niveles de interacción se presentan diferentes protocolos, tecnologías y estándares de comunicación. Esto debido al tipo de información intercambiada y al tipo de redes utilizadas para la comunicación.          </w:t>
      </w:r>
    </w:p>
    <w:p w14:paraId="1FFE953D" w14:textId="408A9500" w:rsidR="00496A09" w:rsidRPr="00D61480" w:rsidRDefault="00496A09" w:rsidP="00496A09">
      <w:pPr>
        <w:keepNext/>
        <w:jc w:val="center"/>
        <w:rPr>
          <w:rFonts w:ascii="Arial" w:hAnsi="Arial"/>
          <w:sz w:val="20"/>
          <w:szCs w:val="20"/>
        </w:rPr>
      </w:pPr>
      <w:r w:rsidRPr="00D61480">
        <w:rPr>
          <w:rFonts w:ascii="Arial" w:hAnsi="Arial"/>
          <w:noProof/>
          <w:sz w:val="20"/>
          <w:szCs w:val="20"/>
        </w:rPr>
        <w:lastRenderedPageBreak/>
        <w:drawing>
          <wp:inline distT="0" distB="0" distL="0" distR="0" wp14:anchorId="179BCA41" wp14:editId="4CA0668A">
            <wp:extent cx="4200525" cy="37338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0525" cy="3733800"/>
                    </a:xfrm>
                    <a:prstGeom prst="rect">
                      <a:avLst/>
                    </a:prstGeom>
                    <a:noFill/>
                    <a:ln>
                      <a:noFill/>
                    </a:ln>
                  </pic:spPr>
                </pic:pic>
              </a:graphicData>
            </a:graphic>
          </wp:inline>
        </w:drawing>
      </w:r>
    </w:p>
    <w:p w14:paraId="04AFFEC9" w14:textId="3DAE8C93" w:rsidR="00496A09" w:rsidRPr="00D61480" w:rsidRDefault="00496A09" w:rsidP="00496A09">
      <w:pPr>
        <w:pStyle w:val="Descripcin"/>
        <w:jc w:val="center"/>
        <w:rPr>
          <w:rFonts w:ascii="Arial" w:hAnsi="Arial" w:cs="Arial"/>
          <w:b w:val="0"/>
          <w:i/>
          <w:color w:val="auto"/>
          <w:sz w:val="16"/>
          <w:szCs w:val="16"/>
        </w:rPr>
      </w:pPr>
      <w:bookmarkStart w:id="12" w:name="_Ref26942959"/>
      <w:r w:rsidRPr="00D61480">
        <w:rPr>
          <w:rFonts w:ascii="Arial" w:hAnsi="Arial" w:cs="Arial"/>
          <w:b w:val="0"/>
          <w:color w:val="auto"/>
          <w:sz w:val="16"/>
          <w:szCs w:val="16"/>
        </w:rPr>
        <w:t xml:space="preserve">Figura </w:t>
      </w:r>
      <w:bookmarkEnd w:id="12"/>
      <w:r w:rsidRPr="00D61480">
        <w:rPr>
          <w:rFonts w:ascii="Arial" w:hAnsi="Arial" w:cs="Arial"/>
          <w:b w:val="0"/>
          <w:color w:val="auto"/>
          <w:sz w:val="16"/>
          <w:szCs w:val="16"/>
        </w:rPr>
        <w:t>11. Interacciones y protocolos RD como recurso distribuido.</w:t>
      </w:r>
      <w:r w:rsidRPr="00D61480">
        <w:rPr>
          <w:rFonts w:ascii="Arial" w:hAnsi="Arial" w:cs="Arial"/>
          <w:b w:val="0"/>
          <w:i/>
          <w:color w:val="auto"/>
          <w:sz w:val="16"/>
          <w:szCs w:val="16"/>
        </w:rPr>
        <w:t xml:space="preserve"> </w:t>
      </w:r>
      <w:r w:rsidRPr="00D61480">
        <w:rPr>
          <w:rFonts w:ascii="Arial" w:hAnsi="Arial" w:cs="Arial"/>
          <w:b w:val="0"/>
          <w:color w:val="auto"/>
          <w:sz w:val="16"/>
          <w:szCs w:val="16"/>
        </w:rPr>
        <w:t xml:space="preserve">Tomada de </w:t>
      </w:r>
      <w:r w:rsidRPr="00D61480">
        <w:rPr>
          <w:rFonts w:ascii="Arial" w:hAnsi="Arial" w:cs="Arial"/>
          <w:b w:val="0"/>
          <w:i/>
          <w:color w:val="auto"/>
          <w:sz w:val="16"/>
          <w:szCs w:val="16"/>
        </w:rPr>
        <w:fldChar w:fldCharType="begin" w:fldLock="1"/>
      </w:r>
      <w:r w:rsidRPr="00D61480">
        <w:rPr>
          <w:rFonts w:ascii="Arial" w:hAnsi="Arial" w:cs="Arial"/>
          <w:b w:val="0"/>
          <w:color w:val="auto"/>
          <w:sz w:val="16"/>
          <w:szCs w:val="16"/>
        </w:rPr>
        <w:instrText>ADDIN CSL_CITATION {"citationItems":[{"id":"ITEM-1","itemData":{"author":[{"dropping-particle":"","family":"Mullin","given":"Pierre","non-dropping-particle":"","parse-names":false,"suffix":""}],"id":"ITEM-1","issued":{"date-parts":[["2017"]]},"title":"Overview of DER interactions","type":"report"},"uris":["http://www.mendeley.com/documents/?uuid=9be4fcc5-5201-4e27-8034-ef7d0d2ba8df"]}],"mendeley":{"formattedCitation":"(Mullin, 2017)","plainTextFormattedCitation":"(Mullin, 2017)","previouslyFormattedCitation":"(Mullin, 2017)"},"properties":{"noteIndex":0},"schema":"https://github.com/citation-style-language/schema/raw/master/csl-citation.json"}</w:instrText>
      </w:r>
      <w:r w:rsidRPr="00D61480">
        <w:rPr>
          <w:rFonts w:ascii="Arial" w:hAnsi="Arial" w:cs="Arial"/>
          <w:b w:val="0"/>
          <w:i/>
          <w:color w:val="auto"/>
          <w:sz w:val="16"/>
          <w:szCs w:val="16"/>
        </w:rPr>
        <w:fldChar w:fldCharType="separate"/>
      </w:r>
      <w:r w:rsidRPr="00D61480">
        <w:rPr>
          <w:rFonts w:ascii="Arial" w:hAnsi="Arial" w:cs="Arial"/>
          <w:b w:val="0"/>
          <w:noProof/>
          <w:color w:val="auto"/>
          <w:sz w:val="16"/>
          <w:szCs w:val="16"/>
        </w:rPr>
        <w:t>(Mullin, 2017)</w:t>
      </w:r>
      <w:r w:rsidRPr="00D61480">
        <w:rPr>
          <w:rFonts w:ascii="Arial" w:hAnsi="Arial" w:cs="Arial"/>
          <w:b w:val="0"/>
          <w:i/>
          <w:color w:val="auto"/>
          <w:sz w:val="16"/>
          <w:szCs w:val="16"/>
        </w:rPr>
        <w:fldChar w:fldCharType="end"/>
      </w:r>
      <w:r w:rsidRPr="00D61480">
        <w:rPr>
          <w:rFonts w:ascii="Arial" w:hAnsi="Arial" w:cs="Arial"/>
          <w:b w:val="0"/>
          <w:color w:val="auto"/>
          <w:sz w:val="16"/>
          <w:szCs w:val="16"/>
        </w:rPr>
        <w:t>.</w:t>
      </w:r>
    </w:p>
    <w:p w14:paraId="6ECE0C48" w14:textId="77777777" w:rsidR="00496A09" w:rsidRPr="00D61480" w:rsidRDefault="00496A09" w:rsidP="00496A09">
      <w:pPr>
        <w:pStyle w:val="Descripcin"/>
        <w:spacing w:after="0"/>
        <w:jc w:val="center"/>
        <w:rPr>
          <w:rFonts w:ascii="Arial" w:hAnsi="Arial" w:cs="Arial"/>
          <w:b w:val="0"/>
          <w:i/>
          <w:color w:val="auto"/>
          <w:sz w:val="20"/>
          <w:szCs w:val="20"/>
        </w:rPr>
      </w:pPr>
    </w:p>
    <w:p w14:paraId="71BA06E3" w14:textId="77777777" w:rsidR="00496A09" w:rsidRPr="00D61480" w:rsidRDefault="00496A09" w:rsidP="00496A09">
      <w:pPr>
        <w:pStyle w:val="Prrafodelista"/>
        <w:ind w:left="360"/>
        <w:rPr>
          <w:rFonts w:ascii="Arial" w:hAnsi="Arial"/>
          <w:sz w:val="20"/>
          <w:szCs w:val="20"/>
        </w:rPr>
      </w:pPr>
      <w:r w:rsidRPr="00D61480">
        <w:rPr>
          <w:rFonts w:ascii="Arial" w:hAnsi="Arial"/>
          <w:sz w:val="20"/>
          <w:szCs w:val="20"/>
        </w:rPr>
        <w:t>La ciberseguridad debe garantizar la confidencialidad, integridad y disponibilidad de los sistemas electrónicos de comunicación, de información y los sistemas de control necesarios para la gestión, operación y protección de las infraestructuras de la red inteligente, tecnologías de la información y telecomunicaciones. Por ello, en el marco de la red inteligente, la ciberseguridad está enfocada en la protección de personas, datos e información, aplicaciones y procesos, redes de comunicación y dispositivos y la infraestructura física.</w:t>
      </w:r>
    </w:p>
    <w:p w14:paraId="39AED32F" w14:textId="77777777" w:rsidR="00496A09" w:rsidRPr="00D61480" w:rsidRDefault="00496A09" w:rsidP="00496A09">
      <w:pPr>
        <w:pStyle w:val="Prrafodelista"/>
        <w:ind w:left="360"/>
        <w:rPr>
          <w:rFonts w:ascii="Arial" w:hAnsi="Arial"/>
          <w:sz w:val="20"/>
          <w:szCs w:val="20"/>
        </w:rPr>
      </w:pPr>
    </w:p>
    <w:p w14:paraId="3AF96649" w14:textId="77777777" w:rsidR="00496A09" w:rsidRPr="00D61480" w:rsidRDefault="00496A09" w:rsidP="00496A09">
      <w:pPr>
        <w:pStyle w:val="Prrafodelista"/>
        <w:ind w:left="360"/>
        <w:rPr>
          <w:rFonts w:ascii="Arial" w:hAnsi="Arial"/>
          <w:sz w:val="20"/>
          <w:szCs w:val="20"/>
        </w:rPr>
      </w:pPr>
      <w:r w:rsidRPr="00D61480">
        <w:rPr>
          <w:rFonts w:ascii="Arial" w:hAnsi="Arial"/>
          <w:sz w:val="20"/>
          <w:szCs w:val="20"/>
        </w:rPr>
        <w:t>La infraestructura de comunicación es parte fundamental de los sistemas de monitoreo y verificación de los recursos. Típicamente estos sistemas están conformados por:</w:t>
      </w:r>
    </w:p>
    <w:p w14:paraId="08A71F7D" w14:textId="3B44017A" w:rsidR="00496A09" w:rsidRPr="00D61480" w:rsidRDefault="00496A09" w:rsidP="00496A09">
      <w:pPr>
        <w:pStyle w:val="Prrafodelista"/>
        <w:ind w:left="360"/>
        <w:rPr>
          <w:rFonts w:ascii="Arial" w:hAnsi="Arial"/>
          <w:sz w:val="20"/>
          <w:szCs w:val="20"/>
        </w:rPr>
      </w:pPr>
      <w:r w:rsidRPr="00D61480">
        <w:rPr>
          <w:rFonts w:ascii="Arial" w:hAnsi="Arial"/>
          <w:sz w:val="20"/>
          <w:szCs w:val="20"/>
        </w:rPr>
        <w:t xml:space="preserve"> </w:t>
      </w:r>
    </w:p>
    <w:p w14:paraId="0E6FBCFB" w14:textId="0CD5C482" w:rsidR="00496A09" w:rsidRPr="00D61480" w:rsidRDefault="00496A09" w:rsidP="004E0B95">
      <w:pPr>
        <w:pStyle w:val="Prrafodelista"/>
        <w:numPr>
          <w:ilvl w:val="0"/>
          <w:numId w:val="38"/>
        </w:numPr>
        <w:spacing w:line="276" w:lineRule="auto"/>
        <w:rPr>
          <w:rFonts w:ascii="Arial" w:hAnsi="Arial"/>
          <w:sz w:val="20"/>
          <w:szCs w:val="20"/>
        </w:rPr>
      </w:pPr>
      <w:r w:rsidRPr="00D61480">
        <w:rPr>
          <w:rFonts w:ascii="Arial" w:hAnsi="Arial"/>
          <w:sz w:val="20"/>
          <w:szCs w:val="20"/>
        </w:rPr>
        <w:t>Medidores Inteligentes: además de habilitar esquemas tarifarios por franjas horarias permiten conocer los patrones de uso de energía de la instalación por medio de los perfiles de carga. Cuentan además con capacidad de medición bidireccional, por lo que es posible registrar la cantidad de energía exportada hacia la red.</w:t>
      </w:r>
    </w:p>
    <w:p w14:paraId="7FE0555D" w14:textId="77777777" w:rsidR="00496A09" w:rsidRPr="00D61480" w:rsidRDefault="00496A09" w:rsidP="00496A09">
      <w:pPr>
        <w:pStyle w:val="Prrafodelista"/>
        <w:spacing w:line="276" w:lineRule="auto"/>
        <w:rPr>
          <w:rFonts w:ascii="Arial" w:hAnsi="Arial"/>
          <w:sz w:val="20"/>
          <w:szCs w:val="20"/>
        </w:rPr>
      </w:pPr>
    </w:p>
    <w:p w14:paraId="61374FAA" w14:textId="77777777" w:rsidR="00496A09" w:rsidRPr="00D61480" w:rsidRDefault="00496A09" w:rsidP="004E0B95">
      <w:pPr>
        <w:pStyle w:val="Prrafodelista"/>
        <w:numPr>
          <w:ilvl w:val="0"/>
          <w:numId w:val="38"/>
        </w:numPr>
        <w:spacing w:line="276" w:lineRule="auto"/>
        <w:rPr>
          <w:rFonts w:ascii="Arial" w:hAnsi="Arial"/>
          <w:sz w:val="20"/>
          <w:szCs w:val="20"/>
        </w:rPr>
      </w:pPr>
      <w:r w:rsidRPr="00D61480">
        <w:rPr>
          <w:rFonts w:ascii="Arial" w:hAnsi="Arial"/>
          <w:sz w:val="20"/>
          <w:szCs w:val="20"/>
        </w:rPr>
        <w:t>Infraestructura Medición Avanzada (AMI): corresponde a la infraestructura de medición que permite el intercambio de información bidireccional entre el medidor de energía y la empresa prestadora del servicio.</w:t>
      </w:r>
    </w:p>
    <w:p w14:paraId="6FB18FFE" w14:textId="5C37BC15" w:rsidR="00496A09" w:rsidRPr="00D61480" w:rsidRDefault="00496A09" w:rsidP="00496A09">
      <w:pPr>
        <w:spacing w:line="276" w:lineRule="auto"/>
        <w:rPr>
          <w:rFonts w:ascii="Arial" w:hAnsi="Arial"/>
          <w:sz w:val="20"/>
          <w:szCs w:val="20"/>
        </w:rPr>
      </w:pPr>
      <w:r w:rsidRPr="00D61480">
        <w:rPr>
          <w:rFonts w:ascii="Arial" w:hAnsi="Arial"/>
          <w:sz w:val="20"/>
          <w:szCs w:val="20"/>
        </w:rPr>
        <w:t xml:space="preserve">  </w:t>
      </w:r>
    </w:p>
    <w:p w14:paraId="09EE06ED" w14:textId="09AC53BA" w:rsidR="00496A09" w:rsidRPr="00D61480" w:rsidRDefault="00496A09" w:rsidP="004E0B95">
      <w:pPr>
        <w:pStyle w:val="Prrafodelista"/>
        <w:numPr>
          <w:ilvl w:val="0"/>
          <w:numId w:val="38"/>
        </w:numPr>
        <w:spacing w:line="276" w:lineRule="auto"/>
        <w:rPr>
          <w:rFonts w:ascii="Arial" w:hAnsi="Arial"/>
          <w:sz w:val="20"/>
          <w:szCs w:val="20"/>
        </w:rPr>
      </w:pPr>
      <w:r w:rsidRPr="00D61480">
        <w:rPr>
          <w:rFonts w:ascii="Arial" w:hAnsi="Arial"/>
          <w:sz w:val="20"/>
          <w:szCs w:val="20"/>
        </w:rPr>
        <w:t xml:space="preserve">Sistemas de gestión de energía: además del control y gestión energética, los EMS permite monitorear, analizar y controlar el estado de los sistemas y equipos de la </w:t>
      </w:r>
      <w:r w:rsidRPr="00D61480">
        <w:rPr>
          <w:rFonts w:ascii="Arial" w:hAnsi="Arial"/>
          <w:sz w:val="20"/>
          <w:szCs w:val="20"/>
        </w:rPr>
        <w:lastRenderedPageBreak/>
        <w:t xml:space="preserve">instalación. Esto gracias a la red de sensores y sistemas de </w:t>
      </w:r>
      <w:proofErr w:type="spellStart"/>
      <w:r w:rsidRPr="00D61480">
        <w:rPr>
          <w:rFonts w:ascii="Arial" w:hAnsi="Arial"/>
          <w:sz w:val="20"/>
          <w:szCs w:val="20"/>
        </w:rPr>
        <w:t>sub-medición</w:t>
      </w:r>
      <w:proofErr w:type="spellEnd"/>
      <w:r w:rsidRPr="00D61480">
        <w:rPr>
          <w:rFonts w:ascii="Arial" w:hAnsi="Arial"/>
          <w:sz w:val="20"/>
          <w:szCs w:val="20"/>
        </w:rPr>
        <w:t xml:space="preserve"> que se le integren. </w:t>
      </w:r>
    </w:p>
    <w:p w14:paraId="3314CB6E" w14:textId="77777777" w:rsidR="00496A09" w:rsidRPr="00D61480" w:rsidRDefault="00496A09" w:rsidP="00496A09">
      <w:pPr>
        <w:spacing w:line="276" w:lineRule="auto"/>
        <w:rPr>
          <w:rFonts w:ascii="Arial" w:hAnsi="Arial"/>
          <w:sz w:val="20"/>
          <w:szCs w:val="20"/>
        </w:rPr>
      </w:pPr>
    </w:p>
    <w:p w14:paraId="0B8C6B1F" w14:textId="77777777" w:rsidR="00496A09" w:rsidRPr="00D61480" w:rsidRDefault="00496A09" w:rsidP="004E0B95">
      <w:pPr>
        <w:pStyle w:val="Prrafodelista"/>
        <w:numPr>
          <w:ilvl w:val="0"/>
          <w:numId w:val="38"/>
        </w:numPr>
        <w:spacing w:line="276" w:lineRule="auto"/>
        <w:rPr>
          <w:rFonts w:ascii="Arial" w:hAnsi="Arial"/>
          <w:sz w:val="20"/>
          <w:szCs w:val="20"/>
        </w:rPr>
      </w:pPr>
      <w:r w:rsidRPr="00D61480">
        <w:rPr>
          <w:rFonts w:ascii="Arial" w:hAnsi="Arial"/>
          <w:sz w:val="20"/>
          <w:szCs w:val="20"/>
        </w:rPr>
        <w:t xml:space="preserve">Sistemas de información energética: los sistemas de información energética (EIS) pueden funcionar como la puerta de enlace para la comunicación bidireccional entre la empresa de servicios y un EMS existente en la instalación. </w:t>
      </w:r>
    </w:p>
    <w:p w14:paraId="24F64082" w14:textId="77777777" w:rsidR="00496A09" w:rsidRPr="00D61480" w:rsidRDefault="00496A09" w:rsidP="00496A09">
      <w:pPr>
        <w:rPr>
          <w:rFonts w:ascii="Arial" w:hAnsi="Arial"/>
          <w:sz w:val="20"/>
          <w:szCs w:val="20"/>
        </w:rPr>
      </w:pPr>
    </w:p>
    <w:p w14:paraId="16157034" w14:textId="12F7B46E" w:rsidR="00496A09" w:rsidRPr="00D61480" w:rsidRDefault="00496A09" w:rsidP="00496A09">
      <w:pPr>
        <w:keepNext/>
        <w:ind w:left="708"/>
        <w:jc w:val="center"/>
        <w:rPr>
          <w:rFonts w:asciiTheme="minorHAnsi" w:hAnsiTheme="minorHAnsi" w:cstheme="minorBidi"/>
          <w:sz w:val="22"/>
          <w:szCs w:val="22"/>
        </w:rPr>
      </w:pPr>
      <w:r w:rsidRPr="00D61480">
        <w:rPr>
          <w:rFonts w:ascii="Arial" w:hAnsi="Arial"/>
          <w:noProof/>
          <w:color w:val="0070C0"/>
          <w:lang w:val="en-US"/>
        </w:rPr>
        <w:drawing>
          <wp:inline distT="0" distB="0" distL="0" distR="0" wp14:anchorId="4EAACF6B" wp14:editId="2CF6CBDD">
            <wp:extent cx="3571875" cy="24384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71875" cy="2438400"/>
                    </a:xfrm>
                    <a:prstGeom prst="rect">
                      <a:avLst/>
                    </a:prstGeom>
                    <a:noFill/>
                    <a:ln>
                      <a:noFill/>
                    </a:ln>
                  </pic:spPr>
                </pic:pic>
              </a:graphicData>
            </a:graphic>
          </wp:inline>
        </w:drawing>
      </w:r>
    </w:p>
    <w:p w14:paraId="4F7E3E7A" w14:textId="3C702919" w:rsidR="00496A09" w:rsidRPr="00D61480" w:rsidRDefault="00496A09" w:rsidP="00496A09">
      <w:pPr>
        <w:pStyle w:val="Descripcin"/>
        <w:jc w:val="center"/>
        <w:rPr>
          <w:rFonts w:ascii="Arial" w:hAnsi="Arial" w:cs="Arial"/>
          <w:b w:val="0"/>
          <w:color w:val="auto"/>
          <w:sz w:val="16"/>
          <w:szCs w:val="16"/>
        </w:rPr>
      </w:pPr>
      <w:bookmarkStart w:id="13" w:name="_Ref26944406"/>
      <w:bookmarkStart w:id="14" w:name="_Toc26968368"/>
      <w:r w:rsidRPr="00D61480">
        <w:rPr>
          <w:rFonts w:ascii="Arial" w:hAnsi="Arial" w:cs="Arial"/>
          <w:b w:val="0"/>
          <w:color w:val="auto"/>
          <w:sz w:val="16"/>
          <w:szCs w:val="16"/>
        </w:rPr>
        <w:t>Figura 1</w:t>
      </w:r>
      <w:bookmarkEnd w:id="13"/>
      <w:r w:rsidR="00A25321" w:rsidRPr="00D61480">
        <w:rPr>
          <w:rFonts w:ascii="Arial" w:hAnsi="Arial" w:cs="Arial"/>
          <w:b w:val="0"/>
          <w:color w:val="auto"/>
          <w:sz w:val="16"/>
          <w:szCs w:val="16"/>
        </w:rPr>
        <w:t>2</w:t>
      </w:r>
      <w:r w:rsidRPr="00D61480">
        <w:rPr>
          <w:rFonts w:ascii="Arial" w:hAnsi="Arial" w:cs="Arial"/>
          <w:b w:val="0"/>
          <w:color w:val="auto"/>
          <w:sz w:val="16"/>
          <w:szCs w:val="16"/>
        </w:rPr>
        <w:t xml:space="preserve">. Ejemplo de arquitectura para ADR. Tomada de </w:t>
      </w:r>
      <w:r w:rsidRPr="00D61480">
        <w:fldChar w:fldCharType="begin" w:fldLock="1"/>
      </w:r>
      <w:r w:rsidRPr="00D61480">
        <w:rPr>
          <w:rFonts w:ascii="Arial" w:hAnsi="Arial" w:cs="Arial"/>
          <w:b w:val="0"/>
          <w:color w:val="auto"/>
          <w:sz w:val="16"/>
          <w:szCs w:val="16"/>
        </w:rPr>
        <w:instrText>ADDIN CSL_CITATION {"citationItems":[{"id":"ITEM-1","itemData":{"ISBN":"9781447163015","author":[{"dropping-particle":"","family":"Budka","given":"Kenneth C.","non-dropping-particle":"","parse-names":false,"suffix":""},{"dropping-particle":"","family":"Deshpande","given":"Jayant G.","non-dropping-particle":"","parse-names":false,"suffix":""},{"dropping-particle":"","family":"Thottan","given":"Marina","non-dropping-particle":"","parse-names":false,"suffix":""}],"id":"ITEM-1","issued":{"date-parts":[["2016"]]},"number-of-pages":"1-360","publisher":"Springer London Limited","title":"Communication Networks for Smart Grids","type":"book"},"uris":["http://www.mendeley.com/documents/?uuid=7ef64f05-236b-4a87-ad8e-ecdeaf17918a"]}],"mendeley":{"formattedCitation":"(Budka et al., 2016)","plainTextFormattedCitation":"(Budka et al., 2016)","previouslyFormattedCitation":"(Budka et al., 2016)"},"properties":{"noteIndex":0},"schema":"https://github.com/citation-style-language/schema/raw/master/csl-citation.json"}</w:instrText>
      </w:r>
      <w:r w:rsidRPr="00D61480">
        <w:fldChar w:fldCharType="separate"/>
      </w:r>
      <w:r w:rsidRPr="00D61480">
        <w:rPr>
          <w:rFonts w:ascii="Arial" w:hAnsi="Arial" w:cs="Arial"/>
          <w:b w:val="0"/>
          <w:color w:val="auto"/>
          <w:sz w:val="16"/>
          <w:szCs w:val="16"/>
        </w:rPr>
        <w:t>(Budka et al., 2016)</w:t>
      </w:r>
      <w:r w:rsidRPr="00D61480">
        <w:fldChar w:fldCharType="end"/>
      </w:r>
      <w:r w:rsidRPr="00D61480">
        <w:rPr>
          <w:rFonts w:ascii="Arial" w:hAnsi="Arial" w:cs="Arial"/>
          <w:b w:val="0"/>
          <w:color w:val="auto"/>
          <w:sz w:val="16"/>
          <w:szCs w:val="16"/>
        </w:rPr>
        <w:t>.</w:t>
      </w:r>
      <w:bookmarkEnd w:id="14"/>
    </w:p>
    <w:p w14:paraId="392FA204" w14:textId="77777777" w:rsidR="00496A09" w:rsidRPr="00D61480" w:rsidRDefault="00496A09" w:rsidP="00A25321">
      <w:pPr>
        <w:pStyle w:val="Prrafodelista"/>
        <w:ind w:left="360"/>
        <w:rPr>
          <w:rFonts w:ascii="Arial" w:hAnsi="Arial"/>
          <w:sz w:val="20"/>
          <w:szCs w:val="20"/>
        </w:rPr>
      </w:pPr>
      <w:r w:rsidRPr="00D61480">
        <w:rPr>
          <w:rFonts w:ascii="Arial" w:hAnsi="Arial"/>
          <w:sz w:val="20"/>
          <w:szCs w:val="20"/>
        </w:rPr>
        <w:t xml:space="preserve">Dentro de los estándares asociados a la interacción entre el prestador del servicio y los clientes tipo prosumidor (autogeneración a pequeña escala), se destacan, gracias a sus características de interoperabilidad y ciberseguridad, los protocolos definidos por </w:t>
      </w:r>
      <w:proofErr w:type="spellStart"/>
      <w:r w:rsidRPr="00D61480">
        <w:rPr>
          <w:rFonts w:ascii="Arial" w:hAnsi="Arial"/>
          <w:sz w:val="20"/>
          <w:szCs w:val="20"/>
        </w:rPr>
        <w:t>OpenADR</w:t>
      </w:r>
      <w:proofErr w:type="spellEnd"/>
      <w:r w:rsidRPr="00D61480">
        <w:rPr>
          <w:rFonts w:ascii="Arial" w:hAnsi="Arial"/>
          <w:sz w:val="20"/>
          <w:szCs w:val="20"/>
        </w:rPr>
        <w:t xml:space="preserve"> y DLMS/COSEM. </w:t>
      </w:r>
    </w:p>
    <w:p w14:paraId="1F00889B" w14:textId="77777777" w:rsidR="00A25321" w:rsidRPr="00D61480" w:rsidRDefault="00A25321" w:rsidP="00A25321">
      <w:pPr>
        <w:pStyle w:val="Prrafodelista"/>
        <w:ind w:left="360"/>
        <w:rPr>
          <w:rFonts w:ascii="Arial" w:hAnsi="Arial"/>
          <w:sz w:val="20"/>
          <w:szCs w:val="20"/>
        </w:rPr>
      </w:pPr>
    </w:p>
    <w:p w14:paraId="7367492B" w14:textId="71383CF8" w:rsidR="00496A09" w:rsidRPr="00D61480" w:rsidRDefault="00496A09" w:rsidP="00A25321">
      <w:pPr>
        <w:pStyle w:val="Prrafodelista"/>
        <w:ind w:left="360"/>
        <w:rPr>
          <w:rFonts w:ascii="Arial" w:hAnsi="Arial"/>
          <w:sz w:val="20"/>
          <w:szCs w:val="20"/>
        </w:rPr>
      </w:pPr>
      <w:r w:rsidRPr="00D61480">
        <w:rPr>
          <w:rFonts w:ascii="Arial" w:hAnsi="Arial"/>
          <w:sz w:val="20"/>
          <w:szCs w:val="20"/>
        </w:rPr>
        <w:t xml:space="preserve">Estándar </w:t>
      </w:r>
      <w:proofErr w:type="spellStart"/>
      <w:r w:rsidRPr="00D61480">
        <w:rPr>
          <w:rFonts w:ascii="Arial" w:hAnsi="Arial"/>
          <w:sz w:val="20"/>
          <w:szCs w:val="20"/>
        </w:rPr>
        <w:t>OpenADR</w:t>
      </w:r>
      <w:proofErr w:type="spellEnd"/>
      <w:r w:rsidRPr="00D61480">
        <w:rPr>
          <w:rFonts w:ascii="Arial" w:hAnsi="Arial"/>
          <w:sz w:val="20"/>
          <w:szCs w:val="20"/>
        </w:rPr>
        <w:t xml:space="preserve"> (Colombia Inteligente, </w:t>
      </w:r>
      <w:r w:rsidR="00A25321" w:rsidRPr="00D61480">
        <w:rPr>
          <w:rFonts w:ascii="Arial" w:hAnsi="Arial"/>
          <w:sz w:val="20"/>
          <w:szCs w:val="20"/>
        </w:rPr>
        <w:t>n</w:t>
      </w:r>
      <w:r w:rsidRPr="00D61480">
        <w:rPr>
          <w:rFonts w:ascii="Arial" w:hAnsi="Arial"/>
          <w:sz w:val="20"/>
          <w:szCs w:val="20"/>
        </w:rPr>
        <w:t xml:space="preserve">oviembre 2019): </w:t>
      </w:r>
      <w:proofErr w:type="spellStart"/>
      <w:r w:rsidRPr="00D61480">
        <w:rPr>
          <w:rFonts w:ascii="Arial" w:hAnsi="Arial"/>
          <w:sz w:val="20"/>
          <w:szCs w:val="20"/>
        </w:rPr>
        <w:t>OpenADR</w:t>
      </w:r>
      <w:proofErr w:type="spellEnd"/>
      <w:r w:rsidRPr="00D61480">
        <w:rPr>
          <w:rFonts w:ascii="Arial" w:hAnsi="Arial"/>
          <w:sz w:val="20"/>
          <w:szCs w:val="20"/>
        </w:rPr>
        <w:t xml:space="preserve"> es un estándar abierto y reconocido por IEC en la norma IEC 62746-10.1, que define un modelo de intercambio de información interoperable, para que proveedores y consumidores del sistema eléctrico intercambien señales RD, utilizando un lenguaje común transportado a través de redes TCP/IP. Entre las principales características del estándar se destaca:</w:t>
      </w:r>
    </w:p>
    <w:p w14:paraId="1587F0FB" w14:textId="77777777" w:rsidR="00A25321" w:rsidRPr="00D61480" w:rsidRDefault="00A25321" w:rsidP="00A25321">
      <w:pPr>
        <w:pStyle w:val="Prrafodelista"/>
        <w:ind w:left="360"/>
        <w:rPr>
          <w:rFonts w:ascii="Arial" w:hAnsi="Arial"/>
          <w:sz w:val="20"/>
          <w:szCs w:val="20"/>
        </w:rPr>
      </w:pPr>
    </w:p>
    <w:p w14:paraId="5C6EEF08" w14:textId="77777777" w:rsidR="00496A09" w:rsidRPr="00D61480" w:rsidRDefault="00496A09" w:rsidP="004E0B95">
      <w:pPr>
        <w:pStyle w:val="Prrafodelista"/>
        <w:numPr>
          <w:ilvl w:val="0"/>
          <w:numId w:val="39"/>
        </w:numPr>
        <w:spacing w:after="160" w:line="256" w:lineRule="auto"/>
        <w:rPr>
          <w:rFonts w:ascii="Arial" w:hAnsi="Arial"/>
          <w:sz w:val="20"/>
          <w:szCs w:val="20"/>
        </w:rPr>
      </w:pPr>
      <w:r w:rsidRPr="00D61480">
        <w:rPr>
          <w:rFonts w:ascii="Arial" w:hAnsi="Arial"/>
          <w:sz w:val="20"/>
          <w:szCs w:val="20"/>
        </w:rPr>
        <w:t xml:space="preserve">Proporciona una infraestructura de comunicación bidireccional continua, segura y confiable para el intercambio de señales RD. </w:t>
      </w:r>
    </w:p>
    <w:p w14:paraId="599B8401" w14:textId="77777777" w:rsidR="00A25321" w:rsidRPr="00D61480" w:rsidRDefault="00A25321" w:rsidP="00A25321">
      <w:pPr>
        <w:pStyle w:val="Prrafodelista"/>
        <w:spacing w:after="160" w:line="256" w:lineRule="auto"/>
        <w:rPr>
          <w:rFonts w:ascii="Arial" w:hAnsi="Arial"/>
          <w:sz w:val="20"/>
          <w:szCs w:val="20"/>
        </w:rPr>
      </w:pPr>
    </w:p>
    <w:p w14:paraId="26D4DBDA" w14:textId="166C7399" w:rsidR="00496A09" w:rsidRPr="00D61480" w:rsidRDefault="00496A09" w:rsidP="004E0B95">
      <w:pPr>
        <w:pStyle w:val="Prrafodelista"/>
        <w:numPr>
          <w:ilvl w:val="0"/>
          <w:numId w:val="39"/>
        </w:numPr>
        <w:spacing w:after="160" w:line="256" w:lineRule="auto"/>
        <w:rPr>
          <w:rFonts w:ascii="Arial" w:hAnsi="Arial"/>
          <w:sz w:val="20"/>
          <w:szCs w:val="20"/>
        </w:rPr>
      </w:pPr>
      <w:r w:rsidRPr="00D61480">
        <w:rPr>
          <w:rFonts w:ascii="Arial" w:hAnsi="Arial"/>
          <w:sz w:val="20"/>
          <w:szCs w:val="20"/>
        </w:rPr>
        <w:t xml:space="preserve">Transforma las señales RD en señales de Internet para facilitar la ADR. Las señales han sido diseñadas para </w:t>
      </w:r>
      <w:proofErr w:type="spellStart"/>
      <w:r w:rsidRPr="00D61480">
        <w:rPr>
          <w:rFonts w:ascii="Arial" w:hAnsi="Arial"/>
          <w:sz w:val="20"/>
          <w:szCs w:val="20"/>
        </w:rPr>
        <w:t>inter-operar</w:t>
      </w:r>
      <w:proofErr w:type="spellEnd"/>
      <w:r w:rsidRPr="00D61480">
        <w:rPr>
          <w:rFonts w:ascii="Arial" w:hAnsi="Arial"/>
          <w:sz w:val="20"/>
          <w:szCs w:val="20"/>
        </w:rPr>
        <w:t xml:space="preserve"> con los sistemas de control y gestión de energía, iluminación y otros controles automáticos de dispositivos. </w:t>
      </w:r>
    </w:p>
    <w:p w14:paraId="07759CDF" w14:textId="77777777" w:rsidR="00A25321" w:rsidRPr="00D61480" w:rsidRDefault="00A25321" w:rsidP="00A25321">
      <w:pPr>
        <w:pStyle w:val="Prrafodelista"/>
        <w:spacing w:after="160" w:line="256" w:lineRule="auto"/>
        <w:rPr>
          <w:rFonts w:ascii="Arial" w:hAnsi="Arial"/>
          <w:sz w:val="20"/>
          <w:szCs w:val="20"/>
        </w:rPr>
      </w:pPr>
    </w:p>
    <w:p w14:paraId="4F02FAC8" w14:textId="3E2408E2" w:rsidR="00496A09" w:rsidRPr="00D61480" w:rsidRDefault="00496A09" w:rsidP="004E0B95">
      <w:pPr>
        <w:pStyle w:val="Prrafodelista"/>
        <w:numPr>
          <w:ilvl w:val="0"/>
          <w:numId w:val="39"/>
        </w:numPr>
        <w:spacing w:after="160" w:line="256" w:lineRule="auto"/>
        <w:rPr>
          <w:rFonts w:ascii="Arial" w:hAnsi="Arial"/>
          <w:sz w:val="20"/>
          <w:szCs w:val="20"/>
        </w:rPr>
      </w:pPr>
      <w:r w:rsidRPr="00D61480">
        <w:rPr>
          <w:rFonts w:ascii="Arial" w:hAnsi="Arial"/>
          <w:sz w:val="20"/>
          <w:szCs w:val="20"/>
        </w:rPr>
        <w:t>Proporciona al cliente opciones de exclusión o anulación de participación en eventos RD (</w:t>
      </w:r>
      <w:proofErr w:type="spellStart"/>
      <w:r w:rsidRPr="00D61480">
        <w:rPr>
          <w:rFonts w:ascii="Arial" w:hAnsi="Arial"/>
          <w:sz w:val="20"/>
          <w:szCs w:val="20"/>
        </w:rPr>
        <w:t>Opt-out</w:t>
      </w:r>
      <w:proofErr w:type="spellEnd"/>
      <w:r w:rsidRPr="00D61480">
        <w:rPr>
          <w:rFonts w:ascii="Arial" w:hAnsi="Arial"/>
          <w:sz w:val="20"/>
          <w:szCs w:val="20"/>
        </w:rPr>
        <w:t>).</w:t>
      </w:r>
    </w:p>
    <w:p w14:paraId="68CC1894" w14:textId="77777777" w:rsidR="00A25321" w:rsidRPr="00D61480" w:rsidRDefault="00A25321" w:rsidP="00A25321">
      <w:pPr>
        <w:pStyle w:val="Prrafodelista"/>
        <w:spacing w:after="160" w:line="256" w:lineRule="auto"/>
        <w:rPr>
          <w:rFonts w:ascii="Arial" w:hAnsi="Arial"/>
          <w:sz w:val="20"/>
          <w:szCs w:val="20"/>
        </w:rPr>
      </w:pPr>
    </w:p>
    <w:p w14:paraId="405BBA86" w14:textId="460FD786" w:rsidR="00496A09" w:rsidRPr="00D61480" w:rsidRDefault="00496A09" w:rsidP="004E0B95">
      <w:pPr>
        <w:pStyle w:val="Prrafodelista"/>
        <w:numPr>
          <w:ilvl w:val="0"/>
          <w:numId w:val="39"/>
        </w:numPr>
        <w:spacing w:after="160" w:line="256" w:lineRule="auto"/>
        <w:rPr>
          <w:rFonts w:ascii="Arial" w:hAnsi="Arial"/>
          <w:sz w:val="20"/>
          <w:szCs w:val="20"/>
        </w:rPr>
      </w:pPr>
      <w:r w:rsidRPr="00D61480">
        <w:rPr>
          <w:rFonts w:ascii="Arial" w:hAnsi="Arial"/>
          <w:sz w:val="20"/>
          <w:szCs w:val="20"/>
        </w:rPr>
        <w:t xml:space="preserve">Definido a través de un modelo de datos completo y una arquitectura para comunicar señales de precio, confiabilidad y otros tipos de señales RD. </w:t>
      </w:r>
    </w:p>
    <w:p w14:paraId="09935B54" w14:textId="77777777" w:rsidR="00A25321" w:rsidRPr="00D61480" w:rsidRDefault="00A25321" w:rsidP="00A25321">
      <w:pPr>
        <w:pStyle w:val="Prrafodelista"/>
        <w:spacing w:after="160" w:line="256" w:lineRule="auto"/>
        <w:rPr>
          <w:rFonts w:ascii="Arial" w:hAnsi="Arial"/>
          <w:sz w:val="20"/>
          <w:szCs w:val="20"/>
        </w:rPr>
      </w:pPr>
    </w:p>
    <w:p w14:paraId="1A0F87CA" w14:textId="78D7CAFE" w:rsidR="00496A09" w:rsidRPr="00D61480" w:rsidRDefault="00496A09" w:rsidP="004E0B95">
      <w:pPr>
        <w:pStyle w:val="Prrafodelista"/>
        <w:numPr>
          <w:ilvl w:val="0"/>
          <w:numId w:val="39"/>
        </w:numPr>
        <w:spacing w:after="160" w:line="256" w:lineRule="auto"/>
        <w:rPr>
          <w:rFonts w:ascii="Arial" w:hAnsi="Arial"/>
          <w:sz w:val="20"/>
          <w:szCs w:val="20"/>
        </w:rPr>
      </w:pPr>
      <w:r w:rsidRPr="00D61480">
        <w:rPr>
          <w:rFonts w:ascii="Arial" w:hAnsi="Arial"/>
          <w:sz w:val="20"/>
          <w:szCs w:val="20"/>
        </w:rPr>
        <w:lastRenderedPageBreak/>
        <w:t>Maneja una arquitectura escalable.</w:t>
      </w:r>
    </w:p>
    <w:p w14:paraId="662B7030" w14:textId="77777777" w:rsidR="00A25321" w:rsidRPr="00D61480" w:rsidRDefault="00A25321" w:rsidP="00A25321">
      <w:pPr>
        <w:pStyle w:val="Prrafodelista"/>
        <w:spacing w:after="160" w:line="256" w:lineRule="auto"/>
        <w:rPr>
          <w:rFonts w:asciiTheme="minorHAnsi" w:hAnsiTheme="minorHAnsi" w:cstheme="minorBidi"/>
          <w:sz w:val="22"/>
          <w:szCs w:val="22"/>
        </w:rPr>
      </w:pPr>
    </w:p>
    <w:p w14:paraId="60D91371" w14:textId="75234C1A" w:rsidR="00496A09" w:rsidRPr="00D61480" w:rsidRDefault="00496A09" w:rsidP="004E0B95">
      <w:pPr>
        <w:pStyle w:val="Prrafodelista"/>
        <w:numPr>
          <w:ilvl w:val="0"/>
          <w:numId w:val="39"/>
        </w:numPr>
        <w:spacing w:after="160" w:line="256" w:lineRule="auto"/>
        <w:rPr>
          <w:rFonts w:asciiTheme="minorHAnsi" w:hAnsiTheme="minorHAnsi" w:cstheme="minorBidi"/>
          <w:sz w:val="22"/>
          <w:szCs w:val="22"/>
        </w:rPr>
      </w:pPr>
      <w:r w:rsidRPr="00D61480">
        <w:rPr>
          <w:rFonts w:ascii="Arial" w:hAnsi="Arial"/>
          <w:sz w:val="20"/>
          <w:szCs w:val="20"/>
        </w:rPr>
        <w:t xml:space="preserve">Opera con un modelo de comunicación basado en tecnologías soportadas por estándares abiertos como IP y </w:t>
      </w:r>
      <w:proofErr w:type="spellStart"/>
      <w:r w:rsidRPr="00D61480">
        <w:rPr>
          <w:rFonts w:ascii="Arial" w:hAnsi="Arial"/>
          <w:i/>
          <w:iCs/>
          <w:sz w:val="20"/>
          <w:szCs w:val="20"/>
        </w:rPr>
        <w:t>WebServices</w:t>
      </w:r>
      <w:proofErr w:type="spellEnd"/>
      <w:r w:rsidRPr="00D61480">
        <w:rPr>
          <w:rFonts w:ascii="Arial" w:hAnsi="Arial"/>
          <w:sz w:val="20"/>
          <w:szCs w:val="20"/>
        </w:rPr>
        <w:t>.</w:t>
      </w:r>
    </w:p>
    <w:p w14:paraId="02CBC5B3" w14:textId="1CFDB62B" w:rsidR="00496A09" w:rsidRPr="00D61480" w:rsidRDefault="00496A09" w:rsidP="00496A09">
      <w:pPr>
        <w:keepNext/>
        <w:jc w:val="center"/>
        <w:rPr>
          <w:rFonts w:ascii="Arial" w:hAnsi="Arial"/>
          <w:sz w:val="20"/>
          <w:szCs w:val="20"/>
        </w:rPr>
      </w:pPr>
      <w:r w:rsidRPr="00D61480">
        <w:rPr>
          <w:rFonts w:ascii="Arial" w:hAnsi="Arial"/>
          <w:noProof/>
          <w:sz w:val="20"/>
          <w:szCs w:val="20"/>
          <w:lang w:val="en-US"/>
        </w:rPr>
        <w:drawing>
          <wp:inline distT="0" distB="0" distL="0" distR="0" wp14:anchorId="09E4115E" wp14:editId="46649D92">
            <wp:extent cx="2305050" cy="20193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6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5050" cy="2019300"/>
                    </a:xfrm>
                    <a:prstGeom prst="rect">
                      <a:avLst/>
                    </a:prstGeom>
                    <a:noFill/>
                    <a:ln>
                      <a:noFill/>
                    </a:ln>
                  </pic:spPr>
                </pic:pic>
              </a:graphicData>
            </a:graphic>
          </wp:inline>
        </w:drawing>
      </w:r>
    </w:p>
    <w:p w14:paraId="5E6C09DD" w14:textId="477E456D" w:rsidR="00496A09" w:rsidRPr="00D61480" w:rsidRDefault="00496A09" w:rsidP="00496A09">
      <w:pPr>
        <w:pStyle w:val="Descripcin"/>
        <w:jc w:val="center"/>
        <w:rPr>
          <w:rFonts w:ascii="Arial" w:hAnsi="Arial" w:cs="Arial"/>
          <w:b w:val="0"/>
          <w:i/>
          <w:color w:val="auto"/>
          <w:sz w:val="16"/>
          <w:szCs w:val="16"/>
        </w:rPr>
      </w:pPr>
      <w:bookmarkStart w:id="15" w:name="_Ref26943103"/>
      <w:r w:rsidRPr="00D61480">
        <w:rPr>
          <w:rFonts w:ascii="Arial" w:hAnsi="Arial" w:cs="Arial"/>
          <w:b w:val="0"/>
          <w:color w:val="auto"/>
          <w:sz w:val="16"/>
          <w:szCs w:val="16"/>
        </w:rPr>
        <w:t xml:space="preserve">Figura </w:t>
      </w:r>
      <w:bookmarkEnd w:id="15"/>
      <w:r w:rsidRPr="00D61480">
        <w:rPr>
          <w:rFonts w:ascii="Arial" w:hAnsi="Arial" w:cs="Arial"/>
          <w:b w:val="0"/>
          <w:color w:val="auto"/>
          <w:sz w:val="16"/>
          <w:szCs w:val="16"/>
        </w:rPr>
        <w:t>1</w:t>
      </w:r>
      <w:r w:rsidR="00A25321" w:rsidRPr="00D61480">
        <w:rPr>
          <w:rFonts w:ascii="Arial" w:hAnsi="Arial" w:cs="Arial"/>
          <w:b w:val="0"/>
          <w:color w:val="auto"/>
          <w:sz w:val="16"/>
          <w:szCs w:val="16"/>
        </w:rPr>
        <w:t>3</w:t>
      </w:r>
      <w:r w:rsidRPr="00D61480">
        <w:rPr>
          <w:rFonts w:ascii="Arial" w:hAnsi="Arial" w:cs="Arial"/>
          <w:b w:val="0"/>
          <w:color w:val="auto"/>
          <w:sz w:val="16"/>
          <w:szCs w:val="16"/>
        </w:rPr>
        <w:t>. Topología OpenADR.</w:t>
      </w:r>
    </w:p>
    <w:p w14:paraId="7331CB6F" w14:textId="77777777" w:rsidR="00A25321" w:rsidRPr="00D61480" w:rsidRDefault="00496A09" w:rsidP="00A25321">
      <w:pPr>
        <w:pStyle w:val="Prrafodelista"/>
        <w:ind w:left="360"/>
        <w:rPr>
          <w:rFonts w:ascii="Arial" w:hAnsi="Arial"/>
          <w:sz w:val="20"/>
          <w:szCs w:val="20"/>
        </w:rPr>
      </w:pPr>
      <w:r w:rsidRPr="00D61480">
        <w:rPr>
          <w:rFonts w:ascii="Arial" w:hAnsi="Arial"/>
          <w:sz w:val="20"/>
          <w:szCs w:val="20"/>
        </w:rPr>
        <w:t xml:space="preserve">Define un modelo de comunicación jerárquico basado en la interacción entre dos tipos de elementos: un Virtual Top </w:t>
      </w:r>
      <w:proofErr w:type="spellStart"/>
      <w:r w:rsidRPr="00D61480">
        <w:rPr>
          <w:rFonts w:ascii="Arial" w:hAnsi="Arial"/>
          <w:sz w:val="20"/>
          <w:szCs w:val="20"/>
        </w:rPr>
        <w:t>Node</w:t>
      </w:r>
      <w:proofErr w:type="spellEnd"/>
      <w:r w:rsidRPr="00D61480">
        <w:rPr>
          <w:rFonts w:ascii="Arial" w:hAnsi="Arial"/>
          <w:sz w:val="20"/>
          <w:szCs w:val="20"/>
        </w:rPr>
        <w:t xml:space="preserve"> (VTN) y uno o varios Virtual </w:t>
      </w:r>
      <w:proofErr w:type="spellStart"/>
      <w:r w:rsidRPr="00D61480">
        <w:rPr>
          <w:rFonts w:ascii="Arial" w:hAnsi="Arial"/>
          <w:sz w:val="20"/>
          <w:szCs w:val="20"/>
        </w:rPr>
        <w:t>End</w:t>
      </w:r>
      <w:proofErr w:type="spellEnd"/>
      <w:r w:rsidRPr="00D61480">
        <w:rPr>
          <w:rFonts w:ascii="Arial" w:hAnsi="Arial"/>
          <w:sz w:val="20"/>
          <w:szCs w:val="20"/>
        </w:rPr>
        <w:t xml:space="preserve"> </w:t>
      </w:r>
      <w:proofErr w:type="spellStart"/>
      <w:r w:rsidRPr="00D61480">
        <w:rPr>
          <w:rFonts w:ascii="Arial" w:hAnsi="Arial"/>
          <w:sz w:val="20"/>
          <w:szCs w:val="20"/>
        </w:rPr>
        <w:t>Nodes</w:t>
      </w:r>
      <w:proofErr w:type="spellEnd"/>
      <w:r w:rsidRPr="00D61480">
        <w:rPr>
          <w:rFonts w:ascii="Arial" w:hAnsi="Arial"/>
          <w:sz w:val="20"/>
          <w:szCs w:val="20"/>
        </w:rPr>
        <w:t xml:space="preserve"> (VEN). Un VTN es una entidad operada por un proveedor de servicios </w:t>
      </w:r>
      <w:r w:rsidR="00A25321" w:rsidRPr="00D61480">
        <w:rPr>
          <w:rFonts w:ascii="Arial" w:hAnsi="Arial"/>
          <w:sz w:val="20"/>
          <w:szCs w:val="20"/>
        </w:rPr>
        <w:t>RD,</w:t>
      </w:r>
      <w:r w:rsidRPr="00D61480">
        <w:rPr>
          <w:rFonts w:ascii="Arial" w:hAnsi="Arial"/>
          <w:sz w:val="20"/>
          <w:szCs w:val="20"/>
        </w:rPr>
        <w:t xml:space="preserve"> por ejemplo, tales como empresas de servicios públicos, agregadores o facilitadores, para el envío de señales RD a los VEN. Un VEN típicamente es un Gateway o módulo Software que recibe las señales de DR y las transforma en señales de control, utilizando un algoritmo o lógica RD, con las que modifica el estado de los recursos (autogeneración, almacenamiento o gestión de cargas). </w:t>
      </w:r>
    </w:p>
    <w:p w14:paraId="03A3787C" w14:textId="77777777" w:rsidR="00A25321" w:rsidRPr="00D61480" w:rsidRDefault="00A25321" w:rsidP="00A25321">
      <w:pPr>
        <w:pStyle w:val="Prrafodelista"/>
        <w:ind w:left="360"/>
        <w:rPr>
          <w:rFonts w:ascii="Arial" w:hAnsi="Arial"/>
          <w:sz w:val="20"/>
          <w:szCs w:val="20"/>
        </w:rPr>
      </w:pPr>
    </w:p>
    <w:p w14:paraId="3610CE9F" w14:textId="77777777" w:rsidR="00A25321" w:rsidRPr="00D61480" w:rsidRDefault="00496A09" w:rsidP="00A25321">
      <w:pPr>
        <w:pStyle w:val="Prrafodelista"/>
        <w:ind w:left="360"/>
        <w:rPr>
          <w:rFonts w:ascii="Arial" w:hAnsi="Arial"/>
          <w:sz w:val="20"/>
          <w:szCs w:val="20"/>
        </w:rPr>
      </w:pPr>
      <w:proofErr w:type="spellStart"/>
      <w:r w:rsidRPr="00D61480">
        <w:rPr>
          <w:rFonts w:ascii="Arial" w:hAnsi="Arial"/>
          <w:sz w:val="20"/>
          <w:szCs w:val="20"/>
        </w:rPr>
        <w:t>OpenADR</w:t>
      </w:r>
      <w:proofErr w:type="spellEnd"/>
      <w:r w:rsidRPr="00D61480">
        <w:rPr>
          <w:rFonts w:ascii="Arial" w:hAnsi="Arial"/>
          <w:sz w:val="20"/>
          <w:szCs w:val="20"/>
        </w:rPr>
        <w:t xml:space="preserve"> establece un modelo de comunicación de datos fundamentado en los protocolos HTTP y XMPP. Este modelo utiliza XML como estándar para definir la estructura de los mensajes, eventos, reportes, etc., que se intercambian entre nodos, sin depender de los protocolos de capas subyacentes ni las tecnologías utilizadas para transportarlos. </w:t>
      </w:r>
    </w:p>
    <w:p w14:paraId="7746F2C9" w14:textId="77777777" w:rsidR="00A25321" w:rsidRPr="00D61480" w:rsidRDefault="00A25321" w:rsidP="00A25321">
      <w:pPr>
        <w:pStyle w:val="Prrafodelista"/>
        <w:ind w:left="360"/>
        <w:rPr>
          <w:rFonts w:ascii="Arial" w:hAnsi="Arial"/>
          <w:sz w:val="20"/>
          <w:szCs w:val="20"/>
        </w:rPr>
      </w:pPr>
    </w:p>
    <w:p w14:paraId="3B8C1B64" w14:textId="77777777" w:rsidR="00A25321" w:rsidRPr="00D61480" w:rsidRDefault="00496A09" w:rsidP="00A25321">
      <w:pPr>
        <w:pStyle w:val="Prrafodelista"/>
        <w:ind w:left="360"/>
        <w:rPr>
          <w:rFonts w:ascii="Arial" w:hAnsi="Arial"/>
          <w:sz w:val="20"/>
          <w:szCs w:val="20"/>
        </w:rPr>
      </w:pPr>
      <w:proofErr w:type="spellStart"/>
      <w:r w:rsidRPr="00D61480">
        <w:t>OpenADR</w:t>
      </w:r>
      <w:proofErr w:type="spellEnd"/>
      <w:r w:rsidRPr="00D61480">
        <w:t xml:space="preserve"> se ha acogido a las recomendaciones de ciberseguridad que realiza el NIST y el grupo </w:t>
      </w:r>
      <w:proofErr w:type="spellStart"/>
      <w:r w:rsidRPr="00D61480">
        <w:rPr>
          <w:i/>
          <w:iCs/>
        </w:rPr>
        <w:t>UCAlug</w:t>
      </w:r>
      <w:proofErr w:type="spellEnd"/>
      <w:r w:rsidRPr="00D61480">
        <w:rPr>
          <w:i/>
          <w:iCs/>
        </w:rPr>
        <w:t xml:space="preserve"> </w:t>
      </w:r>
      <w:proofErr w:type="spellStart"/>
      <w:r w:rsidRPr="00D61480">
        <w:rPr>
          <w:i/>
          <w:iCs/>
        </w:rPr>
        <w:t>OpenADR</w:t>
      </w:r>
      <w:proofErr w:type="spellEnd"/>
      <w:r w:rsidRPr="00D61480">
        <w:rPr>
          <w:i/>
          <w:iCs/>
        </w:rPr>
        <w:t xml:space="preserve"> </w:t>
      </w:r>
      <w:proofErr w:type="spellStart"/>
      <w:r w:rsidRPr="00D61480">
        <w:rPr>
          <w:i/>
          <w:iCs/>
        </w:rPr>
        <w:t>TaskForce</w:t>
      </w:r>
      <w:proofErr w:type="spellEnd"/>
      <w:r w:rsidRPr="00D61480">
        <w:rPr>
          <w:rFonts w:ascii="Arial" w:hAnsi="Arial"/>
          <w:sz w:val="20"/>
          <w:szCs w:val="20"/>
        </w:rPr>
        <w:t>. Utiliza una capa de seguridad basada en el protocolo TLS para la autenticación de los nodos en Internet y establecimiento del enlace cifrado. El proceso de autenticación se efectúa mediante el uso de certificados de infraestructura de claves públicas (</w:t>
      </w:r>
      <w:proofErr w:type="spellStart"/>
      <w:r w:rsidRPr="00D61480">
        <w:rPr>
          <w:rFonts w:ascii="Arial" w:hAnsi="Arial"/>
          <w:i/>
          <w:iCs/>
          <w:sz w:val="20"/>
          <w:szCs w:val="20"/>
        </w:rPr>
        <w:t>Public</w:t>
      </w:r>
      <w:proofErr w:type="spellEnd"/>
      <w:r w:rsidRPr="00D61480">
        <w:rPr>
          <w:rFonts w:ascii="Arial" w:hAnsi="Arial"/>
          <w:i/>
          <w:iCs/>
          <w:sz w:val="20"/>
          <w:szCs w:val="20"/>
        </w:rPr>
        <w:t xml:space="preserve"> Key </w:t>
      </w:r>
      <w:proofErr w:type="spellStart"/>
      <w:r w:rsidRPr="00D61480">
        <w:rPr>
          <w:rFonts w:ascii="Arial" w:hAnsi="Arial"/>
          <w:i/>
          <w:iCs/>
          <w:sz w:val="20"/>
          <w:szCs w:val="20"/>
        </w:rPr>
        <w:t>Infraestructure</w:t>
      </w:r>
      <w:proofErr w:type="spellEnd"/>
      <w:r w:rsidRPr="00D61480">
        <w:rPr>
          <w:rFonts w:ascii="Arial" w:hAnsi="Arial"/>
          <w:i/>
          <w:iCs/>
          <w:sz w:val="20"/>
          <w:szCs w:val="20"/>
        </w:rPr>
        <w:t>-PKI</w:t>
      </w:r>
      <w:r w:rsidRPr="00D61480">
        <w:rPr>
          <w:rFonts w:ascii="Arial" w:hAnsi="Arial"/>
          <w:sz w:val="20"/>
          <w:szCs w:val="20"/>
        </w:rPr>
        <w:t>) con formato X.509v3, los cuales son gestionados y emitidos por la autoridad de certificación (CA).</w:t>
      </w:r>
    </w:p>
    <w:p w14:paraId="69888F73" w14:textId="77777777" w:rsidR="00A25321" w:rsidRPr="00D61480" w:rsidRDefault="00A25321" w:rsidP="00A25321">
      <w:pPr>
        <w:pStyle w:val="Prrafodelista"/>
        <w:ind w:left="360"/>
        <w:rPr>
          <w:rFonts w:ascii="Arial" w:hAnsi="Arial"/>
          <w:sz w:val="20"/>
          <w:szCs w:val="20"/>
        </w:rPr>
      </w:pPr>
    </w:p>
    <w:p w14:paraId="40575675" w14:textId="77777777" w:rsidR="00A25321" w:rsidRPr="00D61480" w:rsidRDefault="00496A09" w:rsidP="004E0B95">
      <w:pPr>
        <w:pStyle w:val="Prrafodelista"/>
        <w:numPr>
          <w:ilvl w:val="0"/>
          <w:numId w:val="41"/>
        </w:numPr>
        <w:rPr>
          <w:rFonts w:ascii="Arial" w:hAnsi="Arial"/>
          <w:sz w:val="20"/>
          <w:szCs w:val="20"/>
        </w:rPr>
      </w:pPr>
      <w:r w:rsidRPr="00D61480">
        <w:rPr>
          <w:rFonts w:ascii="Arial" w:hAnsi="Arial"/>
          <w:b/>
          <w:bCs/>
          <w:sz w:val="20"/>
          <w:szCs w:val="20"/>
        </w:rPr>
        <w:t xml:space="preserve">DLMS/COSEM </w:t>
      </w:r>
      <w:r w:rsidRPr="00D61480">
        <w:rPr>
          <w:rFonts w:ascii="Arial" w:hAnsi="Arial"/>
          <w:sz w:val="20"/>
          <w:szCs w:val="20"/>
        </w:rPr>
        <w:t>(</w:t>
      </w:r>
      <w:r w:rsidRPr="00D61480">
        <w:rPr>
          <w:rFonts w:ascii="Arial" w:eastAsia="Verdana" w:hAnsi="Arial"/>
          <w:sz w:val="20"/>
          <w:szCs w:val="20"/>
        </w:rPr>
        <w:t xml:space="preserve">Rodríguez Cristian, 2015): </w:t>
      </w:r>
      <w:r w:rsidRPr="00D61480">
        <w:rPr>
          <w:rFonts w:ascii="Arial" w:hAnsi="Arial"/>
          <w:sz w:val="20"/>
          <w:szCs w:val="20"/>
        </w:rPr>
        <w:t xml:space="preserve">DLMS/COSEM es una suite de estándares internacionales abiertos para el intercambio de información con medidores de cualquier tipo de energía o dispositivos inteligentes, adoptados por la IEC en la suite IEC 62056. Tiene como objetivo proporcionar un medio para el intercambio de datos estandarizados e interoperables sobre un amplio rango de perfiles de comunicación. El modelo de datos está basado en una librería de clases de interfaz COSEM junto a un sistema de identificación de objetos OBIS. Al ser un modelo orientado a objetos, el estándar categoriza los objetos en forma de clases de interfaz COSEM (IC). De dichas clases se generan las instancias u objetos de interfaz COSEM que contienen los valores de los atributos y los métodos que se pueden ejecutar. El estándar además está basado en una estructura cliente/servidor. El servidor se </w:t>
      </w:r>
      <w:r w:rsidRPr="00D61480">
        <w:rPr>
          <w:rFonts w:ascii="Arial" w:hAnsi="Arial"/>
          <w:sz w:val="20"/>
          <w:szCs w:val="20"/>
        </w:rPr>
        <w:lastRenderedPageBreak/>
        <w:t>ejecuta dentro del medidor mientras que el cliente</w:t>
      </w:r>
      <w:r w:rsidR="00A25321" w:rsidRPr="00D61480">
        <w:rPr>
          <w:rFonts w:ascii="Arial" w:hAnsi="Arial"/>
          <w:sz w:val="20"/>
          <w:szCs w:val="20"/>
        </w:rPr>
        <w:t>/usuario</w:t>
      </w:r>
      <w:r w:rsidRPr="00D61480">
        <w:rPr>
          <w:rFonts w:ascii="Arial" w:hAnsi="Arial"/>
          <w:sz w:val="20"/>
          <w:szCs w:val="20"/>
        </w:rPr>
        <w:t xml:space="preserve"> que lo accede puede ser otro equipo o una aplicación.</w:t>
      </w:r>
    </w:p>
    <w:p w14:paraId="203BE798" w14:textId="77777777" w:rsidR="00A25321" w:rsidRPr="00D61480" w:rsidRDefault="00A25321" w:rsidP="00A25321">
      <w:pPr>
        <w:pStyle w:val="Prrafodelista"/>
        <w:ind w:left="360"/>
        <w:rPr>
          <w:rFonts w:ascii="Arial" w:hAnsi="Arial"/>
          <w:sz w:val="20"/>
          <w:szCs w:val="20"/>
        </w:rPr>
      </w:pPr>
    </w:p>
    <w:p w14:paraId="3BBEC45C" w14:textId="6212C3E2" w:rsidR="00496A09" w:rsidRPr="00D61480" w:rsidRDefault="00496A09" w:rsidP="00A25321">
      <w:pPr>
        <w:pStyle w:val="Prrafodelista"/>
        <w:ind w:left="360"/>
        <w:rPr>
          <w:rFonts w:ascii="Arial" w:hAnsi="Arial"/>
          <w:sz w:val="20"/>
          <w:szCs w:val="20"/>
        </w:rPr>
      </w:pPr>
      <w:r w:rsidRPr="00D61480">
        <w:rPr>
          <w:rFonts w:ascii="Arial" w:hAnsi="Arial"/>
          <w:sz w:val="20"/>
          <w:szCs w:val="20"/>
        </w:rPr>
        <w:t>Los mecanismos de seguridad en DLMS/COSEM se relacionan con los roles para el acceso a los</w:t>
      </w:r>
      <w:r w:rsidR="00A25321" w:rsidRPr="00D61480">
        <w:rPr>
          <w:rFonts w:ascii="Arial" w:hAnsi="Arial"/>
          <w:sz w:val="20"/>
          <w:szCs w:val="20"/>
        </w:rPr>
        <w:t xml:space="preserve"> </w:t>
      </w:r>
      <w:r w:rsidRPr="00D61480">
        <w:rPr>
          <w:rFonts w:ascii="Arial" w:hAnsi="Arial"/>
          <w:sz w:val="20"/>
          <w:szCs w:val="20"/>
        </w:rPr>
        <w:t>datos del dispositivo COSEM. Se definen 3 tipos de roles o niveles de acceso:</w:t>
      </w:r>
    </w:p>
    <w:p w14:paraId="04F19B62" w14:textId="77777777" w:rsidR="00A25321" w:rsidRPr="00D61480" w:rsidRDefault="00A25321" w:rsidP="00A25321">
      <w:pPr>
        <w:pStyle w:val="Prrafodelista"/>
        <w:ind w:left="360"/>
        <w:rPr>
          <w:rFonts w:ascii="Arial" w:hAnsi="Arial"/>
          <w:sz w:val="20"/>
          <w:szCs w:val="20"/>
        </w:rPr>
      </w:pPr>
    </w:p>
    <w:p w14:paraId="207FD850" w14:textId="77777777" w:rsidR="00496A09" w:rsidRPr="00D61480" w:rsidRDefault="00496A09" w:rsidP="004E0B95">
      <w:pPr>
        <w:pStyle w:val="Prrafodelista"/>
        <w:numPr>
          <w:ilvl w:val="0"/>
          <w:numId w:val="40"/>
        </w:numPr>
        <w:spacing w:line="276" w:lineRule="auto"/>
        <w:rPr>
          <w:rFonts w:ascii="Arial" w:hAnsi="Arial"/>
          <w:sz w:val="20"/>
          <w:szCs w:val="20"/>
        </w:rPr>
      </w:pPr>
      <w:r w:rsidRPr="00D61480">
        <w:rPr>
          <w:rFonts w:ascii="Arial" w:hAnsi="Arial"/>
          <w:sz w:val="20"/>
          <w:szCs w:val="20"/>
        </w:rPr>
        <w:t>Seguridad más baja (sin contraseña): concede derechos de acceso al cliente, para que pueda obtener información básica del dispositivo, sin requerir autenticación alguna.</w:t>
      </w:r>
    </w:p>
    <w:p w14:paraId="6A7D5EF2" w14:textId="77777777" w:rsidR="00A25321" w:rsidRPr="00D61480" w:rsidRDefault="00A25321" w:rsidP="00A25321">
      <w:pPr>
        <w:pStyle w:val="Prrafodelista"/>
        <w:spacing w:line="276" w:lineRule="auto"/>
        <w:rPr>
          <w:rFonts w:ascii="Arial" w:hAnsi="Arial"/>
          <w:sz w:val="20"/>
          <w:szCs w:val="20"/>
        </w:rPr>
      </w:pPr>
    </w:p>
    <w:p w14:paraId="639A3533" w14:textId="43E2AFC1" w:rsidR="00496A09" w:rsidRPr="00D61480" w:rsidRDefault="00496A09" w:rsidP="004E0B95">
      <w:pPr>
        <w:pStyle w:val="Prrafodelista"/>
        <w:numPr>
          <w:ilvl w:val="0"/>
          <w:numId w:val="40"/>
        </w:numPr>
        <w:spacing w:line="276" w:lineRule="auto"/>
        <w:rPr>
          <w:rFonts w:ascii="Arial" w:hAnsi="Arial"/>
          <w:sz w:val="20"/>
          <w:szCs w:val="20"/>
        </w:rPr>
      </w:pPr>
      <w:r w:rsidRPr="00D61480">
        <w:rPr>
          <w:rFonts w:ascii="Arial" w:hAnsi="Arial"/>
          <w:sz w:val="20"/>
          <w:szCs w:val="20"/>
        </w:rPr>
        <w:t>Seguridad baja: concede derechos de acceso al cliente, para que pueda obtener información más avanzada del dispositivo, mediante la verificación de una contraseña. Este contexto se utiliza generalmente sobre canales de comunicación que ofrecen una seguridad adecuada para evitar espionaje y repetición de la contraseña.</w:t>
      </w:r>
    </w:p>
    <w:p w14:paraId="14F89FB5" w14:textId="77777777" w:rsidR="00A25321" w:rsidRPr="00D61480" w:rsidRDefault="00A25321" w:rsidP="00A25321">
      <w:pPr>
        <w:pStyle w:val="Prrafodelista"/>
        <w:spacing w:line="276" w:lineRule="auto"/>
        <w:rPr>
          <w:rFonts w:ascii="Arial" w:hAnsi="Arial"/>
          <w:sz w:val="20"/>
          <w:szCs w:val="20"/>
        </w:rPr>
      </w:pPr>
    </w:p>
    <w:p w14:paraId="2DF7D1F3" w14:textId="02683369" w:rsidR="00496A09" w:rsidRPr="00D61480" w:rsidRDefault="00496A09" w:rsidP="004E0B95">
      <w:pPr>
        <w:pStyle w:val="Prrafodelista"/>
        <w:numPr>
          <w:ilvl w:val="0"/>
          <w:numId w:val="40"/>
        </w:numPr>
        <w:spacing w:line="276" w:lineRule="auto"/>
        <w:rPr>
          <w:rFonts w:ascii="Arial" w:hAnsi="Arial"/>
          <w:sz w:val="20"/>
          <w:szCs w:val="20"/>
        </w:rPr>
      </w:pPr>
      <w:r w:rsidRPr="00D61480">
        <w:rPr>
          <w:rFonts w:ascii="Arial" w:hAnsi="Arial"/>
          <w:sz w:val="20"/>
          <w:szCs w:val="20"/>
        </w:rPr>
        <w:t>Seguridad alta: Concede derechos de acceso al cliente</w:t>
      </w:r>
      <w:r w:rsidR="00A25321" w:rsidRPr="00D61480">
        <w:rPr>
          <w:rFonts w:ascii="Arial" w:hAnsi="Arial"/>
          <w:sz w:val="20"/>
          <w:szCs w:val="20"/>
        </w:rPr>
        <w:t>/usuario</w:t>
      </w:r>
      <w:r w:rsidRPr="00D61480">
        <w:rPr>
          <w:rFonts w:ascii="Arial" w:hAnsi="Arial"/>
          <w:sz w:val="20"/>
          <w:szCs w:val="20"/>
        </w:rPr>
        <w:t xml:space="preserve">, para que pueda manipular información sensible del dispositivo, mediante la autenticación mutua del cliente y el servidor. Este contexto requiere que el cliente y el servidor generen y procesen un algoritmo o desafío de seguridad. Para el contexto de seguridad alta, DLMS/COSEM ofrece 4 tipos de algoritmos: algoritmo propietario, algoritmo MD5, algoritmo SHA1 y Algoritmo GMA. </w:t>
      </w:r>
    </w:p>
    <w:p w14:paraId="173E2AC0" w14:textId="77777777" w:rsidR="00496A09" w:rsidRPr="00D61480" w:rsidRDefault="00496A09" w:rsidP="00496A09">
      <w:pPr>
        <w:rPr>
          <w:rFonts w:ascii="Arial" w:hAnsi="Arial"/>
          <w:sz w:val="20"/>
          <w:szCs w:val="20"/>
        </w:rPr>
      </w:pPr>
    </w:p>
    <w:p w14:paraId="46FAC890" w14:textId="77777777" w:rsidR="00496A09" w:rsidRPr="00D61480" w:rsidRDefault="00496A09" w:rsidP="00A25321">
      <w:pPr>
        <w:pStyle w:val="Prrafodelista"/>
        <w:ind w:left="360"/>
        <w:rPr>
          <w:rFonts w:ascii="Arial" w:hAnsi="Arial"/>
          <w:sz w:val="20"/>
          <w:szCs w:val="20"/>
        </w:rPr>
      </w:pPr>
      <w:r w:rsidRPr="00D61480">
        <w:rPr>
          <w:rFonts w:ascii="Arial" w:hAnsi="Arial"/>
          <w:sz w:val="20"/>
          <w:szCs w:val="20"/>
        </w:rPr>
        <w:t xml:space="preserve">Para la seguridad extremo a extremo, el estándar especifica el transporte de mensajes en cuatro formas: datos sin protección, datos autenticados, datos cifrados y datos cifrados y autenticados. El estándar define el uso de una suite de seguridad que determina el conjunto de algoritmos de cifrado que estarán disponibles para el intercambio de información. Las suites de seguridad DLMS/COSEM están basadas en los algoritmos de cifrado definidos en la suite B de la NSA (FIPS/NIST), e incluyen algoritmos para la autenticación, cifrado, acuerdo de claves, firmas digitales y </w:t>
      </w:r>
      <w:proofErr w:type="spellStart"/>
      <w:r w:rsidRPr="00D61480">
        <w:rPr>
          <w:rFonts w:ascii="Arial" w:hAnsi="Arial"/>
          <w:i/>
          <w:iCs/>
          <w:sz w:val="20"/>
          <w:szCs w:val="20"/>
        </w:rPr>
        <w:t>hashing</w:t>
      </w:r>
      <w:proofErr w:type="spellEnd"/>
      <w:r w:rsidRPr="00D61480">
        <w:rPr>
          <w:rFonts w:ascii="Arial" w:hAnsi="Arial"/>
          <w:i/>
          <w:iCs/>
          <w:sz w:val="20"/>
          <w:szCs w:val="20"/>
        </w:rPr>
        <w:t xml:space="preserve"> </w:t>
      </w:r>
      <w:r w:rsidRPr="00D61480">
        <w:rPr>
          <w:rFonts w:ascii="Arial" w:hAnsi="Arial"/>
          <w:sz w:val="20"/>
          <w:szCs w:val="20"/>
        </w:rPr>
        <w:t xml:space="preserve">(Tabla 5). También incluye algoritmos de empaquetado de claves y compresión. La selección adecuada de la suite de seguridad a utilizar dependerá del contexto del caso de uso. </w:t>
      </w:r>
    </w:p>
    <w:p w14:paraId="1DED1AB9" w14:textId="77777777" w:rsidR="00496A09" w:rsidRPr="00D61480" w:rsidRDefault="00496A09" w:rsidP="00496A09">
      <w:pPr>
        <w:rPr>
          <w:rFonts w:ascii="Arial" w:hAnsi="Arial"/>
          <w:sz w:val="20"/>
          <w:szCs w:val="20"/>
        </w:rPr>
      </w:pPr>
    </w:p>
    <w:p w14:paraId="2C26FFF4" w14:textId="7387BA10" w:rsidR="00496A09" w:rsidRPr="00D61480" w:rsidRDefault="00496A09" w:rsidP="00496A09">
      <w:pPr>
        <w:rPr>
          <w:rFonts w:ascii="Arial" w:hAnsi="Arial"/>
          <w:sz w:val="20"/>
          <w:szCs w:val="20"/>
        </w:rPr>
      </w:pPr>
      <w:r w:rsidRPr="00D61480">
        <w:rPr>
          <w:rFonts w:ascii="Arial" w:hAnsi="Arial"/>
          <w:noProof/>
          <w:sz w:val="20"/>
          <w:szCs w:val="20"/>
        </w:rPr>
        <w:drawing>
          <wp:inline distT="0" distB="0" distL="0" distR="0" wp14:anchorId="0D7B004B" wp14:editId="77D64E53">
            <wp:extent cx="5434965" cy="193421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4965" cy="1934210"/>
                    </a:xfrm>
                    <a:prstGeom prst="rect">
                      <a:avLst/>
                    </a:prstGeom>
                    <a:noFill/>
                    <a:ln>
                      <a:noFill/>
                    </a:ln>
                  </pic:spPr>
                </pic:pic>
              </a:graphicData>
            </a:graphic>
          </wp:inline>
        </w:drawing>
      </w:r>
    </w:p>
    <w:p w14:paraId="6F35F7D3" w14:textId="77777777" w:rsidR="00496A09" w:rsidRPr="00D61480" w:rsidRDefault="00496A09" w:rsidP="00496A09">
      <w:pPr>
        <w:jc w:val="center"/>
        <w:rPr>
          <w:rFonts w:ascii="Arial" w:hAnsi="Arial"/>
          <w:sz w:val="16"/>
          <w:szCs w:val="16"/>
        </w:rPr>
      </w:pPr>
      <w:r w:rsidRPr="00D61480">
        <w:rPr>
          <w:rFonts w:ascii="Arial" w:hAnsi="Arial"/>
          <w:sz w:val="16"/>
          <w:szCs w:val="16"/>
        </w:rPr>
        <w:t>Tabla 5. Suites de seguridad DLMS/COSEM</w:t>
      </w:r>
    </w:p>
    <w:p w14:paraId="04713EBC" w14:textId="2262C908" w:rsidR="00496A09" w:rsidRPr="00D61480" w:rsidRDefault="00496A09" w:rsidP="00496A09">
      <w:pPr>
        <w:rPr>
          <w:rFonts w:ascii="Arial" w:hAnsi="Arial"/>
          <w:b/>
          <w:bCs/>
          <w:sz w:val="20"/>
          <w:szCs w:val="20"/>
        </w:rPr>
      </w:pPr>
    </w:p>
    <w:p w14:paraId="42C70DA0" w14:textId="6962852B" w:rsidR="00A25321" w:rsidRPr="00D61480" w:rsidRDefault="00A25321" w:rsidP="00496A09">
      <w:pPr>
        <w:rPr>
          <w:rFonts w:ascii="Arial" w:hAnsi="Arial"/>
          <w:b/>
          <w:bCs/>
          <w:sz w:val="20"/>
          <w:szCs w:val="20"/>
        </w:rPr>
      </w:pPr>
    </w:p>
    <w:p w14:paraId="039BBEDB" w14:textId="77777777" w:rsidR="00A25321" w:rsidRPr="00D61480" w:rsidRDefault="00A25321" w:rsidP="00496A09">
      <w:pPr>
        <w:rPr>
          <w:rFonts w:ascii="Arial" w:hAnsi="Arial"/>
          <w:b/>
          <w:bCs/>
          <w:sz w:val="20"/>
          <w:szCs w:val="20"/>
        </w:rPr>
      </w:pPr>
    </w:p>
    <w:p w14:paraId="07806720" w14:textId="77777777" w:rsidR="00496A09" w:rsidRPr="00D61480" w:rsidRDefault="00496A09" w:rsidP="00A25321">
      <w:pPr>
        <w:pStyle w:val="Ttulo2"/>
        <w:numPr>
          <w:ilvl w:val="1"/>
          <w:numId w:val="12"/>
        </w:numPr>
        <w:jc w:val="both"/>
        <w:rPr>
          <w:rFonts w:ascii="Arial" w:hAnsi="Arial"/>
          <w:sz w:val="20"/>
          <w:szCs w:val="20"/>
        </w:rPr>
      </w:pPr>
      <w:bookmarkStart w:id="16" w:name="_Toc52213537"/>
      <w:r w:rsidRPr="00D61480">
        <w:rPr>
          <w:rFonts w:ascii="Arial" w:hAnsi="Arial"/>
          <w:sz w:val="20"/>
          <w:szCs w:val="20"/>
        </w:rPr>
        <w:lastRenderedPageBreak/>
        <w:t>Arquitectura y supervisión para la operación</w:t>
      </w:r>
      <w:bookmarkEnd w:id="16"/>
    </w:p>
    <w:p w14:paraId="6400EC46" w14:textId="77777777" w:rsidR="00496A09" w:rsidRPr="00D61480" w:rsidRDefault="00496A09" w:rsidP="00496A09">
      <w:pPr>
        <w:rPr>
          <w:rFonts w:asciiTheme="minorHAnsi" w:hAnsiTheme="minorHAnsi" w:cstheme="minorBidi"/>
          <w:bCs/>
          <w:sz w:val="20"/>
          <w:szCs w:val="20"/>
        </w:rPr>
      </w:pPr>
    </w:p>
    <w:p w14:paraId="1275155F" w14:textId="445F8A6F" w:rsidR="00496A09" w:rsidRPr="00D61480" w:rsidRDefault="00496A09" w:rsidP="00496A09">
      <w:pPr>
        <w:rPr>
          <w:rFonts w:ascii="Arial" w:hAnsi="Arial"/>
          <w:sz w:val="20"/>
          <w:szCs w:val="20"/>
        </w:rPr>
      </w:pPr>
      <w:r w:rsidRPr="00D61480">
        <w:rPr>
          <w:rFonts w:ascii="Arial" w:hAnsi="Arial"/>
          <w:sz w:val="20"/>
          <w:szCs w:val="20"/>
        </w:rPr>
        <w:t>Las nuevas responsabilidades</w:t>
      </w:r>
      <w:r w:rsidR="00A25321" w:rsidRPr="00D61480">
        <w:rPr>
          <w:rFonts w:ascii="Arial" w:hAnsi="Arial"/>
          <w:sz w:val="20"/>
          <w:szCs w:val="20"/>
        </w:rPr>
        <w:t xml:space="preserve"> </w:t>
      </w:r>
      <w:r w:rsidRPr="00D61480">
        <w:rPr>
          <w:rFonts w:ascii="Arial" w:hAnsi="Arial"/>
          <w:sz w:val="20"/>
          <w:szCs w:val="20"/>
        </w:rPr>
        <w:t>del DSO implican adoptar una nueva arquitectura, tanto de comunicaciones como de gestión de los recursos, esto debido al tener que adaptarse el SIN a un tipo de red más flexible, al tener más interacciones entre todos los elementos, teniendo en cuenta que la operación ya no sería en un solo sentido y de forma jerárquica. Los cuales se hace referencia a continuación en las Figuras 1</w:t>
      </w:r>
      <w:r w:rsidR="00A25321" w:rsidRPr="00D61480">
        <w:rPr>
          <w:rFonts w:ascii="Arial" w:hAnsi="Arial"/>
          <w:sz w:val="20"/>
          <w:szCs w:val="20"/>
        </w:rPr>
        <w:t>4</w:t>
      </w:r>
      <w:r w:rsidRPr="00D61480">
        <w:rPr>
          <w:rFonts w:ascii="Arial" w:hAnsi="Arial"/>
          <w:sz w:val="20"/>
          <w:szCs w:val="20"/>
        </w:rPr>
        <w:t xml:space="preserve"> y 1</w:t>
      </w:r>
      <w:r w:rsidR="00A25321" w:rsidRPr="00D61480">
        <w:rPr>
          <w:rFonts w:ascii="Arial" w:hAnsi="Arial"/>
          <w:sz w:val="20"/>
          <w:szCs w:val="20"/>
        </w:rPr>
        <w:t>5</w:t>
      </w:r>
      <w:r w:rsidRPr="00D61480">
        <w:rPr>
          <w:rFonts w:ascii="Arial" w:hAnsi="Arial"/>
          <w:sz w:val="20"/>
          <w:szCs w:val="20"/>
        </w:rPr>
        <w:t>.</w:t>
      </w:r>
    </w:p>
    <w:p w14:paraId="6A74AB67" w14:textId="77777777" w:rsidR="00A25321" w:rsidRPr="00D61480" w:rsidRDefault="00A25321" w:rsidP="00496A09">
      <w:pPr>
        <w:rPr>
          <w:rFonts w:ascii="Arial" w:hAnsi="Arial"/>
          <w:sz w:val="20"/>
          <w:szCs w:val="20"/>
        </w:rPr>
      </w:pPr>
    </w:p>
    <w:p w14:paraId="30C18C1E" w14:textId="683181A5" w:rsidR="00496A09" w:rsidRPr="00D61480" w:rsidRDefault="00496A09" w:rsidP="00496A09">
      <w:pPr>
        <w:jc w:val="center"/>
        <w:rPr>
          <w:rFonts w:asciiTheme="minorHAnsi" w:hAnsiTheme="minorHAnsi" w:cstheme="minorBidi"/>
          <w:bCs/>
          <w:sz w:val="20"/>
          <w:szCs w:val="20"/>
        </w:rPr>
      </w:pPr>
      <w:r w:rsidRPr="00D61480">
        <w:rPr>
          <w:bCs/>
          <w:sz w:val="20"/>
          <w:szCs w:val="20"/>
        </w:rPr>
        <w:t xml:space="preserve"> </w:t>
      </w:r>
      <w:r w:rsidRPr="00D61480">
        <w:rPr>
          <w:noProof/>
        </w:rPr>
        <w:drawing>
          <wp:inline distT="0" distB="0" distL="0" distR="0" wp14:anchorId="42C6F91D" wp14:editId="49E5F002">
            <wp:extent cx="6191656" cy="3054955"/>
            <wp:effectExtent l="6350" t="0" r="635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6231417" cy="3074573"/>
                    </a:xfrm>
                    <a:prstGeom prst="rect">
                      <a:avLst/>
                    </a:prstGeom>
                    <a:noFill/>
                    <a:ln>
                      <a:noFill/>
                    </a:ln>
                  </pic:spPr>
                </pic:pic>
              </a:graphicData>
            </a:graphic>
          </wp:inline>
        </w:drawing>
      </w:r>
    </w:p>
    <w:p w14:paraId="23BC49A1" w14:textId="15F56026" w:rsidR="00496A09" w:rsidRPr="00D61480" w:rsidRDefault="00496A09" w:rsidP="00A25321">
      <w:pPr>
        <w:pStyle w:val="Descripcin"/>
        <w:spacing w:after="0"/>
        <w:jc w:val="center"/>
        <w:rPr>
          <w:rFonts w:ascii="Arial" w:hAnsi="Arial" w:cs="Arial"/>
          <w:b w:val="0"/>
          <w:color w:val="auto"/>
          <w:sz w:val="16"/>
          <w:szCs w:val="16"/>
          <w:lang w:val="es-ES"/>
        </w:rPr>
      </w:pPr>
      <w:r w:rsidRPr="00D61480">
        <w:rPr>
          <w:rFonts w:ascii="Arial" w:hAnsi="Arial" w:cs="Arial"/>
          <w:b w:val="0"/>
          <w:color w:val="auto"/>
          <w:sz w:val="16"/>
          <w:szCs w:val="16"/>
        </w:rPr>
        <w:t>Figura 1</w:t>
      </w:r>
      <w:r w:rsidR="00A25321" w:rsidRPr="00D61480">
        <w:rPr>
          <w:rFonts w:ascii="Arial" w:hAnsi="Arial" w:cs="Arial"/>
          <w:b w:val="0"/>
          <w:color w:val="auto"/>
          <w:sz w:val="16"/>
          <w:szCs w:val="16"/>
        </w:rPr>
        <w:t>4</w:t>
      </w:r>
      <w:r w:rsidRPr="00D61480">
        <w:rPr>
          <w:rFonts w:ascii="Arial" w:hAnsi="Arial" w:cs="Arial"/>
          <w:b w:val="0"/>
          <w:color w:val="auto"/>
          <w:sz w:val="16"/>
          <w:szCs w:val="16"/>
        </w:rPr>
        <w:t>. Arquitectura tecnológica basado en estándar IEC</w:t>
      </w:r>
      <w:r w:rsidR="00A25321" w:rsidRPr="00D61480">
        <w:rPr>
          <w:rFonts w:ascii="Arial" w:hAnsi="Arial" w:cs="Arial"/>
          <w:b w:val="0"/>
          <w:color w:val="auto"/>
          <w:sz w:val="16"/>
          <w:szCs w:val="16"/>
        </w:rPr>
        <w:t xml:space="preserve"> </w:t>
      </w:r>
      <w:r w:rsidRPr="00D61480">
        <w:rPr>
          <w:rFonts w:ascii="Arial" w:hAnsi="Arial" w:cs="Arial"/>
          <w:b w:val="0"/>
          <w:color w:val="auto"/>
          <w:sz w:val="16"/>
          <w:szCs w:val="16"/>
        </w:rPr>
        <w:t>Fuente: Colombia Inteligente</w:t>
      </w:r>
    </w:p>
    <w:p w14:paraId="09615B5E" w14:textId="42C86FCE" w:rsidR="00496A09" w:rsidRPr="00D61480" w:rsidRDefault="00496A09" w:rsidP="00496A09">
      <w:pPr>
        <w:jc w:val="center"/>
        <w:rPr>
          <w:bCs/>
          <w:sz w:val="20"/>
          <w:szCs w:val="20"/>
        </w:rPr>
      </w:pPr>
      <w:r w:rsidRPr="00D61480">
        <w:rPr>
          <w:bCs/>
          <w:sz w:val="20"/>
          <w:szCs w:val="20"/>
        </w:rPr>
        <w:lastRenderedPageBreak/>
        <w:t xml:space="preserve"> </w:t>
      </w:r>
      <w:r w:rsidRPr="00D61480">
        <w:rPr>
          <w:noProof/>
        </w:rPr>
        <w:drawing>
          <wp:inline distT="0" distB="0" distL="0" distR="0" wp14:anchorId="664FAC64" wp14:editId="4648D7E1">
            <wp:extent cx="7294802" cy="3691295"/>
            <wp:effectExtent l="0" t="8255"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7315881" cy="3701961"/>
                    </a:xfrm>
                    <a:prstGeom prst="rect">
                      <a:avLst/>
                    </a:prstGeom>
                    <a:noFill/>
                    <a:ln>
                      <a:noFill/>
                    </a:ln>
                  </pic:spPr>
                </pic:pic>
              </a:graphicData>
            </a:graphic>
          </wp:inline>
        </w:drawing>
      </w:r>
    </w:p>
    <w:p w14:paraId="0E07FE50" w14:textId="4874D242" w:rsidR="00496A09" w:rsidRPr="00D61480" w:rsidRDefault="00496A09" w:rsidP="00E46078">
      <w:pPr>
        <w:pStyle w:val="Descripcin"/>
        <w:spacing w:after="0"/>
        <w:jc w:val="center"/>
        <w:rPr>
          <w:rFonts w:asciiTheme="minorHAnsi" w:hAnsiTheme="minorHAnsi" w:cstheme="minorBidi"/>
          <w:sz w:val="16"/>
          <w:szCs w:val="16"/>
        </w:rPr>
      </w:pPr>
      <w:r w:rsidRPr="00D61480">
        <w:rPr>
          <w:rFonts w:ascii="Arial" w:hAnsi="Arial" w:cs="Arial"/>
          <w:b w:val="0"/>
          <w:color w:val="auto"/>
          <w:sz w:val="16"/>
          <w:szCs w:val="16"/>
        </w:rPr>
        <w:t>Figura 1</w:t>
      </w:r>
      <w:r w:rsidR="00A25321" w:rsidRPr="00D61480">
        <w:rPr>
          <w:rFonts w:ascii="Arial" w:hAnsi="Arial" w:cs="Arial"/>
          <w:b w:val="0"/>
          <w:color w:val="auto"/>
          <w:sz w:val="16"/>
          <w:szCs w:val="16"/>
        </w:rPr>
        <w:t>5</w:t>
      </w:r>
      <w:r w:rsidRPr="00D61480">
        <w:rPr>
          <w:rFonts w:ascii="Arial" w:hAnsi="Arial" w:cs="Arial"/>
          <w:b w:val="0"/>
          <w:color w:val="auto"/>
          <w:sz w:val="16"/>
          <w:szCs w:val="16"/>
        </w:rPr>
        <w:t>. Gestión de información DSO-TSO</w:t>
      </w:r>
      <w:r w:rsidR="00E46078" w:rsidRPr="00D61480">
        <w:rPr>
          <w:rFonts w:ascii="Arial" w:hAnsi="Arial" w:cs="Arial"/>
          <w:b w:val="0"/>
          <w:color w:val="auto"/>
          <w:sz w:val="16"/>
          <w:szCs w:val="16"/>
        </w:rPr>
        <w:t xml:space="preserve">. </w:t>
      </w:r>
      <w:r w:rsidRPr="00D61480">
        <w:rPr>
          <w:rFonts w:ascii="Arial" w:hAnsi="Arial" w:cs="Arial"/>
          <w:b w:val="0"/>
          <w:color w:val="auto"/>
          <w:sz w:val="16"/>
          <w:szCs w:val="16"/>
        </w:rPr>
        <w:t>Fuente: Colombia Inteligente</w:t>
      </w:r>
    </w:p>
    <w:p w14:paraId="63B3F6FC" w14:textId="454E469E" w:rsidR="00496A09" w:rsidRPr="00D61480" w:rsidRDefault="00496A09" w:rsidP="00496A09">
      <w:pPr>
        <w:rPr>
          <w:rFonts w:ascii="Arial" w:hAnsi="Arial"/>
          <w:sz w:val="20"/>
          <w:szCs w:val="20"/>
        </w:rPr>
      </w:pPr>
      <w:r w:rsidRPr="00D61480">
        <w:rPr>
          <w:rFonts w:ascii="Arial" w:hAnsi="Arial"/>
          <w:sz w:val="20"/>
          <w:szCs w:val="20"/>
        </w:rPr>
        <w:lastRenderedPageBreak/>
        <w:t>Las funciones para el manejo de la flexibilidad de la red (intercambio DSO-TSO/ISO) se despliegan en la Figura 1</w:t>
      </w:r>
      <w:r w:rsidR="00E46078" w:rsidRPr="00D61480">
        <w:rPr>
          <w:rFonts w:ascii="Arial" w:hAnsi="Arial"/>
          <w:sz w:val="20"/>
          <w:szCs w:val="20"/>
        </w:rPr>
        <w:t>6</w:t>
      </w:r>
      <w:r w:rsidRPr="00D61480">
        <w:rPr>
          <w:rFonts w:ascii="Arial" w:hAnsi="Arial"/>
          <w:sz w:val="20"/>
          <w:szCs w:val="20"/>
        </w:rPr>
        <w:t>.</w:t>
      </w:r>
    </w:p>
    <w:p w14:paraId="0A171D08" w14:textId="77777777" w:rsidR="00496A09" w:rsidRPr="00D61480" w:rsidRDefault="00496A09" w:rsidP="00496A09">
      <w:pPr>
        <w:rPr>
          <w:rFonts w:ascii="Arial" w:hAnsi="Arial"/>
          <w:sz w:val="20"/>
          <w:szCs w:val="20"/>
        </w:rPr>
      </w:pPr>
    </w:p>
    <w:p w14:paraId="33C17C92" w14:textId="2E5A2A79" w:rsidR="00496A09" w:rsidRPr="00D61480" w:rsidRDefault="00496A09" w:rsidP="00496A09">
      <w:pPr>
        <w:rPr>
          <w:rFonts w:asciiTheme="minorHAnsi" w:hAnsiTheme="minorHAnsi" w:cstheme="minorBidi"/>
          <w:bCs/>
          <w:sz w:val="20"/>
          <w:szCs w:val="20"/>
        </w:rPr>
      </w:pPr>
      <w:r w:rsidRPr="00D61480">
        <w:rPr>
          <w:noProof/>
        </w:rPr>
        <w:drawing>
          <wp:inline distT="0" distB="0" distL="0" distR="0" wp14:anchorId="199576E2" wp14:editId="2ABFFFFD">
            <wp:extent cx="6006885" cy="33147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2422" cy="3317756"/>
                    </a:xfrm>
                    <a:prstGeom prst="rect">
                      <a:avLst/>
                    </a:prstGeom>
                    <a:noFill/>
                    <a:ln>
                      <a:noFill/>
                    </a:ln>
                  </pic:spPr>
                </pic:pic>
              </a:graphicData>
            </a:graphic>
          </wp:inline>
        </w:drawing>
      </w:r>
    </w:p>
    <w:p w14:paraId="20D4BD84" w14:textId="4FC78B02" w:rsidR="00496A09" w:rsidRPr="00D61480" w:rsidRDefault="00496A09" w:rsidP="00496A09">
      <w:pPr>
        <w:pStyle w:val="Descripcin"/>
        <w:spacing w:after="0"/>
        <w:jc w:val="center"/>
        <w:rPr>
          <w:rFonts w:ascii="Arial" w:hAnsi="Arial" w:cs="Arial"/>
          <w:b w:val="0"/>
          <w:color w:val="auto"/>
          <w:sz w:val="16"/>
          <w:szCs w:val="16"/>
        </w:rPr>
      </w:pPr>
      <w:r w:rsidRPr="00D61480">
        <w:rPr>
          <w:rFonts w:ascii="Arial" w:hAnsi="Arial" w:cs="Arial"/>
          <w:b w:val="0"/>
          <w:color w:val="auto"/>
          <w:sz w:val="16"/>
          <w:szCs w:val="16"/>
        </w:rPr>
        <w:t>Figura 1</w:t>
      </w:r>
      <w:r w:rsidR="00E46078" w:rsidRPr="00D61480">
        <w:rPr>
          <w:rFonts w:ascii="Arial" w:hAnsi="Arial" w:cs="Arial"/>
          <w:b w:val="0"/>
          <w:color w:val="auto"/>
          <w:sz w:val="16"/>
          <w:szCs w:val="16"/>
        </w:rPr>
        <w:t>6</w:t>
      </w:r>
      <w:r w:rsidRPr="00D61480">
        <w:rPr>
          <w:rFonts w:ascii="Arial" w:hAnsi="Arial" w:cs="Arial"/>
          <w:b w:val="0"/>
          <w:color w:val="auto"/>
          <w:sz w:val="16"/>
          <w:szCs w:val="16"/>
        </w:rPr>
        <w:t>. Intercambio de datos DSO-TSO/ISO</w:t>
      </w:r>
    </w:p>
    <w:p w14:paraId="1C772794" w14:textId="77777777" w:rsidR="00496A09" w:rsidRPr="00D61480" w:rsidRDefault="00496A09" w:rsidP="00496A09">
      <w:pPr>
        <w:jc w:val="center"/>
        <w:rPr>
          <w:rFonts w:asciiTheme="minorHAnsi" w:hAnsiTheme="minorHAnsi" w:cstheme="minorBidi"/>
          <w:sz w:val="16"/>
          <w:szCs w:val="16"/>
        </w:rPr>
      </w:pPr>
      <w:r w:rsidRPr="00D61480">
        <w:rPr>
          <w:rFonts w:ascii="Arial" w:hAnsi="Arial"/>
          <w:sz w:val="16"/>
          <w:szCs w:val="16"/>
        </w:rPr>
        <w:t>Fuente: Colombia Inteligente</w:t>
      </w:r>
    </w:p>
    <w:p w14:paraId="22361C34" w14:textId="77777777" w:rsidR="00496A09" w:rsidRPr="00D61480" w:rsidRDefault="00496A09" w:rsidP="00496A09">
      <w:pPr>
        <w:rPr>
          <w:bCs/>
          <w:sz w:val="20"/>
          <w:szCs w:val="20"/>
        </w:rPr>
      </w:pPr>
    </w:p>
    <w:p w14:paraId="10E4BCA7" w14:textId="77777777" w:rsidR="00496A09" w:rsidRPr="00D61480" w:rsidRDefault="00496A09" w:rsidP="00496A09">
      <w:pPr>
        <w:rPr>
          <w:rFonts w:ascii="Arial" w:hAnsi="Arial"/>
          <w:sz w:val="20"/>
          <w:szCs w:val="20"/>
          <w:lang w:val="es-CO"/>
        </w:rPr>
      </w:pPr>
      <w:r w:rsidRPr="00D61480">
        <w:rPr>
          <w:rFonts w:ascii="Arial" w:hAnsi="Arial"/>
          <w:sz w:val="20"/>
          <w:szCs w:val="20"/>
        </w:rPr>
        <w:t>En cuanto a las funcionalidades es importante resaltar los principios y requerimientos para la adecuada supervisión y operación (ver Tabla 6):</w:t>
      </w:r>
    </w:p>
    <w:tbl>
      <w:tblPr>
        <w:tblW w:w="88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446"/>
        <w:gridCol w:w="4446"/>
      </w:tblGrid>
      <w:tr w:rsidR="00496A09" w:rsidRPr="00D61480" w14:paraId="47F470E9" w14:textId="77777777" w:rsidTr="00496A09">
        <w:trPr>
          <w:trHeight w:val="13"/>
          <w:jc w:val="right"/>
        </w:trPr>
        <w:tc>
          <w:tcPr>
            <w:tcW w:w="444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2260A44" w14:textId="77777777" w:rsidR="00496A09" w:rsidRPr="00D61480" w:rsidRDefault="00496A09">
            <w:pPr>
              <w:jc w:val="center"/>
              <w:rPr>
                <w:rFonts w:ascii="Arial" w:hAnsi="Arial"/>
                <w:b/>
                <w:bCs/>
                <w:sz w:val="18"/>
                <w:szCs w:val="18"/>
              </w:rPr>
            </w:pPr>
            <w:r w:rsidRPr="00D61480">
              <w:rPr>
                <w:rFonts w:ascii="Arial" w:hAnsi="Arial"/>
                <w:b/>
                <w:bCs/>
                <w:sz w:val="18"/>
                <w:szCs w:val="18"/>
              </w:rPr>
              <w:t>Principios</w:t>
            </w:r>
          </w:p>
        </w:tc>
        <w:tc>
          <w:tcPr>
            <w:tcW w:w="444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864A3FF" w14:textId="77777777" w:rsidR="00496A09" w:rsidRPr="00D61480" w:rsidRDefault="00496A09">
            <w:pPr>
              <w:jc w:val="center"/>
              <w:rPr>
                <w:rFonts w:ascii="Arial" w:hAnsi="Arial"/>
                <w:b/>
                <w:bCs/>
                <w:sz w:val="18"/>
                <w:szCs w:val="18"/>
              </w:rPr>
            </w:pPr>
            <w:r w:rsidRPr="00D61480">
              <w:rPr>
                <w:rFonts w:ascii="Arial" w:hAnsi="Arial"/>
                <w:b/>
                <w:bCs/>
                <w:sz w:val="18"/>
                <w:szCs w:val="18"/>
              </w:rPr>
              <w:t>Requerimientos</w:t>
            </w:r>
          </w:p>
        </w:tc>
      </w:tr>
      <w:tr w:rsidR="00496A09" w:rsidRPr="00D61480" w14:paraId="17B682B3" w14:textId="77777777" w:rsidTr="00496A09">
        <w:trPr>
          <w:trHeight w:val="524"/>
          <w:jc w:val="right"/>
        </w:trPr>
        <w:tc>
          <w:tcPr>
            <w:tcW w:w="444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79C7D7B" w14:textId="6D1189B6" w:rsidR="00496A09" w:rsidRPr="00D61480" w:rsidRDefault="00496A09" w:rsidP="004E0B95">
            <w:pPr>
              <w:numPr>
                <w:ilvl w:val="0"/>
                <w:numId w:val="43"/>
              </w:numPr>
              <w:jc w:val="left"/>
              <w:rPr>
                <w:rFonts w:ascii="Arial" w:hAnsi="Arial"/>
                <w:sz w:val="18"/>
                <w:szCs w:val="18"/>
              </w:rPr>
            </w:pPr>
            <w:r w:rsidRPr="00D61480">
              <w:rPr>
                <w:rFonts w:ascii="Arial" w:hAnsi="Arial"/>
                <w:sz w:val="18"/>
                <w:szCs w:val="18"/>
              </w:rPr>
              <w:t>Simplicidad y costo eficiencia</w:t>
            </w:r>
            <w:r w:rsidR="00E46078" w:rsidRPr="00D61480">
              <w:rPr>
                <w:rFonts w:ascii="Arial" w:hAnsi="Arial"/>
                <w:sz w:val="18"/>
                <w:szCs w:val="18"/>
              </w:rPr>
              <w:t>.</w:t>
            </w:r>
          </w:p>
          <w:p w14:paraId="19867B34" w14:textId="31CEFECB" w:rsidR="00496A09" w:rsidRPr="00D61480" w:rsidRDefault="00496A09" w:rsidP="004E0B95">
            <w:pPr>
              <w:numPr>
                <w:ilvl w:val="0"/>
                <w:numId w:val="43"/>
              </w:numPr>
              <w:jc w:val="left"/>
              <w:rPr>
                <w:rFonts w:ascii="Arial" w:hAnsi="Arial"/>
                <w:sz w:val="18"/>
                <w:szCs w:val="18"/>
              </w:rPr>
            </w:pPr>
            <w:r w:rsidRPr="00D61480">
              <w:rPr>
                <w:rFonts w:ascii="Arial" w:hAnsi="Arial"/>
                <w:sz w:val="18"/>
                <w:szCs w:val="18"/>
              </w:rPr>
              <w:t>Transparencia en el intercambio de datos</w:t>
            </w:r>
            <w:r w:rsidR="00E46078" w:rsidRPr="00D61480">
              <w:rPr>
                <w:rFonts w:ascii="Arial" w:hAnsi="Arial"/>
                <w:sz w:val="18"/>
                <w:szCs w:val="18"/>
              </w:rPr>
              <w:t>.</w:t>
            </w:r>
          </w:p>
          <w:p w14:paraId="5731311D" w14:textId="01EB0FEF" w:rsidR="00496A09" w:rsidRPr="00D61480" w:rsidRDefault="00496A09" w:rsidP="004E0B95">
            <w:pPr>
              <w:numPr>
                <w:ilvl w:val="0"/>
                <w:numId w:val="43"/>
              </w:numPr>
              <w:jc w:val="left"/>
              <w:rPr>
                <w:rFonts w:ascii="Arial" w:hAnsi="Arial"/>
                <w:sz w:val="18"/>
                <w:szCs w:val="18"/>
              </w:rPr>
            </w:pPr>
            <w:r w:rsidRPr="00D61480">
              <w:rPr>
                <w:rFonts w:ascii="Arial" w:hAnsi="Arial"/>
                <w:sz w:val="18"/>
                <w:szCs w:val="18"/>
              </w:rPr>
              <w:t>Neutralidad y no discriminación</w:t>
            </w:r>
            <w:r w:rsidR="00E46078" w:rsidRPr="00D61480">
              <w:rPr>
                <w:rFonts w:ascii="Arial" w:hAnsi="Arial"/>
                <w:sz w:val="18"/>
                <w:szCs w:val="18"/>
              </w:rPr>
              <w:t>.</w:t>
            </w:r>
          </w:p>
          <w:p w14:paraId="1535FA5B" w14:textId="7BD0521D" w:rsidR="00496A09" w:rsidRPr="00D61480" w:rsidRDefault="00496A09" w:rsidP="004E0B95">
            <w:pPr>
              <w:numPr>
                <w:ilvl w:val="0"/>
                <w:numId w:val="43"/>
              </w:numPr>
              <w:jc w:val="left"/>
              <w:rPr>
                <w:rFonts w:ascii="Arial" w:hAnsi="Arial"/>
                <w:sz w:val="18"/>
                <w:szCs w:val="18"/>
              </w:rPr>
            </w:pPr>
            <w:r w:rsidRPr="00D61480">
              <w:rPr>
                <w:rFonts w:ascii="Arial" w:hAnsi="Arial"/>
                <w:sz w:val="18"/>
                <w:szCs w:val="18"/>
              </w:rPr>
              <w:t>Privacidad y seguridad</w:t>
            </w:r>
            <w:r w:rsidR="00E46078" w:rsidRPr="00D61480">
              <w:rPr>
                <w:rFonts w:ascii="Arial" w:hAnsi="Arial"/>
                <w:sz w:val="18"/>
                <w:szCs w:val="18"/>
              </w:rPr>
              <w:t>.</w:t>
            </w:r>
          </w:p>
          <w:p w14:paraId="52D24036" w14:textId="140AC265" w:rsidR="00496A09" w:rsidRPr="00D61480" w:rsidRDefault="00496A09" w:rsidP="004E0B95">
            <w:pPr>
              <w:numPr>
                <w:ilvl w:val="0"/>
                <w:numId w:val="43"/>
              </w:numPr>
              <w:jc w:val="left"/>
              <w:rPr>
                <w:rFonts w:ascii="Arial" w:hAnsi="Arial"/>
                <w:sz w:val="18"/>
                <w:szCs w:val="18"/>
              </w:rPr>
            </w:pPr>
            <w:r w:rsidRPr="00D61480">
              <w:rPr>
                <w:rFonts w:ascii="Arial" w:hAnsi="Arial"/>
                <w:sz w:val="18"/>
                <w:szCs w:val="18"/>
              </w:rPr>
              <w:t>Armonización de estándares</w:t>
            </w:r>
            <w:r w:rsidR="00E46078" w:rsidRPr="00D61480">
              <w:rPr>
                <w:rFonts w:ascii="Arial" w:hAnsi="Arial"/>
                <w:sz w:val="18"/>
                <w:szCs w:val="18"/>
              </w:rPr>
              <w:t>.</w:t>
            </w:r>
          </w:p>
          <w:p w14:paraId="66F63893" w14:textId="22CC55F8" w:rsidR="00496A09" w:rsidRPr="00D61480" w:rsidRDefault="00496A09" w:rsidP="004E0B95">
            <w:pPr>
              <w:numPr>
                <w:ilvl w:val="0"/>
                <w:numId w:val="43"/>
              </w:numPr>
              <w:jc w:val="left"/>
              <w:rPr>
                <w:rFonts w:ascii="Arial" w:hAnsi="Arial"/>
                <w:sz w:val="18"/>
                <w:szCs w:val="18"/>
                <w:lang w:val="es-CO"/>
              </w:rPr>
            </w:pPr>
            <w:r w:rsidRPr="00D61480">
              <w:rPr>
                <w:rFonts w:ascii="Arial" w:hAnsi="Arial"/>
                <w:sz w:val="18"/>
                <w:szCs w:val="18"/>
              </w:rPr>
              <w:t>Facilitar la competencia, los mercados y la innovación</w:t>
            </w:r>
            <w:r w:rsidR="00E46078" w:rsidRPr="00D61480">
              <w:rPr>
                <w:rFonts w:ascii="Arial" w:hAnsi="Arial"/>
                <w:sz w:val="18"/>
                <w:szCs w:val="18"/>
              </w:rPr>
              <w:t>.</w:t>
            </w:r>
          </w:p>
        </w:tc>
        <w:tc>
          <w:tcPr>
            <w:tcW w:w="444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EE53AE5" w14:textId="54DD0566" w:rsidR="00496A09" w:rsidRPr="00D61480" w:rsidRDefault="00496A09" w:rsidP="004E0B95">
            <w:pPr>
              <w:numPr>
                <w:ilvl w:val="0"/>
                <w:numId w:val="42"/>
              </w:numPr>
              <w:jc w:val="left"/>
              <w:rPr>
                <w:rFonts w:ascii="Arial" w:hAnsi="Arial"/>
                <w:sz w:val="18"/>
                <w:szCs w:val="18"/>
              </w:rPr>
            </w:pPr>
            <w:r w:rsidRPr="00D61480">
              <w:rPr>
                <w:rFonts w:ascii="Arial" w:hAnsi="Arial"/>
                <w:sz w:val="18"/>
                <w:szCs w:val="18"/>
              </w:rPr>
              <w:t>Tipo de dato</w:t>
            </w:r>
            <w:r w:rsidR="00E46078" w:rsidRPr="00D61480">
              <w:rPr>
                <w:rFonts w:ascii="Arial" w:hAnsi="Arial"/>
                <w:sz w:val="18"/>
                <w:szCs w:val="18"/>
              </w:rPr>
              <w:t>.</w:t>
            </w:r>
          </w:p>
          <w:p w14:paraId="0B110E5B" w14:textId="77777777" w:rsidR="00496A09" w:rsidRPr="00D61480" w:rsidRDefault="00496A09" w:rsidP="004E0B95">
            <w:pPr>
              <w:numPr>
                <w:ilvl w:val="1"/>
                <w:numId w:val="44"/>
              </w:numPr>
              <w:jc w:val="left"/>
              <w:rPr>
                <w:rFonts w:ascii="Arial" w:hAnsi="Arial"/>
                <w:sz w:val="18"/>
                <w:szCs w:val="18"/>
              </w:rPr>
            </w:pPr>
            <w:r w:rsidRPr="00D61480">
              <w:rPr>
                <w:rFonts w:ascii="Arial" w:hAnsi="Arial"/>
                <w:sz w:val="18"/>
                <w:szCs w:val="18"/>
              </w:rPr>
              <w:t>Tiempo real: topología, f, P, Q, estado activos, etc.</w:t>
            </w:r>
          </w:p>
          <w:p w14:paraId="28605E26" w14:textId="77777777" w:rsidR="00496A09" w:rsidRPr="00D61480" w:rsidRDefault="00496A09" w:rsidP="004E0B95">
            <w:pPr>
              <w:numPr>
                <w:ilvl w:val="1"/>
                <w:numId w:val="44"/>
              </w:numPr>
              <w:jc w:val="left"/>
              <w:rPr>
                <w:rFonts w:ascii="Arial" w:hAnsi="Arial"/>
                <w:sz w:val="18"/>
                <w:szCs w:val="18"/>
              </w:rPr>
            </w:pPr>
            <w:r w:rsidRPr="00D61480">
              <w:rPr>
                <w:rFonts w:ascii="Arial" w:hAnsi="Arial"/>
                <w:sz w:val="18"/>
                <w:szCs w:val="18"/>
              </w:rPr>
              <w:t>Planeación: programación de recursos, consignaciones, validación modelos, etc.</w:t>
            </w:r>
          </w:p>
          <w:p w14:paraId="1408AE46" w14:textId="3E2504AE" w:rsidR="00496A09" w:rsidRPr="00D61480" w:rsidRDefault="00496A09" w:rsidP="004E0B95">
            <w:pPr>
              <w:numPr>
                <w:ilvl w:val="1"/>
                <w:numId w:val="44"/>
              </w:numPr>
              <w:jc w:val="left"/>
              <w:rPr>
                <w:rFonts w:ascii="Arial" w:hAnsi="Arial"/>
                <w:sz w:val="18"/>
                <w:szCs w:val="18"/>
              </w:rPr>
            </w:pPr>
            <w:r w:rsidRPr="00D61480">
              <w:rPr>
                <w:rFonts w:ascii="Arial" w:hAnsi="Arial"/>
                <w:sz w:val="18"/>
                <w:szCs w:val="18"/>
              </w:rPr>
              <w:t>Estructural: características y atributos de los activos físicos y digitales (funcionamiento, modelación o simulación estática o dinámica)</w:t>
            </w:r>
            <w:r w:rsidR="00E46078" w:rsidRPr="00D61480">
              <w:rPr>
                <w:rFonts w:ascii="Arial" w:hAnsi="Arial"/>
                <w:sz w:val="18"/>
                <w:szCs w:val="18"/>
              </w:rPr>
              <w:t>.</w:t>
            </w:r>
          </w:p>
          <w:p w14:paraId="2C127E6F" w14:textId="2D314CE5" w:rsidR="00496A09" w:rsidRPr="00D61480" w:rsidRDefault="00496A09" w:rsidP="004E0B95">
            <w:pPr>
              <w:numPr>
                <w:ilvl w:val="0"/>
                <w:numId w:val="42"/>
              </w:numPr>
              <w:jc w:val="left"/>
              <w:rPr>
                <w:rFonts w:ascii="Arial" w:hAnsi="Arial"/>
                <w:sz w:val="18"/>
                <w:szCs w:val="18"/>
              </w:rPr>
            </w:pPr>
            <w:r w:rsidRPr="00D61480">
              <w:rPr>
                <w:rFonts w:ascii="Arial" w:hAnsi="Arial"/>
                <w:sz w:val="18"/>
                <w:szCs w:val="18"/>
              </w:rPr>
              <w:t>Frecuencia de datos</w:t>
            </w:r>
            <w:r w:rsidR="00E46078" w:rsidRPr="00D61480">
              <w:rPr>
                <w:rFonts w:ascii="Arial" w:hAnsi="Arial"/>
                <w:sz w:val="18"/>
                <w:szCs w:val="18"/>
              </w:rPr>
              <w:t>.</w:t>
            </w:r>
          </w:p>
          <w:p w14:paraId="5C893B58" w14:textId="575FC42F" w:rsidR="00496A09" w:rsidRPr="00D61480" w:rsidRDefault="00496A09" w:rsidP="004E0B95">
            <w:pPr>
              <w:numPr>
                <w:ilvl w:val="0"/>
                <w:numId w:val="42"/>
              </w:numPr>
              <w:jc w:val="left"/>
              <w:rPr>
                <w:rFonts w:ascii="Arial" w:hAnsi="Arial"/>
                <w:sz w:val="18"/>
                <w:szCs w:val="18"/>
              </w:rPr>
            </w:pPr>
            <w:r w:rsidRPr="00D61480">
              <w:rPr>
                <w:rFonts w:ascii="Arial" w:hAnsi="Arial"/>
                <w:sz w:val="18"/>
                <w:szCs w:val="18"/>
              </w:rPr>
              <w:t>Volumen o granularidad de los datos</w:t>
            </w:r>
            <w:r w:rsidR="00E46078" w:rsidRPr="00D61480">
              <w:rPr>
                <w:rFonts w:ascii="Arial" w:hAnsi="Arial"/>
                <w:sz w:val="18"/>
                <w:szCs w:val="18"/>
              </w:rPr>
              <w:t>.</w:t>
            </w:r>
          </w:p>
        </w:tc>
      </w:tr>
    </w:tbl>
    <w:p w14:paraId="4FC0DDCD" w14:textId="77777777" w:rsidR="00496A09" w:rsidRPr="00D61480" w:rsidRDefault="00496A09" w:rsidP="00496A09">
      <w:pPr>
        <w:jc w:val="center"/>
        <w:rPr>
          <w:rFonts w:ascii="Arial" w:hAnsi="Arial"/>
          <w:sz w:val="16"/>
          <w:szCs w:val="16"/>
          <w:lang w:val="es-CO" w:eastAsia="en-US"/>
        </w:rPr>
      </w:pPr>
      <w:r w:rsidRPr="00D61480">
        <w:rPr>
          <w:rFonts w:ascii="Arial" w:hAnsi="Arial"/>
          <w:sz w:val="16"/>
          <w:szCs w:val="16"/>
        </w:rPr>
        <w:t>Tabla 6. Principios y requerimientos de datos</w:t>
      </w:r>
    </w:p>
    <w:p w14:paraId="3509D3F8" w14:textId="77777777" w:rsidR="00496A09" w:rsidRPr="00D61480" w:rsidRDefault="00496A09" w:rsidP="00496A09">
      <w:pPr>
        <w:jc w:val="center"/>
        <w:rPr>
          <w:rFonts w:ascii="Arial" w:hAnsi="Arial"/>
          <w:sz w:val="16"/>
          <w:szCs w:val="16"/>
        </w:rPr>
      </w:pPr>
      <w:r w:rsidRPr="00D61480">
        <w:rPr>
          <w:rFonts w:ascii="Arial" w:hAnsi="Arial"/>
          <w:sz w:val="16"/>
          <w:szCs w:val="16"/>
        </w:rPr>
        <w:t xml:space="preserve">Fuente: Colombia Inteligente (adaptado de </w:t>
      </w:r>
      <w:r w:rsidRPr="00D61480">
        <w:rPr>
          <w:rFonts w:ascii="Arial" w:hAnsi="Arial"/>
          <w:b/>
          <w:bCs/>
          <w:sz w:val="16"/>
          <w:szCs w:val="16"/>
        </w:rPr>
        <w:t xml:space="preserve">TDX-ASSIT </w:t>
      </w:r>
      <w:proofErr w:type="spellStart"/>
      <w:r w:rsidRPr="00D61480">
        <w:rPr>
          <w:rFonts w:ascii="Arial" w:hAnsi="Arial"/>
          <w:b/>
          <w:bCs/>
          <w:sz w:val="16"/>
          <w:szCs w:val="16"/>
        </w:rPr>
        <w:t>project</w:t>
      </w:r>
      <w:proofErr w:type="spellEnd"/>
      <w:r w:rsidRPr="00D61480">
        <w:rPr>
          <w:rFonts w:ascii="Arial" w:hAnsi="Arial"/>
          <w:b/>
          <w:bCs/>
          <w:sz w:val="16"/>
          <w:szCs w:val="16"/>
        </w:rPr>
        <w:t xml:space="preserve"> (2017) </w:t>
      </w:r>
    </w:p>
    <w:p w14:paraId="5515AA68" w14:textId="77777777" w:rsidR="00496A09" w:rsidRPr="00D61480" w:rsidRDefault="00496A09" w:rsidP="00496A09">
      <w:pPr>
        <w:rPr>
          <w:rFonts w:asciiTheme="minorHAnsi" w:hAnsiTheme="minorHAnsi" w:cstheme="minorBidi"/>
          <w:bCs/>
          <w:sz w:val="20"/>
          <w:szCs w:val="20"/>
        </w:rPr>
      </w:pPr>
    </w:p>
    <w:p w14:paraId="3B374567" w14:textId="6432AFA7" w:rsidR="00496A09" w:rsidRPr="00D61480" w:rsidRDefault="00496A09" w:rsidP="00496A09">
      <w:pPr>
        <w:rPr>
          <w:rFonts w:ascii="Arial" w:hAnsi="Arial"/>
          <w:sz w:val="20"/>
          <w:szCs w:val="20"/>
          <w:lang w:val="es-CO"/>
        </w:rPr>
      </w:pPr>
      <w:r w:rsidRPr="00D61480">
        <w:rPr>
          <w:rFonts w:ascii="Arial" w:hAnsi="Arial"/>
          <w:sz w:val="20"/>
          <w:szCs w:val="20"/>
        </w:rPr>
        <w:t>De otro lado</w:t>
      </w:r>
      <w:r w:rsidR="00E46078" w:rsidRPr="00D61480">
        <w:rPr>
          <w:rFonts w:ascii="Arial" w:hAnsi="Arial"/>
          <w:sz w:val="20"/>
          <w:szCs w:val="20"/>
        </w:rPr>
        <w:t>,</w:t>
      </w:r>
      <w:r w:rsidRPr="00D61480">
        <w:rPr>
          <w:rFonts w:ascii="Arial" w:hAnsi="Arial"/>
          <w:sz w:val="20"/>
          <w:szCs w:val="20"/>
        </w:rPr>
        <w:t xml:space="preserve"> la supervisión requiere definir la observabilidad de las plantas de generación fotovoltaicas y eólicas al SDL</w:t>
      </w:r>
      <w:r w:rsidR="00E46078" w:rsidRPr="00D61480">
        <w:rPr>
          <w:rFonts w:ascii="Arial" w:hAnsi="Arial"/>
          <w:sz w:val="20"/>
          <w:szCs w:val="20"/>
        </w:rPr>
        <w:t>,</w:t>
      </w:r>
      <w:r w:rsidRPr="00D61480">
        <w:rPr>
          <w:rFonts w:ascii="Arial" w:hAnsi="Arial"/>
          <w:sz w:val="20"/>
          <w:szCs w:val="20"/>
        </w:rPr>
        <w:t xml:space="preserve"> debe acompañarse con la topología, las variables de medidas y la frecuencia de monitoreo</w:t>
      </w:r>
      <w:r w:rsidR="00E46078" w:rsidRPr="00D61480">
        <w:rPr>
          <w:rFonts w:ascii="Arial" w:hAnsi="Arial"/>
          <w:sz w:val="20"/>
          <w:szCs w:val="20"/>
        </w:rPr>
        <w:t>,</w:t>
      </w:r>
      <w:r w:rsidRPr="00D61480">
        <w:rPr>
          <w:rFonts w:ascii="Arial" w:hAnsi="Arial"/>
          <w:sz w:val="20"/>
          <w:szCs w:val="20"/>
        </w:rPr>
        <w:t xml:space="preserve"> que permitan la adecuada planeación y operación de todos los recursos de energía distribuida. Ver Tabla 7</w:t>
      </w:r>
      <w:r w:rsidR="00E46078" w:rsidRPr="00D61480">
        <w:rPr>
          <w:rFonts w:ascii="Arial" w:hAnsi="Arial"/>
          <w:sz w:val="20"/>
          <w:szCs w:val="20"/>
        </w:rPr>
        <w:t>,</w:t>
      </w:r>
      <w:r w:rsidRPr="00D61480">
        <w:rPr>
          <w:rFonts w:ascii="Arial" w:hAnsi="Arial"/>
          <w:sz w:val="20"/>
          <w:szCs w:val="20"/>
        </w:rPr>
        <w:t xml:space="preserve"> donde se describe el suministro de datos requeridos para la observabilidad local del DSO y la observabilidad remota del TSO.</w:t>
      </w:r>
    </w:p>
    <w:tbl>
      <w:tblPr>
        <w:tblW w:w="88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23"/>
        <w:gridCol w:w="2223"/>
        <w:gridCol w:w="2223"/>
        <w:gridCol w:w="2223"/>
      </w:tblGrid>
      <w:tr w:rsidR="00496A09" w:rsidRPr="00D61480" w14:paraId="3B42CFB3" w14:textId="77777777" w:rsidTr="00496A09">
        <w:trPr>
          <w:trHeight w:val="13"/>
          <w:jc w:val="right"/>
        </w:trPr>
        <w:tc>
          <w:tcPr>
            <w:tcW w:w="22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E98E3EB" w14:textId="77777777" w:rsidR="00496A09" w:rsidRPr="00D61480" w:rsidRDefault="00496A09">
            <w:pPr>
              <w:jc w:val="center"/>
              <w:rPr>
                <w:rFonts w:ascii="Arial" w:hAnsi="Arial"/>
                <w:b/>
                <w:bCs/>
                <w:sz w:val="18"/>
                <w:szCs w:val="18"/>
              </w:rPr>
            </w:pPr>
            <w:r w:rsidRPr="00D61480">
              <w:rPr>
                <w:rFonts w:ascii="Arial" w:hAnsi="Arial"/>
                <w:b/>
                <w:bCs/>
                <w:sz w:val="18"/>
                <w:szCs w:val="18"/>
              </w:rPr>
              <w:lastRenderedPageBreak/>
              <w:t>Estructural</w:t>
            </w:r>
          </w:p>
        </w:tc>
        <w:tc>
          <w:tcPr>
            <w:tcW w:w="22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A6CA880" w14:textId="77777777" w:rsidR="00496A09" w:rsidRPr="00D61480" w:rsidRDefault="00496A09">
            <w:pPr>
              <w:jc w:val="center"/>
              <w:rPr>
                <w:rFonts w:ascii="Arial" w:hAnsi="Arial"/>
                <w:b/>
                <w:bCs/>
                <w:sz w:val="18"/>
                <w:szCs w:val="18"/>
              </w:rPr>
            </w:pPr>
            <w:r w:rsidRPr="00D61480">
              <w:rPr>
                <w:rFonts w:ascii="Arial" w:hAnsi="Arial"/>
                <w:b/>
                <w:bCs/>
                <w:sz w:val="18"/>
                <w:szCs w:val="18"/>
              </w:rPr>
              <w:t>Planeación – Programación recursos</w:t>
            </w:r>
          </w:p>
        </w:tc>
        <w:tc>
          <w:tcPr>
            <w:tcW w:w="22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58939B3" w14:textId="77777777" w:rsidR="00496A09" w:rsidRPr="00D61480" w:rsidRDefault="00496A09">
            <w:pPr>
              <w:jc w:val="center"/>
              <w:rPr>
                <w:rFonts w:ascii="Arial" w:hAnsi="Arial"/>
                <w:b/>
                <w:bCs/>
                <w:sz w:val="18"/>
                <w:szCs w:val="18"/>
              </w:rPr>
            </w:pPr>
            <w:r w:rsidRPr="00D61480">
              <w:rPr>
                <w:rFonts w:ascii="Arial" w:hAnsi="Arial"/>
                <w:b/>
                <w:bCs/>
                <w:sz w:val="18"/>
                <w:szCs w:val="18"/>
              </w:rPr>
              <w:t>Tiempo Real</w:t>
            </w:r>
          </w:p>
        </w:tc>
        <w:tc>
          <w:tcPr>
            <w:tcW w:w="2223" w:type="dxa"/>
            <w:tcBorders>
              <w:top w:val="single" w:sz="4" w:space="0" w:color="auto"/>
              <w:left w:val="single" w:sz="4" w:space="0" w:color="auto"/>
              <w:bottom w:val="single" w:sz="4" w:space="0" w:color="auto"/>
              <w:right w:val="single" w:sz="4" w:space="0" w:color="auto"/>
            </w:tcBorders>
            <w:vAlign w:val="center"/>
            <w:hideMark/>
          </w:tcPr>
          <w:p w14:paraId="6C7763F6" w14:textId="77777777" w:rsidR="00496A09" w:rsidRPr="00D61480" w:rsidRDefault="00496A09">
            <w:pPr>
              <w:jc w:val="center"/>
              <w:rPr>
                <w:rFonts w:ascii="Arial" w:hAnsi="Arial"/>
                <w:b/>
                <w:bCs/>
                <w:sz w:val="18"/>
                <w:szCs w:val="18"/>
              </w:rPr>
            </w:pPr>
            <w:r w:rsidRPr="00D61480">
              <w:rPr>
                <w:rFonts w:ascii="Arial" w:hAnsi="Arial"/>
                <w:b/>
                <w:bCs/>
                <w:sz w:val="18"/>
                <w:szCs w:val="18"/>
              </w:rPr>
              <w:t>Observabilidad</w:t>
            </w:r>
          </w:p>
        </w:tc>
      </w:tr>
      <w:tr w:rsidR="00496A09" w:rsidRPr="00D61480" w14:paraId="332A6ACE" w14:textId="77777777" w:rsidTr="00496A09">
        <w:trPr>
          <w:trHeight w:val="524"/>
          <w:jc w:val="right"/>
        </w:trPr>
        <w:tc>
          <w:tcPr>
            <w:tcW w:w="22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D26DF45" w14:textId="5B0AF3A7"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Topología S</w:t>
            </w:r>
            <w:r w:rsidR="00E46078" w:rsidRPr="00D61480">
              <w:rPr>
                <w:rFonts w:ascii="Arial" w:hAnsi="Arial"/>
                <w:sz w:val="18"/>
                <w:szCs w:val="18"/>
              </w:rPr>
              <w:t>ubestación</w:t>
            </w:r>
            <w:r w:rsidRPr="00D61480">
              <w:rPr>
                <w:rFonts w:ascii="Arial" w:hAnsi="Arial"/>
                <w:sz w:val="18"/>
                <w:szCs w:val="18"/>
              </w:rPr>
              <w:t xml:space="preserve"> por nivel de tensión</w:t>
            </w:r>
            <w:r w:rsidR="00E46078" w:rsidRPr="00D61480">
              <w:rPr>
                <w:rFonts w:ascii="Arial" w:hAnsi="Arial"/>
                <w:sz w:val="18"/>
                <w:szCs w:val="18"/>
              </w:rPr>
              <w:t>.</w:t>
            </w:r>
          </w:p>
          <w:p w14:paraId="27501A5B" w14:textId="46551C37"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Dato técnico de las redes</w:t>
            </w:r>
            <w:r w:rsidR="00E46078" w:rsidRPr="00D61480">
              <w:rPr>
                <w:rFonts w:ascii="Arial" w:hAnsi="Arial"/>
                <w:sz w:val="18"/>
                <w:szCs w:val="18"/>
              </w:rPr>
              <w:t>.</w:t>
            </w:r>
          </w:p>
          <w:p w14:paraId="470FE90E" w14:textId="4A283356"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Variables modelación transformadores</w:t>
            </w:r>
            <w:r w:rsidR="00E46078" w:rsidRPr="00D61480">
              <w:rPr>
                <w:rFonts w:ascii="Arial" w:hAnsi="Arial"/>
                <w:sz w:val="18"/>
                <w:szCs w:val="18"/>
              </w:rPr>
              <w:t>.</w:t>
            </w:r>
          </w:p>
          <w:p w14:paraId="486C8950" w14:textId="03463D6B"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Variables de P/Q máxima y mínima de los activos de generación</w:t>
            </w:r>
            <w:r w:rsidR="00E46078" w:rsidRPr="00D61480">
              <w:rPr>
                <w:rFonts w:ascii="Arial" w:hAnsi="Arial"/>
                <w:sz w:val="18"/>
                <w:szCs w:val="18"/>
              </w:rPr>
              <w:t>.</w:t>
            </w:r>
          </w:p>
          <w:p w14:paraId="06DCA9FE" w14:textId="2673B219"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Dato técnico almacenamiento -SAEB</w:t>
            </w:r>
            <w:r w:rsidR="00E46078" w:rsidRPr="00D61480">
              <w:rPr>
                <w:rFonts w:ascii="Arial" w:hAnsi="Arial"/>
                <w:sz w:val="18"/>
                <w:szCs w:val="18"/>
              </w:rPr>
              <w:t>.</w:t>
            </w:r>
          </w:p>
          <w:p w14:paraId="5A722646" w14:textId="3F842CF8"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Dato técnico FACTS</w:t>
            </w:r>
            <w:r w:rsidR="00E46078" w:rsidRPr="00D61480">
              <w:rPr>
                <w:rFonts w:ascii="Arial" w:hAnsi="Arial"/>
                <w:sz w:val="18"/>
                <w:szCs w:val="18"/>
              </w:rPr>
              <w:t>.</w:t>
            </w:r>
          </w:p>
          <w:p w14:paraId="683343B0" w14:textId="4CBDEF4C"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Dato técnico HVDC</w:t>
            </w:r>
            <w:r w:rsidR="00E46078" w:rsidRPr="00D61480">
              <w:rPr>
                <w:rFonts w:ascii="Arial" w:hAnsi="Arial"/>
                <w:sz w:val="18"/>
                <w:szCs w:val="18"/>
              </w:rPr>
              <w:t>.</w:t>
            </w:r>
          </w:p>
          <w:p w14:paraId="11B8A53C" w14:textId="2D922235"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Límites de seguridad para la operación</w:t>
            </w:r>
            <w:r w:rsidR="00E46078" w:rsidRPr="00D61480">
              <w:rPr>
                <w:rFonts w:ascii="Arial" w:hAnsi="Arial"/>
                <w:sz w:val="18"/>
                <w:szCs w:val="18"/>
              </w:rPr>
              <w:t>.</w:t>
            </w:r>
          </w:p>
          <w:p w14:paraId="73A7B0A8" w14:textId="5A371ECC"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Listado de contingencias</w:t>
            </w:r>
            <w:r w:rsidR="00E46078" w:rsidRPr="00D61480">
              <w:rPr>
                <w:rFonts w:ascii="Arial" w:hAnsi="Arial"/>
                <w:sz w:val="18"/>
                <w:szCs w:val="18"/>
              </w:rPr>
              <w:t>.</w:t>
            </w:r>
          </w:p>
        </w:tc>
        <w:tc>
          <w:tcPr>
            <w:tcW w:w="22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3311046" w14:textId="0FA56642"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Generación P/Q disponibilidad y reservas, consignaciones -indisponibilidades</w:t>
            </w:r>
            <w:r w:rsidR="00E46078" w:rsidRPr="00D61480">
              <w:rPr>
                <w:rFonts w:ascii="Arial" w:hAnsi="Arial"/>
                <w:sz w:val="18"/>
                <w:szCs w:val="18"/>
              </w:rPr>
              <w:t>.</w:t>
            </w:r>
          </w:p>
          <w:p w14:paraId="0C4A0EFF" w14:textId="77777777"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FACTS P/Q disponibilidad y reservas, consignaciones -indisponibilidades- y restricciones en la capacidad de control de Q/V.</w:t>
            </w:r>
          </w:p>
          <w:p w14:paraId="102DFDA5" w14:textId="4BF96409"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Reporte de cambios</w:t>
            </w:r>
            <w:r w:rsidR="00E46078" w:rsidRPr="00D61480">
              <w:rPr>
                <w:rFonts w:ascii="Arial" w:hAnsi="Arial"/>
                <w:sz w:val="18"/>
                <w:szCs w:val="18"/>
              </w:rPr>
              <w:t>.</w:t>
            </w:r>
          </w:p>
          <w:p w14:paraId="4F686578" w14:textId="397F944C"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Ajuste de protecciones</w:t>
            </w:r>
            <w:r w:rsidR="00E46078" w:rsidRPr="00D61480">
              <w:rPr>
                <w:rFonts w:ascii="Arial" w:hAnsi="Arial"/>
                <w:sz w:val="18"/>
                <w:szCs w:val="18"/>
              </w:rPr>
              <w:t>.</w:t>
            </w:r>
          </w:p>
          <w:p w14:paraId="73098292" w14:textId="6E68F814"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Límites térmicos</w:t>
            </w:r>
            <w:r w:rsidR="00E46078" w:rsidRPr="00D61480">
              <w:rPr>
                <w:rFonts w:ascii="Arial" w:hAnsi="Arial"/>
                <w:sz w:val="18"/>
                <w:szCs w:val="18"/>
              </w:rPr>
              <w:t>.</w:t>
            </w:r>
          </w:p>
          <w:p w14:paraId="4EE3189E" w14:textId="4C021A9D"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Capacidades de interconexión</w:t>
            </w:r>
            <w:r w:rsidR="00E46078" w:rsidRPr="00D61480">
              <w:rPr>
                <w:rFonts w:ascii="Arial" w:hAnsi="Arial"/>
                <w:sz w:val="18"/>
                <w:szCs w:val="18"/>
              </w:rPr>
              <w:t>.</w:t>
            </w:r>
          </w:p>
        </w:tc>
        <w:tc>
          <w:tcPr>
            <w:tcW w:w="22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9344FB8" w14:textId="65410359"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P/Q</w:t>
            </w:r>
            <w:r w:rsidR="00E46078" w:rsidRPr="00D61480">
              <w:rPr>
                <w:rFonts w:ascii="Arial" w:hAnsi="Arial"/>
                <w:sz w:val="18"/>
                <w:szCs w:val="18"/>
              </w:rPr>
              <w:t>.</w:t>
            </w:r>
            <w:r w:rsidRPr="00D61480">
              <w:rPr>
                <w:rFonts w:ascii="Arial" w:hAnsi="Arial"/>
                <w:sz w:val="18"/>
                <w:szCs w:val="18"/>
              </w:rPr>
              <w:t xml:space="preserve"> </w:t>
            </w:r>
          </w:p>
          <w:p w14:paraId="66E33C61" w14:textId="07C3E2EA"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Capacidad de control Q</w:t>
            </w:r>
            <w:r w:rsidR="00E46078" w:rsidRPr="00D61480">
              <w:rPr>
                <w:rFonts w:ascii="Arial" w:hAnsi="Arial"/>
                <w:sz w:val="18"/>
                <w:szCs w:val="18"/>
              </w:rPr>
              <w:t>.</w:t>
            </w:r>
          </w:p>
          <w:p w14:paraId="36903CDD" w14:textId="00E4D160"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Estado interruptor punto de conexión</w:t>
            </w:r>
            <w:r w:rsidR="00E46078" w:rsidRPr="00D61480">
              <w:rPr>
                <w:rFonts w:ascii="Arial" w:hAnsi="Arial"/>
                <w:sz w:val="18"/>
                <w:szCs w:val="18"/>
              </w:rPr>
              <w:t>.</w:t>
            </w:r>
          </w:p>
        </w:tc>
        <w:tc>
          <w:tcPr>
            <w:tcW w:w="2223" w:type="dxa"/>
            <w:tcBorders>
              <w:top w:val="single" w:sz="4" w:space="0" w:color="auto"/>
              <w:left w:val="single" w:sz="4" w:space="0" w:color="auto"/>
              <w:bottom w:val="single" w:sz="4" w:space="0" w:color="auto"/>
              <w:right w:val="single" w:sz="4" w:space="0" w:color="auto"/>
            </w:tcBorders>
            <w:hideMark/>
          </w:tcPr>
          <w:p w14:paraId="567BCC24" w14:textId="77777777" w:rsidR="00496A09" w:rsidRPr="00D61480" w:rsidRDefault="00496A09" w:rsidP="004E0B95">
            <w:pPr>
              <w:numPr>
                <w:ilvl w:val="0"/>
                <w:numId w:val="45"/>
              </w:numPr>
              <w:jc w:val="left"/>
              <w:rPr>
                <w:rFonts w:ascii="Arial" w:hAnsi="Arial"/>
                <w:sz w:val="18"/>
                <w:szCs w:val="18"/>
                <w:lang w:val="es-CO"/>
              </w:rPr>
            </w:pPr>
            <w:r w:rsidRPr="00D61480">
              <w:rPr>
                <w:rFonts w:ascii="Arial" w:hAnsi="Arial"/>
                <w:sz w:val="18"/>
                <w:szCs w:val="18"/>
              </w:rPr>
              <w:t>Generación -tamaño-</w:t>
            </w:r>
          </w:p>
          <w:p w14:paraId="66536375" w14:textId="77777777"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Carga -tamaño-</w:t>
            </w:r>
          </w:p>
          <w:p w14:paraId="281B6C4D" w14:textId="0A2A655F"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Programación</w:t>
            </w:r>
            <w:r w:rsidR="00E46078" w:rsidRPr="00D61480">
              <w:rPr>
                <w:rFonts w:ascii="Arial" w:hAnsi="Arial"/>
                <w:sz w:val="18"/>
                <w:szCs w:val="18"/>
              </w:rPr>
              <w:t>.</w:t>
            </w:r>
          </w:p>
          <w:p w14:paraId="3F1695EC" w14:textId="177FAC01"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Posición de balance</w:t>
            </w:r>
            <w:r w:rsidR="00E46078" w:rsidRPr="00D61480">
              <w:rPr>
                <w:rFonts w:ascii="Arial" w:hAnsi="Arial"/>
                <w:sz w:val="18"/>
                <w:szCs w:val="18"/>
              </w:rPr>
              <w:t>.</w:t>
            </w:r>
          </w:p>
          <w:p w14:paraId="6082514E" w14:textId="4CA74758"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Consignaciones y topologías de S</w:t>
            </w:r>
            <w:r w:rsidR="00E46078" w:rsidRPr="00D61480">
              <w:rPr>
                <w:rFonts w:ascii="Arial" w:hAnsi="Arial"/>
                <w:sz w:val="18"/>
                <w:szCs w:val="18"/>
              </w:rPr>
              <w:t>ubestaciones.</w:t>
            </w:r>
          </w:p>
          <w:p w14:paraId="0275FD9F" w14:textId="4868E31E"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Pronósticos</w:t>
            </w:r>
            <w:r w:rsidR="00E46078" w:rsidRPr="00D61480">
              <w:rPr>
                <w:rFonts w:ascii="Arial" w:hAnsi="Arial"/>
                <w:sz w:val="18"/>
                <w:szCs w:val="18"/>
              </w:rPr>
              <w:t>.</w:t>
            </w:r>
          </w:p>
          <w:p w14:paraId="038F7FE7" w14:textId="77777777" w:rsidR="00496A09" w:rsidRPr="00D61480" w:rsidRDefault="00496A09" w:rsidP="004E0B95">
            <w:pPr>
              <w:numPr>
                <w:ilvl w:val="0"/>
                <w:numId w:val="45"/>
              </w:numPr>
              <w:jc w:val="left"/>
              <w:rPr>
                <w:rFonts w:ascii="Arial" w:hAnsi="Arial"/>
                <w:sz w:val="18"/>
                <w:szCs w:val="18"/>
              </w:rPr>
            </w:pPr>
            <w:r w:rsidRPr="00D61480">
              <w:rPr>
                <w:rFonts w:ascii="Arial" w:hAnsi="Arial"/>
                <w:sz w:val="18"/>
                <w:szCs w:val="18"/>
              </w:rPr>
              <w:t>Descripción de inyecciones o retiros por barra.</w:t>
            </w:r>
          </w:p>
        </w:tc>
      </w:tr>
    </w:tbl>
    <w:p w14:paraId="7D503FE8" w14:textId="77777777" w:rsidR="00496A09" w:rsidRPr="00D61480" w:rsidRDefault="00496A09" w:rsidP="00496A09">
      <w:pPr>
        <w:jc w:val="center"/>
        <w:rPr>
          <w:rFonts w:ascii="Arial" w:hAnsi="Arial"/>
          <w:sz w:val="16"/>
          <w:szCs w:val="16"/>
          <w:lang w:val="es-CO" w:eastAsia="en-US"/>
        </w:rPr>
      </w:pPr>
      <w:r w:rsidRPr="00D61480">
        <w:rPr>
          <w:rFonts w:ascii="Arial" w:hAnsi="Arial"/>
          <w:sz w:val="16"/>
          <w:szCs w:val="16"/>
        </w:rPr>
        <w:t>Tabla 7. Requerimientos - DSO</w:t>
      </w:r>
    </w:p>
    <w:p w14:paraId="0AB0AB7F" w14:textId="77777777" w:rsidR="00496A09" w:rsidRPr="00D61480" w:rsidRDefault="00496A09" w:rsidP="00496A09">
      <w:pPr>
        <w:jc w:val="center"/>
        <w:rPr>
          <w:rFonts w:ascii="Arial" w:hAnsi="Arial"/>
          <w:sz w:val="16"/>
          <w:szCs w:val="16"/>
        </w:rPr>
      </w:pPr>
      <w:r w:rsidRPr="00D61480">
        <w:rPr>
          <w:rFonts w:ascii="Arial" w:hAnsi="Arial"/>
          <w:sz w:val="16"/>
          <w:szCs w:val="16"/>
        </w:rPr>
        <w:t>Fuente: Colombia Inteligente</w:t>
      </w:r>
    </w:p>
    <w:p w14:paraId="36AFDAEA" w14:textId="77777777" w:rsidR="00496A09" w:rsidRPr="00D61480" w:rsidRDefault="00496A09" w:rsidP="00496A09">
      <w:pPr>
        <w:jc w:val="center"/>
        <w:rPr>
          <w:rFonts w:asciiTheme="minorHAnsi" w:hAnsiTheme="minorHAnsi" w:cstheme="minorBidi"/>
          <w:sz w:val="16"/>
          <w:szCs w:val="16"/>
        </w:rPr>
      </w:pPr>
    </w:p>
    <w:p w14:paraId="136E0A31" w14:textId="3707F25F" w:rsidR="00496A09" w:rsidRPr="00D61480" w:rsidRDefault="00496A09" w:rsidP="00496A09">
      <w:pPr>
        <w:rPr>
          <w:rFonts w:ascii="Arial" w:hAnsi="Arial"/>
          <w:sz w:val="20"/>
          <w:szCs w:val="20"/>
        </w:rPr>
      </w:pPr>
      <w:r w:rsidRPr="00D61480">
        <w:rPr>
          <w:rFonts w:ascii="Arial" w:hAnsi="Arial"/>
          <w:sz w:val="20"/>
          <w:szCs w:val="20"/>
        </w:rPr>
        <w:t>El intercambio de datos para la supervisión acorde con la segmentación de las plantas se prevé por cada segmento de plantas (ver Tabla 8):</w:t>
      </w:r>
    </w:p>
    <w:p w14:paraId="7F89C2B4" w14:textId="77777777" w:rsidR="00496A09" w:rsidRPr="00D61480" w:rsidRDefault="00496A09" w:rsidP="00496A09">
      <w:pPr>
        <w:jc w:val="center"/>
        <w:rPr>
          <w:rFonts w:ascii="Arial" w:hAnsi="Arial"/>
          <w:sz w:val="20"/>
          <w:szCs w:val="20"/>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10"/>
        <w:gridCol w:w="2344"/>
        <w:gridCol w:w="1466"/>
        <w:gridCol w:w="1486"/>
        <w:gridCol w:w="1487"/>
        <w:gridCol w:w="1487"/>
      </w:tblGrid>
      <w:tr w:rsidR="00496A09" w:rsidRPr="00D61480" w14:paraId="3150291C" w14:textId="77777777" w:rsidTr="00496A09">
        <w:trPr>
          <w:trHeight w:val="188"/>
          <w:tblHeader/>
          <w:jc w:val="center"/>
        </w:trPr>
        <w:tc>
          <w:tcPr>
            <w:tcW w:w="141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2FF697A" w14:textId="77777777" w:rsidR="00496A09" w:rsidRPr="00D61480" w:rsidRDefault="00496A09">
            <w:pPr>
              <w:jc w:val="center"/>
              <w:rPr>
                <w:rFonts w:ascii="Arial" w:hAnsi="Arial"/>
                <w:b/>
                <w:bCs/>
                <w:sz w:val="18"/>
                <w:szCs w:val="18"/>
              </w:rPr>
            </w:pPr>
            <w:r w:rsidRPr="00D61480">
              <w:rPr>
                <w:rFonts w:ascii="Arial" w:hAnsi="Arial"/>
                <w:b/>
                <w:bCs/>
                <w:sz w:val="18"/>
                <w:szCs w:val="18"/>
              </w:rPr>
              <w:t>Tipo de dato</w:t>
            </w:r>
          </w:p>
        </w:tc>
        <w:tc>
          <w:tcPr>
            <w:tcW w:w="23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B7E5159" w14:textId="77777777" w:rsidR="00496A09" w:rsidRPr="00D61480" w:rsidRDefault="00496A09">
            <w:pPr>
              <w:jc w:val="center"/>
              <w:rPr>
                <w:rFonts w:ascii="Arial" w:hAnsi="Arial"/>
                <w:b/>
                <w:bCs/>
                <w:sz w:val="18"/>
                <w:szCs w:val="18"/>
              </w:rPr>
            </w:pPr>
            <w:r w:rsidRPr="00D61480">
              <w:rPr>
                <w:rFonts w:ascii="Arial" w:hAnsi="Arial"/>
                <w:b/>
                <w:bCs/>
                <w:sz w:val="18"/>
                <w:szCs w:val="18"/>
              </w:rPr>
              <w:t>Descripción **</w:t>
            </w:r>
          </w:p>
        </w:tc>
        <w:tc>
          <w:tcPr>
            <w:tcW w:w="14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803AFFB" w14:textId="24DA78EA" w:rsidR="00496A09" w:rsidRPr="00D61480" w:rsidRDefault="00496A09">
            <w:pPr>
              <w:jc w:val="center"/>
              <w:rPr>
                <w:rFonts w:ascii="Arial" w:hAnsi="Arial"/>
                <w:b/>
                <w:bCs/>
                <w:sz w:val="18"/>
                <w:szCs w:val="18"/>
              </w:rPr>
            </w:pPr>
            <w:r w:rsidRPr="00D61480">
              <w:rPr>
                <w:rFonts w:ascii="Arial" w:hAnsi="Arial"/>
                <w:b/>
                <w:bCs/>
                <w:sz w:val="18"/>
                <w:szCs w:val="18"/>
              </w:rPr>
              <w:t>0 – 0</w:t>
            </w:r>
            <w:r w:rsidR="00E46078" w:rsidRPr="00D61480">
              <w:rPr>
                <w:rFonts w:ascii="Arial" w:hAnsi="Arial"/>
                <w:b/>
                <w:bCs/>
                <w:sz w:val="18"/>
                <w:szCs w:val="18"/>
              </w:rPr>
              <w:t>.</w:t>
            </w:r>
            <w:r w:rsidRPr="00D61480">
              <w:rPr>
                <w:rFonts w:ascii="Arial" w:hAnsi="Arial"/>
                <w:b/>
                <w:bCs/>
                <w:sz w:val="18"/>
                <w:szCs w:val="18"/>
              </w:rPr>
              <w:t>25 MW</w:t>
            </w:r>
          </w:p>
        </w:tc>
        <w:tc>
          <w:tcPr>
            <w:tcW w:w="14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082F259" w14:textId="574CB4B7" w:rsidR="00496A09" w:rsidRPr="00D61480" w:rsidRDefault="00496A09">
            <w:pPr>
              <w:jc w:val="center"/>
              <w:rPr>
                <w:rFonts w:ascii="Arial" w:hAnsi="Arial"/>
                <w:b/>
                <w:bCs/>
                <w:sz w:val="18"/>
                <w:szCs w:val="18"/>
              </w:rPr>
            </w:pPr>
            <w:r w:rsidRPr="00D61480">
              <w:rPr>
                <w:rFonts w:ascii="Arial" w:hAnsi="Arial"/>
                <w:b/>
                <w:bCs/>
                <w:sz w:val="18"/>
                <w:szCs w:val="18"/>
              </w:rPr>
              <w:t>0</w:t>
            </w:r>
            <w:r w:rsidR="00E46078" w:rsidRPr="00D61480">
              <w:rPr>
                <w:rFonts w:ascii="Arial" w:hAnsi="Arial"/>
                <w:b/>
                <w:bCs/>
                <w:sz w:val="18"/>
                <w:szCs w:val="18"/>
              </w:rPr>
              <w:t>.</w:t>
            </w:r>
            <w:r w:rsidRPr="00D61480">
              <w:rPr>
                <w:rFonts w:ascii="Arial" w:hAnsi="Arial"/>
                <w:b/>
                <w:bCs/>
                <w:sz w:val="18"/>
                <w:szCs w:val="18"/>
              </w:rPr>
              <w:t>25 – 1 MW</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A9802B8" w14:textId="77777777" w:rsidR="00496A09" w:rsidRPr="00D61480" w:rsidRDefault="00496A09">
            <w:pPr>
              <w:jc w:val="center"/>
              <w:rPr>
                <w:rFonts w:ascii="Arial" w:hAnsi="Arial"/>
                <w:b/>
                <w:bCs/>
                <w:sz w:val="18"/>
                <w:szCs w:val="18"/>
              </w:rPr>
            </w:pPr>
            <w:r w:rsidRPr="00D61480">
              <w:rPr>
                <w:rFonts w:ascii="Arial" w:hAnsi="Arial"/>
                <w:b/>
                <w:bCs/>
                <w:sz w:val="18"/>
                <w:szCs w:val="18"/>
              </w:rPr>
              <w:t>1 MW – 5 MW</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4AD2422" w14:textId="77777777" w:rsidR="00496A09" w:rsidRPr="00D61480" w:rsidRDefault="00496A09">
            <w:pPr>
              <w:jc w:val="center"/>
              <w:rPr>
                <w:rFonts w:ascii="Arial" w:hAnsi="Arial"/>
                <w:b/>
                <w:bCs/>
                <w:sz w:val="18"/>
                <w:szCs w:val="18"/>
              </w:rPr>
            </w:pPr>
            <w:r w:rsidRPr="00D61480">
              <w:rPr>
                <w:rFonts w:ascii="Arial" w:hAnsi="Arial"/>
                <w:b/>
                <w:bCs/>
                <w:sz w:val="18"/>
                <w:szCs w:val="18"/>
              </w:rPr>
              <w:t>&gt; 5 MW</w:t>
            </w:r>
          </w:p>
        </w:tc>
      </w:tr>
      <w:tr w:rsidR="00496A09" w:rsidRPr="00D61480" w14:paraId="29D3A4F3" w14:textId="77777777" w:rsidTr="00496A09">
        <w:trPr>
          <w:trHeight w:val="178"/>
          <w:jc w:val="center"/>
        </w:trPr>
        <w:tc>
          <w:tcPr>
            <w:tcW w:w="1410"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B45DB48" w14:textId="77777777" w:rsidR="00496A09" w:rsidRPr="00D61480" w:rsidRDefault="00496A09">
            <w:pPr>
              <w:jc w:val="center"/>
              <w:rPr>
                <w:rFonts w:ascii="Arial" w:hAnsi="Arial"/>
                <w:sz w:val="18"/>
                <w:szCs w:val="18"/>
              </w:rPr>
            </w:pPr>
            <w:r w:rsidRPr="00D61480">
              <w:rPr>
                <w:rFonts w:ascii="Arial" w:hAnsi="Arial"/>
                <w:sz w:val="18"/>
                <w:szCs w:val="18"/>
              </w:rPr>
              <w:t>Tiempo real/online *</w:t>
            </w:r>
          </w:p>
        </w:tc>
        <w:tc>
          <w:tcPr>
            <w:tcW w:w="23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1FA3743" w14:textId="77777777" w:rsidR="00496A09" w:rsidRPr="00D61480" w:rsidRDefault="00496A09">
            <w:pPr>
              <w:rPr>
                <w:rFonts w:ascii="Arial" w:hAnsi="Arial"/>
                <w:sz w:val="18"/>
                <w:szCs w:val="18"/>
              </w:rPr>
            </w:pPr>
            <w:r w:rsidRPr="00D61480">
              <w:rPr>
                <w:rFonts w:ascii="Arial" w:hAnsi="Arial"/>
                <w:sz w:val="18"/>
                <w:szCs w:val="18"/>
              </w:rPr>
              <w:t>Flujo P/Q</w:t>
            </w:r>
          </w:p>
        </w:tc>
        <w:tc>
          <w:tcPr>
            <w:tcW w:w="14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7270AF0" w14:textId="77777777" w:rsidR="00496A09" w:rsidRPr="00D61480" w:rsidRDefault="00496A09">
            <w:pPr>
              <w:jc w:val="center"/>
              <w:rPr>
                <w:rFonts w:ascii="Arial" w:hAnsi="Arial"/>
                <w:b/>
                <w:sz w:val="18"/>
                <w:szCs w:val="18"/>
              </w:rPr>
            </w:pPr>
            <w:r w:rsidRPr="00D61480">
              <w:rPr>
                <w:rFonts w:ascii="Arial" w:hAnsi="Arial"/>
                <w:b/>
                <w:sz w:val="18"/>
                <w:szCs w:val="18"/>
              </w:rPr>
              <w:t>X</w:t>
            </w:r>
          </w:p>
        </w:tc>
        <w:tc>
          <w:tcPr>
            <w:tcW w:w="14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FDB6DEF" w14:textId="77777777" w:rsidR="00496A09" w:rsidRPr="00D61480" w:rsidRDefault="00496A09">
            <w:pPr>
              <w:jc w:val="center"/>
              <w:rPr>
                <w:rFonts w:ascii="Arial" w:hAnsi="Arial"/>
                <w:b/>
                <w:sz w:val="18"/>
                <w:szCs w:val="18"/>
              </w:rPr>
            </w:pPr>
            <w:r w:rsidRPr="00D61480">
              <w:rPr>
                <w:rFonts w:ascii="Arial" w:hAnsi="Arial"/>
                <w:b/>
                <w:sz w:val="18"/>
                <w:szCs w:val="18"/>
              </w:rPr>
              <w:t>X</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0152E02" w14:textId="77777777" w:rsidR="00496A09" w:rsidRPr="00D61480" w:rsidRDefault="00496A09">
            <w:pPr>
              <w:jc w:val="center"/>
              <w:rPr>
                <w:rFonts w:ascii="Arial" w:hAnsi="Arial"/>
                <w:b/>
                <w:sz w:val="18"/>
                <w:szCs w:val="18"/>
              </w:rPr>
            </w:pPr>
            <w:r w:rsidRPr="00D61480">
              <w:rPr>
                <w:rFonts w:ascii="Arial" w:hAnsi="Arial"/>
                <w:b/>
                <w:sz w:val="18"/>
                <w:szCs w:val="18"/>
              </w:rPr>
              <w:t>X</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792E7CF" w14:textId="77777777" w:rsidR="00496A09" w:rsidRPr="00D61480" w:rsidRDefault="00496A09">
            <w:pPr>
              <w:jc w:val="center"/>
              <w:rPr>
                <w:rFonts w:ascii="Arial" w:hAnsi="Arial"/>
                <w:b/>
                <w:sz w:val="18"/>
                <w:szCs w:val="18"/>
              </w:rPr>
            </w:pPr>
            <w:r w:rsidRPr="00D61480">
              <w:rPr>
                <w:rFonts w:ascii="Arial" w:hAnsi="Arial"/>
                <w:b/>
                <w:sz w:val="18"/>
                <w:szCs w:val="18"/>
              </w:rPr>
              <w:t>X</w:t>
            </w:r>
          </w:p>
        </w:tc>
      </w:tr>
      <w:tr w:rsidR="00496A09" w:rsidRPr="00D61480" w14:paraId="1F597971" w14:textId="77777777" w:rsidTr="00496A09">
        <w:trPr>
          <w:trHeight w:val="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BD352" w14:textId="77777777" w:rsidR="00496A09" w:rsidRPr="00D61480" w:rsidRDefault="00496A09">
            <w:pPr>
              <w:rPr>
                <w:rFonts w:ascii="Arial" w:hAnsi="Arial"/>
                <w:sz w:val="18"/>
                <w:szCs w:val="18"/>
                <w:lang w:eastAsia="en-US"/>
              </w:rPr>
            </w:pPr>
          </w:p>
        </w:tc>
        <w:tc>
          <w:tcPr>
            <w:tcW w:w="23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E96D0D9" w14:textId="77777777" w:rsidR="00496A09" w:rsidRPr="00D61480" w:rsidRDefault="00496A09">
            <w:pPr>
              <w:rPr>
                <w:rFonts w:ascii="Arial" w:hAnsi="Arial"/>
                <w:sz w:val="18"/>
                <w:szCs w:val="18"/>
              </w:rPr>
            </w:pPr>
            <w:r w:rsidRPr="00D61480">
              <w:rPr>
                <w:rFonts w:ascii="Arial" w:hAnsi="Arial"/>
                <w:sz w:val="18"/>
                <w:szCs w:val="18"/>
              </w:rPr>
              <w:t>Medición I/V</w:t>
            </w:r>
          </w:p>
        </w:tc>
        <w:tc>
          <w:tcPr>
            <w:tcW w:w="14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AD6E96D" w14:textId="77777777" w:rsidR="00496A09" w:rsidRPr="00D61480" w:rsidRDefault="00496A09">
            <w:pPr>
              <w:jc w:val="center"/>
              <w:rPr>
                <w:rFonts w:ascii="Arial" w:hAnsi="Arial"/>
                <w:b/>
                <w:sz w:val="18"/>
                <w:szCs w:val="18"/>
              </w:rPr>
            </w:pPr>
            <w:r w:rsidRPr="00D61480">
              <w:rPr>
                <w:rFonts w:ascii="Arial" w:hAnsi="Arial"/>
                <w:b/>
                <w:sz w:val="18"/>
                <w:szCs w:val="18"/>
              </w:rPr>
              <w:t>X</w:t>
            </w:r>
          </w:p>
        </w:tc>
        <w:tc>
          <w:tcPr>
            <w:tcW w:w="14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1C5D735" w14:textId="77777777" w:rsidR="00496A09" w:rsidRPr="00D61480" w:rsidRDefault="00496A09">
            <w:pPr>
              <w:jc w:val="center"/>
              <w:rPr>
                <w:rFonts w:ascii="Arial" w:hAnsi="Arial"/>
                <w:b/>
                <w:sz w:val="18"/>
                <w:szCs w:val="18"/>
              </w:rPr>
            </w:pPr>
            <w:r w:rsidRPr="00D61480">
              <w:rPr>
                <w:rFonts w:ascii="Arial" w:hAnsi="Arial"/>
                <w:b/>
                <w:sz w:val="18"/>
                <w:szCs w:val="18"/>
              </w:rPr>
              <w:t>X</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DDDF992" w14:textId="77777777" w:rsidR="00496A09" w:rsidRPr="00D61480" w:rsidRDefault="00496A09">
            <w:pPr>
              <w:jc w:val="center"/>
              <w:rPr>
                <w:rFonts w:ascii="Arial" w:hAnsi="Arial"/>
                <w:b/>
                <w:sz w:val="18"/>
                <w:szCs w:val="18"/>
              </w:rPr>
            </w:pPr>
            <w:r w:rsidRPr="00D61480">
              <w:rPr>
                <w:rFonts w:ascii="Arial" w:hAnsi="Arial"/>
                <w:b/>
                <w:sz w:val="18"/>
                <w:szCs w:val="18"/>
              </w:rPr>
              <w:t>X</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7BC56C4" w14:textId="77777777" w:rsidR="00496A09" w:rsidRPr="00D61480" w:rsidRDefault="00496A09">
            <w:pPr>
              <w:jc w:val="center"/>
              <w:rPr>
                <w:rFonts w:ascii="Arial" w:hAnsi="Arial"/>
                <w:b/>
                <w:sz w:val="18"/>
                <w:szCs w:val="18"/>
              </w:rPr>
            </w:pPr>
            <w:r w:rsidRPr="00D61480">
              <w:rPr>
                <w:rFonts w:ascii="Arial" w:hAnsi="Arial"/>
                <w:b/>
                <w:sz w:val="18"/>
                <w:szCs w:val="18"/>
              </w:rPr>
              <w:t>X</w:t>
            </w:r>
          </w:p>
        </w:tc>
      </w:tr>
      <w:tr w:rsidR="00496A09" w:rsidRPr="00D61480" w14:paraId="327EB397" w14:textId="77777777" w:rsidTr="00496A09">
        <w:trPr>
          <w:trHeight w:val="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94AE88" w14:textId="77777777" w:rsidR="00496A09" w:rsidRPr="00D61480" w:rsidRDefault="00496A09">
            <w:pPr>
              <w:rPr>
                <w:rFonts w:ascii="Arial" w:hAnsi="Arial"/>
                <w:sz w:val="18"/>
                <w:szCs w:val="18"/>
                <w:lang w:eastAsia="en-US"/>
              </w:rPr>
            </w:pPr>
          </w:p>
        </w:tc>
        <w:tc>
          <w:tcPr>
            <w:tcW w:w="23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0F86003" w14:textId="77777777" w:rsidR="00496A09" w:rsidRPr="00D61480" w:rsidRDefault="00496A09">
            <w:pPr>
              <w:rPr>
                <w:rFonts w:ascii="Arial" w:hAnsi="Arial"/>
                <w:sz w:val="18"/>
                <w:szCs w:val="18"/>
              </w:rPr>
            </w:pPr>
            <w:r w:rsidRPr="00D61480">
              <w:rPr>
                <w:rFonts w:ascii="Arial" w:hAnsi="Arial"/>
                <w:sz w:val="18"/>
                <w:szCs w:val="18"/>
              </w:rPr>
              <w:t>Estado interruptor punto de conexión</w:t>
            </w:r>
          </w:p>
        </w:tc>
        <w:tc>
          <w:tcPr>
            <w:tcW w:w="14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3882D4D" w14:textId="77777777" w:rsidR="00496A09" w:rsidRPr="00D61480" w:rsidRDefault="00496A09">
            <w:pPr>
              <w:jc w:val="center"/>
              <w:rPr>
                <w:rFonts w:ascii="Arial" w:hAnsi="Arial"/>
                <w:b/>
                <w:sz w:val="18"/>
                <w:szCs w:val="18"/>
              </w:rPr>
            </w:pPr>
            <w:r w:rsidRPr="00D61480">
              <w:rPr>
                <w:rFonts w:ascii="Arial" w:hAnsi="Arial"/>
                <w:b/>
                <w:sz w:val="18"/>
                <w:szCs w:val="18"/>
              </w:rPr>
              <w:t>-</w:t>
            </w:r>
          </w:p>
        </w:tc>
        <w:tc>
          <w:tcPr>
            <w:tcW w:w="14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A3ED77C" w14:textId="77777777" w:rsidR="00496A09" w:rsidRPr="00D61480" w:rsidRDefault="00496A09">
            <w:pPr>
              <w:jc w:val="center"/>
              <w:rPr>
                <w:rFonts w:ascii="Arial" w:hAnsi="Arial"/>
                <w:b/>
                <w:sz w:val="18"/>
                <w:szCs w:val="18"/>
              </w:rPr>
            </w:pPr>
            <w:r w:rsidRPr="00D61480">
              <w:rPr>
                <w:rFonts w:ascii="Arial" w:hAnsi="Arial"/>
                <w:b/>
                <w:sz w:val="18"/>
                <w:szCs w:val="18"/>
              </w:rPr>
              <w:t>-</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7DD9B31" w14:textId="77777777" w:rsidR="00496A09" w:rsidRPr="00D61480" w:rsidRDefault="00496A09">
            <w:pPr>
              <w:jc w:val="center"/>
              <w:rPr>
                <w:rFonts w:ascii="Arial" w:hAnsi="Arial"/>
                <w:b/>
                <w:sz w:val="18"/>
                <w:szCs w:val="18"/>
              </w:rPr>
            </w:pPr>
            <w:r w:rsidRPr="00D61480">
              <w:rPr>
                <w:rFonts w:ascii="Arial" w:hAnsi="Arial"/>
                <w:b/>
                <w:sz w:val="18"/>
                <w:szCs w:val="18"/>
              </w:rPr>
              <w:t>-</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B979D69" w14:textId="77777777" w:rsidR="00496A09" w:rsidRPr="00D61480" w:rsidRDefault="00496A09">
            <w:pPr>
              <w:jc w:val="center"/>
              <w:rPr>
                <w:rFonts w:ascii="Arial" w:hAnsi="Arial"/>
                <w:b/>
                <w:sz w:val="18"/>
                <w:szCs w:val="18"/>
              </w:rPr>
            </w:pPr>
            <w:r w:rsidRPr="00D61480">
              <w:rPr>
                <w:rFonts w:ascii="Arial" w:hAnsi="Arial"/>
                <w:b/>
                <w:sz w:val="18"/>
                <w:szCs w:val="18"/>
              </w:rPr>
              <w:t>X</w:t>
            </w:r>
          </w:p>
        </w:tc>
      </w:tr>
      <w:tr w:rsidR="00496A09" w:rsidRPr="00D61480" w14:paraId="08C076BA" w14:textId="77777777" w:rsidTr="00496A09">
        <w:trPr>
          <w:trHeight w:val="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BC77CE" w14:textId="77777777" w:rsidR="00496A09" w:rsidRPr="00D61480" w:rsidRDefault="00496A09">
            <w:pPr>
              <w:rPr>
                <w:rFonts w:ascii="Arial" w:hAnsi="Arial"/>
                <w:sz w:val="18"/>
                <w:szCs w:val="18"/>
                <w:lang w:eastAsia="en-US"/>
              </w:rPr>
            </w:pPr>
          </w:p>
        </w:tc>
        <w:tc>
          <w:tcPr>
            <w:tcW w:w="23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64CEC67" w14:textId="77777777" w:rsidR="00496A09" w:rsidRPr="00D61480" w:rsidRDefault="00496A09">
            <w:pPr>
              <w:rPr>
                <w:rFonts w:ascii="Arial" w:hAnsi="Arial"/>
                <w:sz w:val="18"/>
                <w:szCs w:val="18"/>
              </w:rPr>
            </w:pPr>
            <w:r w:rsidRPr="00D61480">
              <w:rPr>
                <w:rFonts w:ascii="Arial" w:hAnsi="Arial"/>
                <w:sz w:val="18"/>
                <w:szCs w:val="18"/>
              </w:rPr>
              <w:t>Alarmas de protección</w:t>
            </w:r>
          </w:p>
        </w:tc>
        <w:tc>
          <w:tcPr>
            <w:tcW w:w="14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0163211" w14:textId="77777777" w:rsidR="00496A09" w:rsidRPr="00D61480" w:rsidRDefault="00496A09">
            <w:pPr>
              <w:jc w:val="center"/>
              <w:rPr>
                <w:rFonts w:ascii="Arial" w:hAnsi="Arial"/>
                <w:b/>
                <w:sz w:val="18"/>
                <w:szCs w:val="18"/>
                <w:lang w:val="es-CO"/>
              </w:rPr>
            </w:pPr>
            <w:r w:rsidRPr="00D61480">
              <w:rPr>
                <w:rFonts w:ascii="Arial" w:hAnsi="Arial"/>
                <w:b/>
                <w:sz w:val="18"/>
                <w:szCs w:val="18"/>
              </w:rPr>
              <w:t>-</w:t>
            </w:r>
          </w:p>
        </w:tc>
        <w:tc>
          <w:tcPr>
            <w:tcW w:w="14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E8B7962" w14:textId="77777777" w:rsidR="00496A09" w:rsidRPr="00D61480" w:rsidRDefault="00496A09">
            <w:pPr>
              <w:jc w:val="center"/>
              <w:rPr>
                <w:rFonts w:ascii="Arial" w:hAnsi="Arial"/>
                <w:b/>
                <w:sz w:val="18"/>
                <w:szCs w:val="18"/>
              </w:rPr>
            </w:pPr>
            <w:r w:rsidRPr="00D61480">
              <w:rPr>
                <w:rFonts w:ascii="Arial" w:hAnsi="Arial"/>
                <w:b/>
                <w:sz w:val="18"/>
                <w:szCs w:val="18"/>
              </w:rPr>
              <w:t>-</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7BCA22E" w14:textId="77777777" w:rsidR="00496A09" w:rsidRPr="00D61480" w:rsidRDefault="00496A09">
            <w:pPr>
              <w:jc w:val="center"/>
              <w:rPr>
                <w:rFonts w:ascii="Arial" w:hAnsi="Arial"/>
                <w:b/>
                <w:sz w:val="18"/>
                <w:szCs w:val="18"/>
              </w:rPr>
            </w:pPr>
            <w:r w:rsidRPr="00D61480">
              <w:rPr>
                <w:rFonts w:ascii="Arial" w:hAnsi="Arial"/>
                <w:b/>
                <w:sz w:val="18"/>
                <w:szCs w:val="18"/>
              </w:rPr>
              <w:t>-</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AA6B6D3" w14:textId="77777777" w:rsidR="00496A09" w:rsidRPr="00D61480" w:rsidRDefault="00496A09">
            <w:pPr>
              <w:jc w:val="center"/>
              <w:rPr>
                <w:rFonts w:ascii="Arial" w:hAnsi="Arial"/>
                <w:b/>
                <w:sz w:val="18"/>
                <w:szCs w:val="18"/>
              </w:rPr>
            </w:pPr>
            <w:r w:rsidRPr="00D61480">
              <w:rPr>
                <w:rFonts w:ascii="Arial" w:hAnsi="Arial"/>
                <w:b/>
                <w:sz w:val="18"/>
                <w:szCs w:val="18"/>
              </w:rPr>
              <w:t>X</w:t>
            </w:r>
          </w:p>
        </w:tc>
      </w:tr>
      <w:tr w:rsidR="00496A09" w:rsidRPr="00D61480" w14:paraId="097D6A3E" w14:textId="77777777" w:rsidTr="00496A09">
        <w:trPr>
          <w:trHeight w:val="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976847" w14:textId="77777777" w:rsidR="00496A09" w:rsidRPr="00D61480" w:rsidRDefault="00496A09">
            <w:pPr>
              <w:rPr>
                <w:rFonts w:ascii="Arial" w:hAnsi="Arial"/>
                <w:sz w:val="18"/>
                <w:szCs w:val="18"/>
                <w:lang w:eastAsia="en-US"/>
              </w:rPr>
            </w:pPr>
          </w:p>
        </w:tc>
        <w:tc>
          <w:tcPr>
            <w:tcW w:w="23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D885A29" w14:textId="77777777" w:rsidR="00496A09" w:rsidRPr="00D61480" w:rsidRDefault="00496A09">
            <w:pPr>
              <w:rPr>
                <w:rFonts w:ascii="Arial" w:hAnsi="Arial"/>
                <w:sz w:val="18"/>
                <w:szCs w:val="18"/>
              </w:rPr>
            </w:pPr>
            <w:r w:rsidRPr="00D61480">
              <w:rPr>
                <w:rFonts w:ascii="Arial" w:hAnsi="Arial"/>
                <w:sz w:val="18"/>
                <w:szCs w:val="18"/>
              </w:rPr>
              <w:t>Control remoto interruptor punto de conexión ***</w:t>
            </w:r>
          </w:p>
        </w:tc>
        <w:tc>
          <w:tcPr>
            <w:tcW w:w="14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2F7C616" w14:textId="77777777" w:rsidR="00496A09" w:rsidRPr="00D61480" w:rsidRDefault="00496A09">
            <w:pPr>
              <w:jc w:val="center"/>
              <w:rPr>
                <w:rFonts w:ascii="Arial" w:hAnsi="Arial"/>
                <w:b/>
                <w:sz w:val="18"/>
                <w:szCs w:val="18"/>
              </w:rPr>
            </w:pPr>
            <w:r w:rsidRPr="00D61480">
              <w:rPr>
                <w:rFonts w:ascii="Arial" w:hAnsi="Arial"/>
                <w:b/>
                <w:sz w:val="18"/>
                <w:szCs w:val="18"/>
              </w:rPr>
              <w:t>-</w:t>
            </w:r>
          </w:p>
        </w:tc>
        <w:tc>
          <w:tcPr>
            <w:tcW w:w="14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677291D" w14:textId="77777777" w:rsidR="00496A09" w:rsidRPr="00D61480" w:rsidRDefault="00496A09">
            <w:pPr>
              <w:jc w:val="center"/>
              <w:rPr>
                <w:rFonts w:ascii="Arial" w:hAnsi="Arial"/>
                <w:b/>
                <w:sz w:val="18"/>
                <w:szCs w:val="18"/>
              </w:rPr>
            </w:pPr>
            <w:r w:rsidRPr="00D61480">
              <w:rPr>
                <w:rFonts w:ascii="Arial" w:hAnsi="Arial"/>
                <w:b/>
                <w:sz w:val="18"/>
                <w:szCs w:val="18"/>
              </w:rPr>
              <w:t>-</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470FF66" w14:textId="77777777" w:rsidR="00496A09" w:rsidRPr="00D61480" w:rsidRDefault="00496A09">
            <w:pPr>
              <w:jc w:val="center"/>
              <w:rPr>
                <w:rFonts w:ascii="Arial" w:hAnsi="Arial"/>
                <w:b/>
                <w:sz w:val="18"/>
                <w:szCs w:val="18"/>
              </w:rPr>
            </w:pPr>
            <w:r w:rsidRPr="00D61480">
              <w:rPr>
                <w:rFonts w:ascii="Arial" w:hAnsi="Arial"/>
                <w:b/>
                <w:sz w:val="18"/>
                <w:szCs w:val="18"/>
              </w:rPr>
              <w:t>-</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E02B8EE" w14:textId="77777777" w:rsidR="00496A09" w:rsidRPr="00D61480" w:rsidRDefault="00496A09">
            <w:pPr>
              <w:jc w:val="center"/>
              <w:rPr>
                <w:rFonts w:ascii="Arial" w:hAnsi="Arial"/>
                <w:b/>
                <w:sz w:val="18"/>
                <w:szCs w:val="18"/>
              </w:rPr>
            </w:pPr>
            <w:r w:rsidRPr="00D61480">
              <w:rPr>
                <w:rFonts w:ascii="Arial" w:hAnsi="Arial"/>
                <w:b/>
                <w:sz w:val="18"/>
                <w:szCs w:val="18"/>
              </w:rPr>
              <w:t>-</w:t>
            </w:r>
          </w:p>
        </w:tc>
      </w:tr>
      <w:tr w:rsidR="00496A09" w:rsidRPr="00D61480" w14:paraId="5598266B" w14:textId="77777777" w:rsidTr="00496A09">
        <w:trPr>
          <w:trHeight w:val="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16F97" w14:textId="77777777" w:rsidR="00496A09" w:rsidRPr="00D61480" w:rsidRDefault="00496A09">
            <w:pPr>
              <w:rPr>
                <w:rFonts w:ascii="Arial" w:hAnsi="Arial"/>
                <w:sz w:val="18"/>
                <w:szCs w:val="18"/>
                <w:lang w:eastAsia="en-US"/>
              </w:rPr>
            </w:pPr>
          </w:p>
        </w:tc>
        <w:tc>
          <w:tcPr>
            <w:tcW w:w="23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402CDFE" w14:textId="77777777" w:rsidR="00496A09" w:rsidRPr="00D61480" w:rsidRDefault="00496A09">
            <w:pPr>
              <w:rPr>
                <w:rFonts w:ascii="Arial" w:hAnsi="Arial"/>
                <w:sz w:val="18"/>
                <w:szCs w:val="18"/>
              </w:rPr>
            </w:pPr>
            <w:r w:rsidRPr="00D61480">
              <w:rPr>
                <w:rFonts w:ascii="Arial" w:hAnsi="Arial"/>
                <w:sz w:val="18"/>
                <w:szCs w:val="18"/>
              </w:rPr>
              <w:t>Control automático Q</w:t>
            </w:r>
          </w:p>
        </w:tc>
        <w:tc>
          <w:tcPr>
            <w:tcW w:w="14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AA576D2" w14:textId="77777777" w:rsidR="00496A09" w:rsidRPr="00D61480" w:rsidRDefault="00496A09">
            <w:pPr>
              <w:rPr>
                <w:rFonts w:ascii="Arial" w:hAnsi="Arial"/>
                <w:sz w:val="18"/>
                <w:szCs w:val="18"/>
              </w:rPr>
            </w:pPr>
          </w:p>
        </w:tc>
        <w:tc>
          <w:tcPr>
            <w:tcW w:w="14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08CC1F33" w14:textId="77777777" w:rsidR="00496A09" w:rsidRPr="00D61480" w:rsidRDefault="00496A09">
            <w:pPr>
              <w:jc w:val="center"/>
              <w:rPr>
                <w:rFonts w:ascii="Arial" w:hAnsi="Arial"/>
                <w:b/>
                <w:sz w:val="18"/>
                <w:szCs w:val="18"/>
                <w:lang w:eastAsia="en-US"/>
              </w:rPr>
            </w:pP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19D590E4" w14:textId="77777777" w:rsidR="00496A09" w:rsidRPr="00D61480" w:rsidRDefault="00496A09">
            <w:pPr>
              <w:jc w:val="center"/>
              <w:rPr>
                <w:rFonts w:ascii="Arial" w:hAnsi="Arial"/>
                <w:b/>
                <w:sz w:val="18"/>
                <w:szCs w:val="18"/>
              </w:rPr>
            </w:pP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124387F" w14:textId="77777777" w:rsidR="00496A09" w:rsidRPr="00D61480" w:rsidRDefault="00496A09">
            <w:pPr>
              <w:jc w:val="center"/>
              <w:rPr>
                <w:rFonts w:ascii="Arial" w:hAnsi="Arial"/>
                <w:b/>
                <w:sz w:val="18"/>
                <w:szCs w:val="18"/>
              </w:rPr>
            </w:pPr>
            <w:r w:rsidRPr="00D61480">
              <w:rPr>
                <w:rFonts w:ascii="Arial" w:hAnsi="Arial"/>
                <w:b/>
                <w:sz w:val="18"/>
                <w:szCs w:val="18"/>
              </w:rPr>
              <w:t>X</w:t>
            </w:r>
          </w:p>
        </w:tc>
      </w:tr>
      <w:tr w:rsidR="00496A09" w:rsidRPr="00D61480" w14:paraId="2231A1C6" w14:textId="77777777" w:rsidTr="00496A0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06BF3F" w14:textId="77777777" w:rsidR="00496A09" w:rsidRPr="00D61480" w:rsidRDefault="00496A09">
            <w:pPr>
              <w:rPr>
                <w:rFonts w:ascii="Arial" w:hAnsi="Arial"/>
                <w:sz w:val="18"/>
                <w:szCs w:val="18"/>
                <w:lang w:eastAsia="en-US"/>
              </w:rPr>
            </w:pPr>
          </w:p>
        </w:tc>
        <w:tc>
          <w:tcPr>
            <w:tcW w:w="23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2E3AEB4" w14:textId="77777777" w:rsidR="00496A09" w:rsidRPr="00D61480" w:rsidRDefault="00496A09">
            <w:pPr>
              <w:rPr>
                <w:rFonts w:ascii="Arial" w:hAnsi="Arial"/>
                <w:sz w:val="18"/>
                <w:szCs w:val="18"/>
              </w:rPr>
            </w:pPr>
            <w:r w:rsidRPr="00D61480">
              <w:rPr>
                <w:rFonts w:ascii="Arial" w:hAnsi="Arial"/>
                <w:sz w:val="18"/>
                <w:szCs w:val="18"/>
              </w:rPr>
              <w:t>Señales supervisión y control</w:t>
            </w:r>
          </w:p>
        </w:tc>
        <w:tc>
          <w:tcPr>
            <w:tcW w:w="14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3B1E890" w14:textId="77777777" w:rsidR="00496A09" w:rsidRPr="00D61480" w:rsidRDefault="00496A09">
            <w:pPr>
              <w:jc w:val="center"/>
              <w:rPr>
                <w:rFonts w:ascii="Arial" w:hAnsi="Arial"/>
                <w:sz w:val="18"/>
                <w:szCs w:val="18"/>
              </w:rPr>
            </w:pPr>
            <w:r w:rsidRPr="00D61480">
              <w:rPr>
                <w:rFonts w:ascii="Arial" w:hAnsi="Arial"/>
                <w:sz w:val="18"/>
                <w:szCs w:val="18"/>
              </w:rPr>
              <w:t>DLMS-COSEM - AMI</w:t>
            </w:r>
          </w:p>
          <w:p w14:paraId="2B33A67E" w14:textId="77777777" w:rsidR="00496A09" w:rsidRPr="00D61480" w:rsidRDefault="00496A09">
            <w:pPr>
              <w:jc w:val="center"/>
              <w:rPr>
                <w:rFonts w:ascii="Arial" w:hAnsi="Arial"/>
                <w:sz w:val="18"/>
                <w:szCs w:val="18"/>
              </w:rPr>
            </w:pPr>
            <w:proofErr w:type="spellStart"/>
            <w:r w:rsidRPr="00D61480">
              <w:rPr>
                <w:rFonts w:ascii="Arial" w:hAnsi="Arial"/>
                <w:sz w:val="18"/>
                <w:szCs w:val="18"/>
              </w:rPr>
              <w:t>OpenADR</w:t>
            </w:r>
            <w:proofErr w:type="spellEnd"/>
            <w:r w:rsidRPr="00D61480">
              <w:rPr>
                <w:rFonts w:ascii="Arial" w:hAnsi="Arial"/>
                <w:sz w:val="18"/>
                <w:szCs w:val="18"/>
              </w:rPr>
              <w:t xml:space="preserve"> ****</w:t>
            </w:r>
          </w:p>
        </w:tc>
        <w:tc>
          <w:tcPr>
            <w:tcW w:w="14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78702DE" w14:textId="77777777" w:rsidR="00496A09" w:rsidRPr="00D61480" w:rsidRDefault="00496A09">
            <w:pPr>
              <w:jc w:val="center"/>
              <w:rPr>
                <w:rFonts w:ascii="Arial" w:hAnsi="Arial"/>
                <w:sz w:val="18"/>
                <w:szCs w:val="18"/>
              </w:rPr>
            </w:pPr>
            <w:r w:rsidRPr="00D61480">
              <w:rPr>
                <w:rFonts w:ascii="Arial" w:hAnsi="Arial"/>
                <w:sz w:val="18"/>
                <w:szCs w:val="18"/>
              </w:rPr>
              <w:t>DLMS-COSEM- AMI</w:t>
            </w:r>
          </w:p>
          <w:p w14:paraId="1185E959" w14:textId="77777777" w:rsidR="00496A09" w:rsidRPr="00D61480" w:rsidRDefault="00496A09">
            <w:pPr>
              <w:jc w:val="center"/>
              <w:rPr>
                <w:rFonts w:ascii="Arial" w:hAnsi="Arial"/>
                <w:sz w:val="18"/>
                <w:szCs w:val="18"/>
              </w:rPr>
            </w:pPr>
            <w:proofErr w:type="spellStart"/>
            <w:r w:rsidRPr="00D61480">
              <w:rPr>
                <w:rFonts w:ascii="Arial" w:hAnsi="Arial"/>
                <w:sz w:val="18"/>
                <w:szCs w:val="18"/>
              </w:rPr>
              <w:t>OpenADR</w:t>
            </w:r>
            <w:proofErr w:type="spellEnd"/>
            <w:r w:rsidRPr="00D61480">
              <w:rPr>
                <w:rFonts w:ascii="Arial" w:hAnsi="Arial"/>
                <w:sz w:val="18"/>
                <w:szCs w:val="18"/>
              </w:rPr>
              <w:t xml:space="preserve"> ****</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955C7FC" w14:textId="77777777" w:rsidR="00496A09" w:rsidRPr="00D61480" w:rsidRDefault="00496A09">
            <w:pPr>
              <w:jc w:val="center"/>
              <w:rPr>
                <w:rFonts w:ascii="Arial" w:hAnsi="Arial"/>
                <w:sz w:val="18"/>
                <w:szCs w:val="18"/>
              </w:rPr>
            </w:pPr>
            <w:r w:rsidRPr="00D61480">
              <w:rPr>
                <w:rFonts w:ascii="Arial" w:hAnsi="Arial"/>
                <w:sz w:val="18"/>
                <w:szCs w:val="18"/>
              </w:rPr>
              <w:t xml:space="preserve">DLMS COSEM – AMI </w:t>
            </w:r>
            <w:proofErr w:type="spellStart"/>
            <w:r w:rsidRPr="00D61480">
              <w:rPr>
                <w:rFonts w:ascii="Arial" w:hAnsi="Arial"/>
                <w:sz w:val="18"/>
                <w:szCs w:val="18"/>
              </w:rPr>
              <w:t>OpenADR</w:t>
            </w:r>
            <w:proofErr w:type="spellEnd"/>
            <w:r w:rsidRPr="00D61480">
              <w:rPr>
                <w:rFonts w:ascii="Arial" w:hAnsi="Arial"/>
                <w:sz w:val="18"/>
                <w:szCs w:val="18"/>
              </w:rPr>
              <w:t xml:space="preserve"> ****</w:t>
            </w:r>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AE5E16B" w14:textId="77777777" w:rsidR="00496A09" w:rsidRPr="00D61480" w:rsidRDefault="00496A09">
            <w:pPr>
              <w:jc w:val="center"/>
              <w:rPr>
                <w:rFonts w:ascii="Arial" w:hAnsi="Arial"/>
                <w:sz w:val="18"/>
                <w:szCs w:val="18"/>
                <w:lang w:val="en-US"/>
              </w:rPr>
            </w:pPr>
            <w:r w:rsidRPr="00D61480">
              <w:rPr>
                <w:rFonts w:ascii="Arial" w:hAnsi="Arial"/>
                <w:sz w:val="18"/>
                <w:szCs w:val="18"/>
                <w:lang w:val="en-US"/>
              </w:rPr>
              <w:t>DLMS COSEM – AMI DNP3/IEC 104</w:t>
            </w:r>
          </w:p>
          <w:p w14:paraId="70059BA9" w14:textId="77777777" w:rsidR="00496A09" w:rsidRPr="00D61480" w:rsidRDefault="00496A09">
            <w:pPr>
              <w:jc w:val="center"/>
              <w:rPr>
                <w:rFonts w:ascii="Arial" w:hAnsi="Arial"/>
                <w:sz w:val="18"/>
                <w:szCs w:val="18"/>
                <w:lang w:val="en-US"/>
              </w:rPr>
            </w:pPr>
            <w:proofErr w:type="spellStart"/>
            <w:r w:rsidRPr="00D61480">
              <w:rPr>
                <w:rFonts w:ascii="Arial" w:hAnsi="Arial"/>
                <w:sz w:val="18"/>
                <w:szCs w:val="18"/>
                <w:lang w:val="en-US"/>
              </w:rPr>
              <w:t>OpenADR</w:t>
            </w:r>
            <w:proofErr w:type="spellEnd"/>
            <w:r w:rsidRPr="00D61480">
              <w:rPr>
                <w:rFonts w:ascii="Arial" w:hAnsi="Arial"/>
                <w:sz w:val="18"/>
                <w:szCs w:val="18"/>
                <w:lang w:val="en-US"/>
              </w:rPr>
              <w:t xml:space="preserve"> ****</w:t>
            </w:r>
          </w:p>
        </w:tc>
      </w:tr>
      <w:tr w:rsidR="00496A09" w:rsidRPr="00D61480" w14:paraId="0D034CCE" w14:textId="77777777" w:rsidTr="00496A09">
        <w:trPr>
          <w:trHeight w:val="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7FAAD" w14:textId="77777777" w:rsidR="00496A09" w:rsidRPr="00D61480" w:rsidRDefault="00496A09">
            <w:pPr>
              <w:rPr>
                <w:rFonts w:ascii="Arial" w:hAnsi="Arial"/>
                <w:sz w:val="18"/>
                <w:szCs w:val="18"/>
                <w:lang w:eastAsia="en-US"/>
              </w:rPr>
            </w:pPr>
          </w:p>
        </w:tc>
        <w:tc>
          <w:tcPr>
            <w:tcW w:w="234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3F89F34" w14:textId="77777777" w:rsidR="00496A09" w:rsidRPr="00D61480" w:rsidRDefault="00496A09">
            <w:pPr>
              <w:rPr>
                <w:rFonts w:ascii="Arial" w:hAnsi="Arial"/>
                <w:sz w:val="18"/>
                <w:szCs w:val="18"/>
                <w:lang w:val="es-CO"/>
              </w:rPr>
            </w:pPr>
            <w:r w:rsidRPr="00D61480">
              <w:rPr>
                <w:rFonts w:ascii="Arial" w:hAnsi="Arial"/>
                <w:sz w:val="18"/>
                <w:szCs w:val="18"/>
              </w:rPr>
              <w:t>Medidas de facturación</w:t>
            </w:r>
          </w:p>
        </w:tc>
        <w:tc>
          <w:tcPr>
            <w:tcW w:w="146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4007E5B" w14:textId="77777777" w:rsidR="00496A09" w:rsidRPr="00D61480" w:rsidRDefault="00496A09">
            <w:pPr>
              <w:jc w:val="center"/>
              <w:rPr>
                <w:rFonts w:ascii="Arial" w:hAnsi="Arial"/>
                <w:sz w:val="18"/>
                <w:szCs w:val="18"/>
              </w:rPr>
            </w:pPr>
            <w:r w:rsidRPr="00D61480">
              <w:rPr>
                <w:rFonts w:ascii="Arial" w:hAnsi="Arial"/>
                <w:sz w:val="18"/>
                <w:szCs w:val="18"/>
              </w:rPr>
              <w:t>Web-</w:t>
            </w:r>
            <w:proofErr w:type="spellStart"/>
            <w:r w:rsidRPr="00D61480">
              <w:rPr>
                <w:rFonts w:ascii="Arial" w:hAnsi="Arial"/>
                <w:sz w:val="18"/>
                <w:szCs w:val="18"/>
              </w:rPr>
              <w:t>service</w:t>
            </w:r>
            <w:proofErr w:type="spellEnd"/>
          </w:p>
        </w:tc>
        <w:tc>
          <w:tcPr>
            <w:tcW w:w="14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1FC5B8D" w14:textId="77777777" w:rsidR="00496A09" w:rsidRPr="00D61480" w:rsidRDefault="00496A09">
            <w:pPr>
              <w:jc w:val="center"/>
              <w:rPr>
                <w:rFonts w:ascii="Arial" w:hAnsi="Arial"/>
                <w:sz w:val="18"/>
                <w:szCs w:val="18"/>
              </w:rPr>
            </w:pPr>
            <w:r w:rsidRPr="00D61480">
              <w:rPr>
                <w:rFonts w:ascii="Arial" w:hAnsi="Arial"/>
                <w:sz w:val="18"/>
                <w:szCs w:val="18"/>
              </w:rPr>
              <w:t>Web-</w:t>
            </w:r>
            <w:proofErr w:type="spellStart"/>
            <w:r w:rsidRPr="00D61480">
              <w:rPr>
                <w:rFonts w:ascii="Arial" w:hAnsi="Arial"/>
                <w:sz w:val="18"/>
                <w:szCs w:val="18"/>
              </w:rPr>
              <w:t>service</w:t>
            </w:r>
            <w:proofErr w:type="spellEnd"/>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950F8AE" w14:textId="77777777" w:rsidR="00496A09" w:rsidRPr="00D61480" w:rsidRDefault="00496A09">
            <w:pPr>
              <w:jc w:val="center"/>
              <w:rPr>
                <w:rFonts w:ascii="Arial" w:hAnsi="Arial"/>
                <w:sz w:val="18"/>
                <w:szCs w:val="18"/>
              </w:rPr>
            </w:pPr>
            <w:r w:rsidRPr="00D61480">
              <w:rPr>
                <w:rFonts w:ascii="Arial" w:hAnsi="Arial"/>
                <w:sz w:val="18"/>
                <w:szCs w:val="18"/>
              </w:rPr>
              <w:t>Web-</w:t>
            </w:r>
            <w:proofErr w:type="spellStart"/>
            <w:r w:rsidRPr="00D61480">
              <w:rPr>
                <w:rFonts w:ascii="Arial" w:hAnsi="Arial"/>
                <w:sz w:val="18"/>
                <w:szCs w:val="18"/>
              </w:rPr>
              <w:t>service</w:t>
            </w:r>
            <w:proofErr w:type="spellEnd"/>
          </w:p>
        </w:tc>
        <w:tc>
          <w:tcPr>
            <w:tcW w:w="148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260F77C" w14:textId="77777777" w:rsidR="00496A09" w:rsidRPr="00D61480" w:rsidRDefault="00496A09">
            <w:pPr>
              <w:jc w:val="center"/>
              <w:rPr>
                <w:rFonts w:ascii="Arial" w:hAnsi="Arial"/>
                <w:sz w:val="18"/>
                <w:szCs w:val="18"/>
              </w:rPr>
            </w:pPr>
            <w:r w:rsidRPr="00D61480">
              <w:rPr>
                <w:rFonts w:ascii="Arial" w:hAnsi="Arial"/>
                <w:sz w:val="18"/>
                <w:szCs w:val="18"/>
              </w:rPr>
              <w:t>Web-</w:t>
            </w:r>
            <w:proofErr w:type="spellStart"/>
            <w:r w:rsidRPr="00D61480">
              <w:rPr>
                <w:rFonts w:ascii="Arial" w:hAnsi="Arial"/>
                <w:sz w:val="18"/>
                <w:szCs w:val="18"/>
              </w:rPr>
              <w:t>service</w:t>
            </w:r>
            <w:proofErr w:type="spellEnd"/>
          </w:p>
        </w:tc>
      </w:tr>
    </w:tbl>
    <w:p w14:paraId="52A63EF2" w14:textId="77777777" w:rsidR="00496A09" w:rsidRPr="00D61480" w:rsidRDefault="00496A09" w:rsidP="00496A09">
      <w:pPr>
        <w:rPr>
          <w:rFonts w:ascii="Arial" w:hAnsi="Arial"/>
          <w:sz w:val="16"/>
          <w:szCs w:val="16"/>
          <w:lang w:eastAsia="en-US"/>
        </w:rPr>
      </w:pPr>
    </w:p>
    <w:p w14:paraId="293FCD6A" w14:textId="12556D14" w:rsidR="00496A09" w:rsidRPr="00D61480" w:rsidRDefault="00496A09" w:rsidP="00496A09">
      <w:pPr>
        <w:jc w:val="center"/>
        <w:rPr>
          <w:rFonts w:ascii="Arial" w:hAnsi="Arial"/>
          <w:sz w:val="16"/>
          <w:szCs w:val="16"/>
        </w:rPr>
      </w:pPr>
      <w:r w:rsidRPr="00D61480">
        <w:rPr>
          <w:rFonts w:ascii="Arial" w:hAnsi="Arial"/>
          <w:sz w:val="16"/>
          <w:szCs w:val="16"/>
        </w:rPr>
        <w:t>Tabla 8- Requerimientos observabilidad- DSO</w:t>
      </w:r>
      <w:r w:rsidR="00423839" w:rsidRPr="00D61480">
        <w:rPr>
          <w:rFonts w:ascii="Arial" w:hAnsi="Arial"/>
          <w:sz w:val="16"/>
          <w:szCs w:val="16"/>
        </w:rPr>
        <w:t xml:space="preserve">. </w:t>
      </w:r>
      <w:r w:rsidRPr="00D61480">
        <w:rPr>
          <w:rFonts w:ascii="Arial" w:hAnsi="Arial"/>
          <w:sz w:val="16"/>
          <w:szCs w:val="16"/>
        </w:rPr>
        <w:t>Fuente:  propia</w:t>
      </w:r>
    </w:p>
    <w:p w14:paraId="0FB8302E" w14:textId="42FE5DF6" w:rsidR="00496A09" w:rsidRPr="00D61480" w:rsidRDefault="00496A09" w:rsidP="00E46078">
      <w:pPr>
        <w:rPr>
          <w:rFonts w:ascii="Arial" w:hAnsi="Arial"/>
          <w:sz w:val="16"/>
          <w:szCs w:val="16"/>
        </w:rPr>
      </w:pPr>
      <w:r w:rsidRPr="00D61480">
        <w:rPr>
          <w:rFonts w:ascii="Arial" w:hAnsi="Arial"/>
          <w:sz w:val="16"/>
          <w:szCs w:val="16"/>
        </w:rPr>
        <w:lastRenderedPageBreak/>
        <w:t>*La programación y pronóstico será un servicio de los DER y DSO donde se justifique y sean previamente pactados.</w:t>
      </w:r>
    </w:p>
    <w:p w14:paraId="281D11EE" w14:textId="336787B3" w:rsidR="00496A09" w:rsidRPr="00D61480" w:rsidRDefault="00496A09" w:rsidP="00E46078">
      <w:pPr>
        <w:rPr>
          <w:rFonts w:ascii="Arial" w:hAnsi="Arial"/>
          <w:sz w:val="16"/>
          <w:szCs w:val="16"/>
        </w:rPr>
      </w:pPr>
      <w:r w:rsidRPr="00D61480">
        <w:rPr>
          <w:rFonts w:ascii="Arial" w:hAnsi="Arial"/>
          <w:sz w:val="16"/>
          <w:szCs w:val="16"/>
        </w:rPr>
        <w:t>** Estas condiciones aplican para capacidades de MW individuales o agregadas</w:t>
      </w:r>
      <w:r w:rsidR="00E46078" w:rsidRPr="00D61480">
        <w:rPr>
          <w:rFonts w:ascii="Arial" w:hAnsi="Arial"/>
          <w:sz w:val="16"/>
          <w:szCs w:val="16"/>
        </w:rPr>
        <w:t>.</w:t>
      </w:r>
    </w:p>
    <w:p w14:paraId="7E459A4B" w14:textId="77777777" w:rsidR="00496A09" w:rsidRPr="00D61480" w:rsidRDefault="00496A09" w:rsidP="00E46078">
      <w:pPr>
        <w:rPr>
          <w:rFonts w:ascii="Arial" w:hAnsi="Arial"/>
          <w:sz w:val="16"/>
          <w:szCs w:val="16"/>
        </w:rPr>
      </w:pPr>
      <w:r w:rsidRPr="00D61480">
        <w:rPr>
          <w:rFonts w:ascii="Arial" w:hAnsi="Arial"/>
          <w:sz w:val="16"/>
          <w:szCs w:val="16"/>
        </w:rPr>
        <w:t>*** Solo en caso de servicios que lo justifiquen y previamente pactados.</w:t>
      </w:r>
    </w:p>
    <w:p w14:paraId="4F3D3059" w14:textId="25CDB5FF" w:rsidR="00496A09" w:rsidRPr="00D61480" w:rsidRDefault="00496A09" w:rsidP="00E46078">
      <w:pPr>
        <w:rPr>
          <w:rFonts w:ascii="Arial" w:hAnsi="Arial"/>
          <w:sz w:val="16"/>
          <w:szCs w:val="16"/>
        </w:rPr>
      </w:pPr>
      <w:r w:rsidRPr="00D61480">
        <w:rPr>
          <w:rFonts w:ascii="Arial" w:hAnsi="Arial"/>
          <w:sz w:val="16"/>
          <w:szCs w:val="16"/>
        </w:rPr>
        <w:t>**** Solo en caso de que los servicios de control se justifiquen y estén previamente pactados</w:t>
      </w:r>
      <w:r w:rsidR="00E46078" w:rsidRPr="00D61480">
        <w:rPr>
          <w:rFonts w:ascii="Arial" w:hAnsi="Arial"/>
          <w:sz w:val="16"/>
          <w:szCs w:val="16"/>
        </w:rPr>
        <w:t>.</w:t>
      </w:r>
    </w:p>
    <w:p w14:paraId="79749EF8" w14:textId="77777777" w:rsidR="00496A09" w:rsidRPr="00D61480" w:rsidRDefault="00496A09" w:rsidP="00496A09">
      <w:pPr>
        <w:rPr>
          <w:rFonts w:ascii="Arial" w:hAnsi="Arial"/>
          <w:sz w:val="20"/>
          <w:szCs w:val="20"/>
        </w:rPr>
      </w:pPr>
    </w:p>
    <w:p w14:paraId="7E10FFA3" w14:textId="77777777" w:rsidR="00496A09" w:rsidRPr="00D61480" w:rsidRDefault="00496A09" w:rsidP="00496A09">
      <w:pPr>
        <w:rPr>
          <w:rFonts w:ascii="Arial" w:hAnsi="Arial"/>
          <w:noProof/>
          <w:sz w:val="20"/>
          <w:szCs w:val="20"/>
        </w:rPr>
      </w:pPr>
      <w:r w:rsidRPr="00D61480">
        <w:rPr>
          <w:rFonts w:ascii="Arial" w:hAnsi="Arial"/>
          <w:noProof/>
          <w:sz w:val="20"/>
          <w:szCs w:val="20"/>
        </w:rPr>
        <w:t>El intercambio de datos de supervisión entre DSO y  ISO/TSO se puede observar en la Tabla 9:</w:t>
      </w:r>
    </w:p>
    <w:p w14:paraId="6D2C18CF" w14:textId="77777777" w:rsidR="00496A09" w:rsidRPr="00D61480" w:rsidRDefault="00496A09" w:rsidP="00496A09">
      <w:pPr>
        <w:jc w:val="center"/>
        <w:rPr>
          <w:rFonts w:ascii="Arial" w:hAnsi="Arial"/>
          <w:sz w:val="20"/>
          <w:szCs w:val="20"/>
        </w:rPr>
      </w:pP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85"/>
        <w:gridCol w:w="3229"/>
        <w:gridCol w:w="635"/>
        <w:gridCol w:w="937"/>
        <w:gridCol w:w="1334"/>
        <w:gridCol w:w="1334"/>
      </w:tblGrid>
      <w:tr w:rsidR="00496A09" w:rsidRPr="00D61480" w14:paraId="5A7535A1" w14:textId="77777777" w:rsidTr="00496A09">
        <w:trPr>
          <w:trHeight w:val="161"/>
          <w:tblHeader/>
          <w:jc w:val="center"/>
        </w:trPr>
        <w:tc>
          <w:tcPr>
            <w:tcW w:w="128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FC09C22" w14:textId="77777777" w:rsidR="00496A09" w:rsidRPr="00D61480" w:rsidRDefault="00496A09">
            <w:pPr>
              <w:jc w:val="center"/>
              <w:rPr>
                <w:rFonts w:ascii="Arial" w:hAnsi="Arial"/>
                <w:b/>
                <w:bCs/>
                <w:sz w:val="16"/>
                <w:szCs w:val="16"/>
                <w:lang w:eastAsia="es-CO"/>
              </w:rPr>
            </w:pPr>
            <w:r w:rsidRPr="00D61480">
              <w:rPr>
                <w:rFonts w:ascii="Arial" w:hAnsi="Arial"/>
                <w:b/>
                <w:bCs/>
                <w:kern w:val="24"/>
                <w:sz w:val="16"/>
                <w:szCs w:val="16"/>
                <w:lang w:eastAsia="es-CO"/>
              </w:rPr>
              <w:t>Tipo de dato</w:t>
            </w: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B32A396" w14:textId="77777777" w:rsidR="00496A09" w:rsidRPr="00D61480" w:rsidRDefault="00496A09">
            <w:pPr>
              <w:jc w:val="center"/>
              <w:rPr>
                <w:rFonts w:ascii="Arial" w:hAnsi="Arial"/>
                <w:b/>
                <w:bCs/>
                <w:sz w:val="16"/>
                <w:szCs w:val="16"/>
                <w:lang w:eastAsia="es-CO"/>
              </w:rPr>
            </w:pPr>
            <w:r w:rsidRPr="00D61480">
              <w:rPr>
                <w:rFonts w:ascii="Arial" w:hAnsi="Arial"/>
                <w:b/>
                <w:bCs/>
                <w:kern w:val="24"/>
                <w:sz w:val="16"/>
                <w:szCs w:val="16"/>
                <w:lang w:eastAsia="es-CO"/>
              </w:rPr>
              <w:t>Descripción</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0BA8629" w14:textId="77777777" w:rsidR="00496A09" w:rsidRPr="00D61480" w:rsidRDefault="00496A09">
            <w:pPr>
              <w:jc w:val="center"/>
              <w:rPr>
                <w:rFonts w:ascii="Arial" w:hAnsi="Arial"/>
                <w:b/>
                <w:bCs/>
                <w:sz w:val="16"/>
                <w:szCs w:val="16"/>
                <w:lang w:eastAsia="es-CO"/>
              </w:rPr>
            </w:pPr>
            <w:r w:rsidRPr="00D61480">
              <w:rPr>
                <w:rFonts w:ascii="Arial" w:hAnsi="Arial"/>
                <w:b/>
                <w:bCs/>
                <w:kern w:val="24"/>
                <w:sz w:val="16"/>
                <w:szCs w:val="16"/>
                <w:lang w:eastAsia="es-CO"/>
              </w:rPr>
              <w:t>DSO</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EB9B67A" w14:textId="77777777" w:rsidR="00496A09" w:rsidRPr="00D61480" w:rsidRDefault="00496A09">
            <w:pPr>
              <w:jc w:val="center"/>
              <w:rPr>
                <w:rFonts w:ascii="Arial" w:hAnsi="Arial"/>
                <w:b/>
                <w:bCs/>
                <w:sz w:val="16"/>
                <w:szCs w:val="16"/>
                <w:lang w:eastAsia="es-CO"/>
              </w:rPr>
            </w:pPr>
            <w:r w:rsidRPr="00D61480">
              <w:rPr>
                <w:rFonts w:ascii="Arial" w:hAnsi="Arial"/>
                <w:b/>
                <w:bCs/>
                <w:kern w:val="24"/>
                <w:sz w:val="16"/>
                <w:szCs w:val="16"/>
                <w:lang w:eastAsia="es-CO"/>
              </w:rPr>
              <w:t>TSO/ISO</w:t>
            </w: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59A2928" w14:textId="77777777" w:rsidR="00496A09" w:rsidRPr="00D61480" w:rsidRDefault="00496A09">
            <w:pPr>
              <w:jc w:val="center"/>
              <w:rPr>
                <w:rFonts w:ascii="Arial" w:hAnsi="Arial"/>
                <w:b/>
                <w:bCs/>
                <w:sz w:val="16"/>
                <w:szCs w:val="16"/>
                <w:lang w:eastAsia="es-CO"/>
              </w:rPr>
            </w:pPr>
            <w:r w:rsidRPr="00D61480">
              <w:rPr>
                <w:rFonts w:ascii="Arial" w:hAnsi="Arial"/>
                <w:b/>
                <w:bCs/>
                <w:kern w:val="24"/>
                <w:sz w:val="16"/>
                <w:szCs w:val="16"/>
                <w:lang w:eastAsia="es-CO"/>
              </w:rPr>
              <w:t>DSO → TSO/ISO</w:t>
            </w: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629BE46" w14:textId="77777777" w:rsidR="00496A09" w:rsidRPr="00D61480" w:rsidRDefault="00496A09">
            <w:pPr>
              <w:jc w:val="center"/>
              <w:rPr>
                <w:rFonts w:ascii="Arial" w:hAnsi="Arial"/>
                <w:b/>
                <w:bCs/>
                <w:sz w:val="16"/>
                <w:szCs w:val="16"/>
                <w:lang w:eastAsia="es-CO"/>
              </w:rPr>
            </w:pPr>
            <w:r w:rsidRPr="00D61480">
              <w:rPr>
                <w:rFonts w:ascii="Arial" w:hAnsi="Arial"/>
                <w:b/>
                <w:bCs/>
                <w:kern w:val="24"/>
                <w:sz w:val="16"/>
                <w:szCs w:val="16"/>
                <w:lang w:eastAsia="es-CO"/>
              </w:rPr>
              <w:t>DSO ← TSO/ISO</w:t>
            </w:r>
          </w:p>
        </w:tc>
      </w:tr>
      <w:tr w:rsidR="00496A09" w:rsidRPr="00D61480" w14:paraId="1174CABF" w14:textId="77777777" w:rsidTr="00496A09">
        <w:trPr>
          <w:trHeight w:val="152"/>
          <w:jc w:val="center"/>
        </w:trPr>
        <w:tc>
          <w:tcPr>
            <w:tcW w:w="1285"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D975626"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Estructural</w:t>
            </w: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1D0E8E4"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Topología SE por nivel de tensión</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6833AB0"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36F2CD5"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B17B861"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8092246" w14:textId="77777777" w:rsidR="00496A09" w:rsidRPr="00D61480" w:rsidRDefault="00496A09">
            <w:pPr>
              <w:rPr>
                <w:rFonts w:ascii="Arial" w:hAnsi="Arial"/>
                <w:sz w:val="16"/>
                <w:szCs w:val="16"/>
                <w:lang w:eastAsia="es-CO"/>
              </w:rPr>
            </w:pPr>
          </w:p>
        </w:tc>
      </w:tr>
      <w:tr w:rsidR="00496A09" w:rsidRPr="00D61480" w14:paraId="269D6D14"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2C9D8"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2562FBF"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Variables modelación redes</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F7288C7"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7F624B0"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8EA7171" w14:textId="77777777" w:rsidR="00496A09" w:rsidRPr="00D61480" w:rsidRDefault="00496A09">
            <w:pPr>
              <w:rPr>
                <w:sz w:val="20"/>
                <w:szCs w:val="20"/>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50EDF69" w14:textId="77777777" w:rsidR="00496A09" w:rsidRPr="00D61480" w:rsidRDefault="00496A09">
            <w:pPr>
              <w:rPr>
                <w:sz w:val="20"/>
                <w:szCs w:val="20"/>
                <w:lang w:eastAsia="es-CO"/>
              </w:rPr>
            </w:pPr>
          </w:p>
        </w:tc>
      </w:tr>
      <w:tr w:rsidR="00496A09" w:rsidRPr="00D61480" w14:paraId="6973C043"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E5902"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45952CE"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Variables modelación transformadores</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1CA81B5"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0DEA5B4"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887BB47" w14:textId="77777777" w:rsidR="00496A09" w:rsidRPr="00D61480" w:rsidRDefault="00496A09">
            <w:pPr>
              <w:rPr>
                <w:sz w:val="20"/>
                <w:szCs w:val="20"/>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A285C90" w14:textId="77777777" w:rsidR="00496A09" w:rsidRPr="00D61480" w:rsidRDefault="00496A09">
            <w:pPr>
              <w:rPr>
                <w:sz w:val="20"/>
                <w:szCs w:val="20"/>
                <w:lang w:eastAsia="es-CO"/>
              </w:rPr>
            </w:pPr>
          </w:p>
        </w:tc>
      </w:tr>
      <w:tr w:rsidR="00496A09" w:rsidRPr="00D61480" w14:paraId="29CE5C21"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3B886"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BEAB74F"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Cargas de gran tamaño</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687283E"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A1FA47F"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AF66B09"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A751C5F" w14:textId="77777777" w:rsidR="00496A09" w:rsidRPr="00D61480" w:rsidRDefault="00496A09">
            <w:pPr>
              <w:rPr>
                <w:rFonts w:ascii="Arial" w:hAnsi="Arial"/>
                <w:sz w:val="16"/>
                <w:szCs w:val="16"/>
                <w:lang w:eastAsia="es-CO"/>
              </w:rPr>
            </w:pPr>
          </w:p>
        </w:tc>
      </w:tr>
      <w:tr w:rsidR="00496A09" w:rsidRPr="00D61480" w14:paraId="690699B4"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11BE0"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18761ED"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Variables de P/Q máxima y mínima de los activos de generación</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1C49D30"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ECEF6FC"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4E5CC08" w14:textId="77777777" w:rsidR="00496A09" w:rsidRPr="00D61480" w:rsidRDefault="00496A09">
            <w:pPr>
              <w:rPr>
                <w:sz w:val="20"/>
                <w:szCs w:val="20"/>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ED1285E" w14:textId="77777777" w:rsidR="00496A09" w:rsidRPr="00D61480" w:rsidRDefault="00496A09">
            <w:pPr>
              <w:rPr>
                <w:sz w:val="20"/>
                <w:szCs w:val="20"/>
                <w:lang w:eastAsia="es-CO"/>
              </w:rPr>
            </w:pPr>
          </w:p>
        </w:tc>
      </w:tr>
      <w:tr w:rsidR="00496A09" w:rsidRPr="00D61480" w14:paraId="432EA3A4"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37C76"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10A8E30"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Dato técnico FACTS -X/C- / Almacenamiento SAEB</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CFDA0AD"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909F380"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DCF49A4" w14:textId="77777777" w:rsidR="00496A09" w:rsidRPr="00D61480" w:rsidRDefault="00496A09">
            <w:pPr>
              <w:rPr>
                <w:sz w:val="20"/>
                <w:szCs w:val="20"/>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449181B" w14:textId="77777777" w:rsidR="00496A09" w:rsidRPr="00D61480" w:rsidRDefault="00496A09">
            <w:pPr>
              <w:rPr>
                <w:sz w:val="20"/>
                <w:szCs w:val="20"/>
                <w:lang w:eastAsia="es-CO"/>
              </w:rPr>
            </w:pPr>
          </w:p>
        </w:tc>
      </w:tr>
      <w:tr w:rsidR="00496A09" w:rsidRPr="00D61480" w14:paraId="23F0373E"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8B0A1"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2ACF976"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Dato técnico HVDC</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0EB1023"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4D6FA9C"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6592218" w14:textId="77777777" w:rsidR="00496A09" w:rsidRPr="00D61480" w:rsidRDefault="00496A09">
            <w:pPr>
              <w:rPr>
                <w:sz w:val="20"/>
                <w:szCs w:val="20"/>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47DAA04" w14:textId="77777777" w:rsidR="00496A09" w:rsidRPr="00D61480" w:rsidRDefault="00496A09">
            <w:pPr>
              <w:rPr>
                <w:sz w:val="20"/>
                <w:szCs w:val="20"/>
                <w:lang w:eastAsia="es-CO"/>
              </w:rPr>
            </w:pPr>
          </w:p>
        </w:tc>
      </w:tr>
      <w:tr w:rsidR="00496A09" w:rsidRPr="00D61480" w14:paraId="2374AB74"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840C8E"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1E284EB"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Lista de contingencias</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A120355"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016DD86"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83D2B15" w14:textId="77777777" w:rsidR="00496A09" w:rsidRPr="00D61480" w:rsidRDefault="00496A09">
            <w:pPr>
              <w:rPr>
                <w:sz w:val="20"/>
                <w:szCs w:val="20"/>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DAA9075" w14:textId="77777777" w:rsidR="00496A09" w:rsidRPr="00D61480" w:rsidRDefault="00496A09">
            <w:pPr>
              <w:rPr>
                <w:sz w:val="20"/>
                <w:szCs w:val="20"/>
                <w:lang w:eastAsia="es-CO"/>
              </w:rPr>
            </w:pPr>
          </w:p>
        </w:tc>
      </w:tr>
      <w:tr w:rsidR="00496A09" w:rsidRPr="00D61480" w14:paraId="0FE9D1C7"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2378A"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A797E06"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Límites de seguridad para la operación</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1E4A4AB" w14:textId="77777777" w:rsidR="00496A09" w:rsidRPr="00D61480" w:rsidRDefault="00496A09">
            <w:pPr>
              <w:rPr>
                <w:rFonts w:ascii="Arial" w:hAnsi="Arial"/>
                <w:sz w:val="16"/>
                <w:szCs w:val="16"/>
                <w:lang w:eastAsia="es-CO"/>
              </w:rPr>
            </w:pP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B8DEA98"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E6DA514"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F62E4A0"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r>
      <w:tr w:rsidR="00496A09" w:rsidRPr="00D61480" w14:paraId="64AFD8E9" w14:textId="77777777" w:rsidTr="00496A09">
        <w:trPr>
          <w:trHeight w:val="152"/>
          <w:jc w:val="center"/>
        </w:trPr>
        <w:tc>
          <w:tcPr>
            <w:tcW w:w="1285"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8217851"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Tiempo real/online</w:t>
            </w: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71177AB" w14:textId="12996612" w:rsidR="00496A09" w:rsidRPr="00D61480" w:rsidRDefault="00496A09">
            <w:pPr>
              <w:rPr>
                <w:rFonts w:ascii="Arial" w:hAnsi="Arial"/>
                <w:sz w:val="16"/>
                <w:szCs w:val="16"/>
                <w:lang w:eastAsia="es-CO"/>
              </w:rPr>
            </w:pPr>
            <w:r w:rsidRPr="00D61480">
              <w:rPr>
                <w:rFonts w:ascii="Arial" w:hAnsi="Arial"/>
                <w:kern w:val="24"/>
                <w:sz w:val="16"/>
                <w:szCs w:val="16"/>
                <w:lang w:eastAsia="es-CO"/>
              </w:rPr>
              <w:t>Topología actual de S</w:t>
            </w:r>
            <w:r w:rsidR="00E46078" w:rsidRPr="00D61480">
              <w:rPr>
                <w:rFonts w:ascii="Arial" w:hAnsi="Arial"/>
                <w:kern w:val="24"/>
                <w:sz w:val="16"/>
                <w:szCs w:val="16"/>
                <w:lang w:eastAsia="es-CO"/>
              </w:rPr>
              <w:t>ubestación</w:t>
            </w:r>
            <w:r w:rsidRPr="00D61480">
              <w:rPr>
                <w:rFonts w:ascii="Arial" w:hAnsi="Arial"/>
                <w:kern w:val="24"/>
                <w:sz w:val="16"/>
                <w:szCs w:val="16"/>
                <w:lang w:eastAsia="es-CO"/>
              </w:rPr>
              <w:t xml:space="preserve"> / estado interruptor punto de conexión </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428B675"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8EC9074"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66E85D5"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9113876" w14:textId="77777777" w:rsidR="00496A09" w:rsidRPr="00D61480" w:rsidRDefault="00496A09">
            <w:pPr>
              <w:rPr>
                <w:rFonts w:ascii="Arial" w:hAnsi="Arial"/>
                <w:sz w:val="16"/>
                <w:szCs w:val="16"/>
                <w:lang w:eastAsia="es-CO"/>
              </w:rPr>
            </w:pPr>
          </w:p>
        </w:tc>
      </w:tr>
      <w:tr w:rsidR="00496A09" w:rsidRPr="00D61480" w14:paraId="3BD73740"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15EE0"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041975C"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Intercambio de potencia en las zonas de observabilidad</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F58720D" w14:textId="77777777" w:rsidR="00496A09" w:rsidRPr="00D61480" w:rsidRDefault="00496A09">
            <w:pPr>
              <w:rPr>
                <w:rFonts w:ascii="Arial" w:hAnsi="Arial"/>
                <w:sz w:val="16"/>
                <w:szCs w:val="16"/>
                <w:lang w:eastAsia="es-CO"/>
              </w:rPr>
            </w:pP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F1C1717"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3AEBA4E"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12DF9DB"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r>
      <w:tr w:rsidR="00496A09" w:rsidRPr="00D61480" w14:paraId="1C425579"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6F7348"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0A6739D"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Estado de la red - f, v, reservas P/Q -</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CAE1B6F"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E5F6384"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C7991E5"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EDF0152" w14:textId="77777777" w:rsidR="00496A09" w:rsidRPr="00D61480" w:rsidRDefault="00496A09">
            <w:pPr>
              <w:rPr>
                <w:rFonts w:ascii="Arial" w:hAnsi="Arial"/>
                <w:sz w:val="16"/>
                <w:szCs w:val="16"/>
                <w:lang w:eastAsia="es-CO"/>
              </w:rPr>
            </w:pPr>
          </w:p>
        </w:tc>
      </w:tr>
      <w:tr w:rsidR="00496A09" w:rsidRPr="00D61480" w14:paraId="5597BFCC"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5BCA7"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DB32744"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Demanda agregada en el área de control</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CF611F3"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71B849A"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5BABC05"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7CBEEE0" w14:textId="77777777" w:rsidR="00496A09" w:rsidRPr="00D61480" w:rsidRDefault="00496A09">
            <w:pPr>
              <w:rPr>
                <w:sz w:val="20"/>
                <w:szCs w:val="20"/>
                <w:lang w:eastAsia="es-CO"/>
              </w:rPr>
            </w:pPr>
          </w:p>
        </w:tc>
      </w:tr>
      <w:tr w:rsidR="00496A09" w:rsidRPr="00D61480" w14:paraId="63165C36"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5C655"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7B680D3"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 xml:space="preserve">P/Q </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F78DF3E"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B191706"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C9548A7" w14:textId="77777777" w:rsidR="00496A09" w:rsidRPr="00D61480" w:rsidRDefault="00496A09">
            <w:pPr>
              <w:rPr>
                <w:sz w:val="20"/>
                <w:szCs w:val="20"/>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610F1BA" w14:textId="77777777" w:rsidR="00496A09" w:rsidRPr="00D61480" w:rsidRDefault="00496A09">
            <w:pPr>
              <w:rPr>
                <w:sz w:val="20"/>
                <w:szCs w:val="20"/>
                <w:lang w:eastAsia="es-CO"/>
              </w:rPr>
            </w:pPr>
          </w:p>
        </w:tc>
      </w:tr>
      <w:tr w:rsidR="00496A09" w:rsidRPr="00D61480" w14:paraId="32CFEBA5"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C762E"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3AEB881"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Restricciones de capacidad para la operación</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0E8CEA7"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E4CD9CC"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54C4DFC"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B58A573" w14:textId="77777777" w:rsidR="00496A09" w:rsidRPr="00D61480" w:rsidRDefault="00496A09">
            <w:pPr>
              <w:rPr>
                <w:rFonts w:ascii="Arial" w:hAnsi="Arial"/>
                <w:sz w:val="16"/>
                <w:szCs w:val="16"/>
                <w:lang w:eastAsia="es-CO"/>
              </w:rPr>
            </w:pPr>
          </w:p>
        </w:tc>
      </w:tr>
      <w:tr w:rsidR="00496A09" w:rsidRPr="00D61480" w14:paraId="4CA4054A" w14:textId="77777777" w:rsidTr="00496A09">
        <w:trPr>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FDBA0" w14:textId="77777777" w:rsidR="00496A09" w:rsidRPr="00D61480" w:rsidRDefault="00496A09">
            <w:pPr>
              <w:rPr>
                <w:rFonts w:ascii="Arial" w:hAnsi="Arial"/>
                <w:sz w:val="16"/>
                <w:szCs w:val="16"/>
                <w:lang w:eastAsia="es-CO"/>
              </w:rPr>
            </w:pPr>
          </w:p>
        </w:tc>
        <w:tc>
          <w:tcPr>
            <w:tcW w:w="32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2E97C4A" w14:textId="77777777" w:rsidR="00496A09" w:rsidRPr="00D61480" w:rsidRDefault="00496A09">
            <w:pPr>
              <w:rPr>
                <w:rFonts w:ascii="Arial" w:hAnsi="Arial"/>
                <w:sz w:val="16"/>
                <w:szCs w:val="16"/>
                <w:lang w:eastAsia="es-CO"/>
              </w:rPr>
            </w:pPr>
            <w:r w:rsidRPr="00D61480">
              <w:rPr>
                <w:rFonts w:ascii="Arial" w:hAnsi="Arial"/>
                <w:kern w:val="24"/>
                <w:sz w:val="16"/>
                <w:szCs w:val="16"/>
                <w:lang w:eastAsia="es-CO"/>
              </w:rPr>
              <w:t>Gestión fallas</w:t>
            </w:r>
          </w:p>
        </w:tc>
        <w:tc>
          <w:tcPr>
            <w:tcW w:w="6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25203C5"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93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F674AB8" w14:textId="77777777" w:rsidR="00496A09" w:rsidRPr="00D61480" w:rsidRDefault="00496A09">
            <w:pPr>
              <w:rPr>
                <w:rFonts w:ascii="Arial" w:hAnsi="Arial"/>
                <w:sz w:val="16"/>
                <w:szCs w:val="16"/>
                <w:lang w:eastAsia="es-CO"/>
              </w:rPr>
            </w:pP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8AA70D9" w14:textId="77777777" w:rsidR="00496A09" w:rsidRPr="00D61480" w:rsidRDefault="00496A09">
            <w:pPr>
              <w:jc w:val="center"/>
              <w:rPr>
                <w:rFonts w:ascii="Arial" w:hAnsi="Arial"/>
                <w:sz w:val="16"/>
                <w:szCs w:val="16"/>
                <w:lang w:eastAsia="es-CO"/>
              </w:rPr>
            </w:pPr>
            <w:r w:rsidRPr="00D61480">
              <w:rPr>
                <w:rFonts w:ascii="Arial" w:hAnsi="Arial"/>
                <w:kern w:val="24"/>
                <w:sz w:val="16"/>
                <w:szCs w:val="16"/>
                <w:lang w:eastAsia="es-CO"/>
              </w:rPr>
              <w:t>X</w:t>
            </w:r>
          </w:p>
        </w:tc>
        <w:tc>
          <w:tcPr>
            <w:tcW w:w="13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DB82659" w14:textId="77777777" w:rsidR="00496A09" w:rsidRPr="00D61480" w:rsidRDefault="00496A09">
            <w:pPr>
              <w:rPr>
                <w:rFonts w:ascii="Arial" w:hAnsi="Arial"/>
                <w:sz w:val="16"/>
                <w:szCs w:val="16"/>
                <w:lang w:eastAsia="es-CO"/>
              </w:rPr>
            </w:pPr>
          </w:p>
        </w:tc>
      </w:tr>
    </w:tbl>
    <w:p w14:paraId="4B6BC385" w14:textId="77777777" w:rsidR="00496A09" w:rsidRPr="00D61480" w:rsidRDefault="00496A09" w:rsidP="00496A09">
      <w:pPr>
        <w:jc w:val="center"/>
        <w:rPr>
          <w:rFonts w:ascii="Arial" w:hAnsi="Arial"/>
          <w:sz w:val="16"/>
          <w:szCs w:val="16"/>
          <w:lang w:eastAsia="en-US"/>
        </w:rPr>
      </w:pPr>
      <w:r w:rsidRPr="00D61480">
        <w:rPr>
          <w:rFonts w:ascii="Arial" w:hAnsi="Arial"/>
          <w:sz w:val="16"/>
          <w:szCs w:val="16"/>
        </w:rPr>
        <w:t>Tabla 9. Intercambio de datos- DSO/TSO-ISO</w:t>
      </w:r>
    </w:p>
    <w:p w14:paraId="0038A4C7" w14:textId="77777777" w:rsidR="00496A09" w:rsidRPr="00D61480" w:rsidRDefault="00496A09" w:rsidP="00496A09">
      <w:pPr>
        <w:jc w:val="center"/>
        <w:rPr>
          <w:rFonts w:ascii="Arial" w:hAnsi="Arial"/>
          <w:sz w:val="16"/>
          <w:szCs w:val="16"/>
        </w:rPr>
      </w:pPr>
      <w:r w:rsidRPr="00D61480">
        <w:rPr>
          <w:rFonts w:ascii="Arial" w:hAnsi="Arial"/>
          <w:sz w:val="16"/>
          <w:szCs w:val="16"/>
        </w:rPr>
        <w:t>Fuente: Elaboración propia</w:t>
      </w:r>
    </w:p>
    <w:p w14:paraId="18162982" w14:textId="77777777" w:rsidR="00496A09" w:rsidRPr="00D61480" w:rsidRDefault="00496A09" w:rsidP="00496A09">
      <w:pPr>
        <w:jc w:val="center"/>
        <w:rPr>
          <w:rFonts w:ascii="Arial" w:hAnsi="Arial"/>
          <w:sz w:val="20"/>
          <w:szCs w:val="20"/>
        </w:rPr>
      </w:pPr>
    </w:p>
    <w:p w14:paraId="25431115" w14:textId="2DCC6A74" w:rsidR="00496A09" w:rsidRPr="00D61480" w:rsidRDefault="00496A09" w:rsidP="00496A09">
      <w:pPr>
        <w:rPr>
          <w:rFonts w:ascii="Arial" w:hAnsi="Arial"/>
          <w:sz w:val="20"/>
          <w:szCs w:val="20"/>
        </w:rPr>
      </w:pPr>
      <w:r w:rsidRPr="00D61480">
        <w:rPr>
          <w:rFonts w:ascii="Arial" w:hAnsi="Arial"/>
          <w:sz w:val="20"/>
          <w:szCs w:val="20"/>
        </w:rPr>
        <w:t>La arquitectura que permitirá la supervisión y operación de las plantas fotovoltaicas y eólicas conectadas al SDL en forma segura, confiable y económica, obedecen a una red distribuida con una jerarquía distribuida para plantas hasta 19</w:t>
      </w:r>
      <w:r w:rsidR="00E46078" w:rsidRPr="00D61480">
        <w:rPr>
          <w:rFonts w:ascii="Arial" w:hAnsi="Arial"/>
          <w:sz w:val="20"/>
          <w:szCs w:val="20"/>
        </w:rPr>
        <w:t>.</w:t>
      </w:r>
      <w:r w:rsidRPr="00D61480">
        <w:rPr>
          <w:rFonts w:ascii="Arial" w:hAnsi="Arial"/>
          <w:sz w:val="20"/>
          <w:szCs w:val="20"/>
        </w:rPr>
        <w:t>9MW y que están conectadas al SDL, con el suministro e intercambio de información mencionados arriba y que se pueden representar tal como se observa en la Figura 1</w:t>
      </w:r>
      <w:r w:rsidR="00423DE6" w:rsidRPr="00D61480">
        <w:rPr>
          <w:rFonts w:ascii="Arial" w:hAnsi="Arial"/>
          <w:sz w:val="20"/>
          <w:szCs w:val="20"/>
        </w:rPr>
        <w:t>7</w:t>
      </w:r>
      <w:r w:rsidRPr="00D61480">
        <w:rPr>
          <w:rFonts w:ascii="Arial" w:hAnsi="Arial"/>
          <w:sz w:val="20"/>
          <w:szCs w:val="20"/>
        </w:rPr>
        <w:t>:</w:t>
      </w:r>
    </w:p>
    <w:p w14:paraId="18F324F6" w14:textId="134FDD4D" w:rsidR="00496A09" w:rsidRPr="00D61480" w:rsidRDefault="00496A09" w:rsidP="00496A09">
      <w:pPr>
        <w:jc w:val="center"/>
        <w:rPr>
          <w:rFonts w:asciiTheme="minorHAnsi" w:hAnsiTheme="minorHAnsi" w:cstheme="minorBidi"/>
          <w:sz w:val="20"/>
          <w:szCs w:val="20"/>
        </w:rPr>
      </w:pPr>
      <w:r w:rsidRPr="00D61480">
        <w:rPr>
          <w:noProof/>
          <w:sz w:val="20"/>
          <w:szCs w:val="20"/>
        </w:rPr>
        <w:lastRenderedPageBreak/>
        <w:drawing>
          <wp:inline distT="0" distB="0" distL="0" distR="0" wp14:anchorId="15FE8DED" wp14:editId="17203E9E">
            <wp:extent cx="4105275" cy="2245621"/>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6700" cy="2251871"/>
                    </a:xfrm>
                    <a:prstGeom prst="rect">
                      <a:avLst/>
                    </a:prstGeom>
                    <a:noFill/>
                    <a:ln>
                      <a:noFill/>
                    </a:ln>
                  </pic:spPr>
                </pic:pic>
              </a:graphicData>
            </a:graphic>
          </wp:inline>
        </w:drawing>
      </w:r>
    </w:p>
    <w:p w14:paraId="42DD9E40" w14:textId="6313AD02" w:rsidR="00496A09" w:rsidRPr="00D61480" w:rsidRDefault="00496A09" w:rsidP="00496A09">
      <w:pPr>
        <w:jc w:val="center"/>
        <w:rPr>
          <w:rFonts w:ascii="Arial" w:hAnsi="Arial"/>
          <w:sz w:val="20"/>
          <w:szCs w:val="20"/>
        </w:rPr>
      </w:pPr>
      <w:r w:rsidRPr="00D61480">
        <w:rPr>
          <w:rFonts w:ascii="Arial" w:hAnsi="Arial"/>
          <w:sz w:val="20"/>
          <w:szCs w:val="20"/>
        </w:rPr>
        <w:t>Figura 1</w:t>
      </w:r>
      <w:r w:rsidR="00423DE6" w:rsidRPr="00D61480">
        <w:rPr>
          <w:rFonts w:ascii="Arial" w:hAnsi="Arial"/>
          <w:sz w:val="20"/>
          <w:szCs w:val="20"/>
        </w:rPr>
        <w:t>7</w:t>
      </w:r>
      <w:r w:rsidRPr="00D61480">
        <w:rPr>
          <w:rFonts w:ascii="Arial" w:hAnsi="Arial"/>
          <w:sz w:val="20"/>
          <w:szCs w:val="20"/>
        </w:rPr>
        <w:t>. Jerarquía de operación objetivo</w:t>
      </w:r>
    </w:p>
    <w:p w14:paraId="4785462A" w14:textId="77777777" w:rsidR="00423DE6" w:rsidRPr="00D61480" w:rsidRDefault="00423DE6" w:rsidP="00496A09">
      <w:pPr>
        <w:rPr>
          <w:rFonts w:ascii="Arial" w:hAnsi="Arial"/>
          <w:sz w:val="20"/>
          <w:szCs w:val="20"/>
        </w:rPr>
      </w:pPr>
    </w:p>
    <w:p w14:paraId="6F76B015" w14:textId="201806DE" w:rsidR="00423DE6" w:rsidRPr="00D61480" w:rsidRDefault="00496A09" w:rsidP="00496A09">
      <w:pPr>
        <w:rPr>
          <w:rFonts w:ascii="Arial" w:hAnsi="Arial"/>
          <w:sz w:val="20"/>
          <w:szCs w:val="20"/>
        </w:rPr>
      </w:pPr>
      <w:r w:rsidRPr="00D61480">
        <w:rPr>
          <w:rFonts w:ascii="Arial" w:hAnsi="Arial"/>
          <w:sz w:val="20"/>
          <w:szCs w:val="20"/>
        </w:rPr>
        <w:t>Para la operación coordinada de estos DER en el sentido amplio (Plantas fotovoltaicas, eólicas, h</w:t>
      </w:r>
      <w:r w:rsidR="00423DE6" w:rsidRPr="00D61480">
        <w:rPr>
          <w:rFonts w:ascii="Arial" w:hAnsi="Arial"/>
          <w:sz w:val="20"/>
          <w:szCs w:val="20"/>
        </w:rPr>
        <w:t>idroeléctricas</w:t>
      </w:r>
      <w:r w:rsidRPr="00D61480">
        <w:rPr>
          <w:rFonts w:ascii="Arial" w:hAnsi="Arial"/>
          <w:sz w:val="20"/>
          <w:szCs w:val="20"/>
        </w:rPr>
        <w:t>, almacenamiento, VPP, VE)</w:t>
      </w:r>
      <w:r w:rsidR="00423DE6" w:rsidRPr="00D61480">
        <w:rPr>
          <w:rFonts w:ascii="Arial" w:hAnsi="Arial"/>
          <w:sz w:val="20"/>
          <w:szCs w:val="20"/>
        </w:rPr>
        <w:t>,</w:t>
      </w:r>
      <w:r w:rsidRPr="00D61480">
        <w:rPr>
          <w:rFonts w:ascii="Arial" w:hAnsi="Arial"/>
          <w:sz w:val="20"/>
          <w:szCs w:val="20"/>
        </w:rPr>
        <w:t xml:space="preserve"> se requiere reconocer la respuesta diferencial que pueden brindar</w:t>
      </w:r>
      <w:r w:rsidR="00423DE6" w:rsidRPr="00D61480">
        <w:rPr>
          <w:rFonts w:ascii="Arial" w:hAnsi="Arial"/>
          <w:sz w:val="20"/>
          <w:szCs w:val="20"/>
        </w:rPr>
        <w:t xml:space="preserve"> </w:t>
      </w:r>
      <w:r w:rsidRPr="00D61480">
        <w:rPr>
          <w:rFonts w:ascii="Arial" w:hAnsi="Arial"/>
          <w:sz w:val="20"/>
          <w:szCs w:val="20"/>
        </w:rPr>
        <w:t>estos recursos al sistema, considerando sus atributos y capacidades de flexibilidad. Conforme a lo anterior se deben definir los requisitos de supervisión, control, ciberseguridad y comunicaciones de tal forma que no se exijan requisitos que se conviertan en barreras a la entrada de los DER. Las características y capacidades tecnológicas de estos recursos en diferentes rangos de tiempo, pueden ser aprovechadas tanto por el operador de distribución como por el operador del sistema</w:t>
      </w:r>
      <w:r w:rsidR="00423DE6" w:rsidRPr="00D61480">
        <w:rPr>
          <w:rFonts w:ascii="Arial" w:hAnsi="Arial"/>
          <w:sz w:val="20"/>
          <w:szCs w:val="20"/>
        </w:rPr>
        <w:t>,</w:t>
      </w:r>
      <w:r w:rsidRPr="00D61480">
        <w:rPr>
          <w:rFonts w:ascii="Arial" w:hAnsi="Arial"/>
          <w:sz w:val="20"/>
          <w:szCs w:val="20"/>
        </w:rPr>
        <w:t xml:space="preserve"> de acuerdo con las necesidades de flexibilidad que cada uno tenga</w:t>
      </w:r>
      <w:r w:rsidR="00423DE6" w:rsidRPr="00D61480">
        <w:rPr>
          <w:rFonts w:ascii="Arial" w:hAnsi="Arial"/>
          <w:sz w:val="20"/>
          <w:szCs w:val="20"/>
        </w:rPr>
        <w:t>.</w:t>
      </w:r>
    </w:p>
    <w:p w14:paraId="454D104E" w14:textId="77777777" w:rsidR="00423DE6" w:rsidRPr="00D61480" w:rsidRDefault="00423DE6" w:rsidP="00496A09">
      <w:pPr>
        <w:rPr>
          <w:rFonts w:ascii="Arial" w:hAnsi="Arial"/>
          <w:sz w:val="20"/>
          <w:szCs w:val="20"/>
        </w:rPr>
      </w:pPr>
    </w:p>
    <w:p w14:paraId="7299E9E4" w14:textId="1684E14B" w:rsidR="00496A09" w:rsidRPr="00D61480" w:rsidRDefault="00423DE6" w:rsidP="00496A09">
      <w:pPr>
        <w:rPr>
          <w:rFonts w:ascii="Arial" w:hAnsi="Arial"/>
          <w:sz w:val="20"/>
          <w:szCs w:val="20"/>
        </w:rPr>
      </w:pPr>
      <w:r w:rsidRPr="00D61480">
        <w:rPr>
          <w:rFonts w:ascii="Arial" w:hAnsi="Arial"/>
          <w:sz w:val="20"/>
          <w:szCs w:val="20"/>
        </w:rPr>
        <w:t>Idealmente, e</w:t>
      </w:r>
      <w:r w:rsidR="00496A09" w:rsidRPr="00D61480">
        <w:rPr>
          <w:rFonts w:ascii="Arial" w:hAnsi="Arial"/>
          <w:sz w:val="20"/>
          <w:szCs w:val="20"/>
        </w:rPr>
        <w:t xml:space="preserve">l límite de observabilidad e integración directa de las plantas fotovoltaicas y eólicas </w:t>
      </w:r>
      <w:r w:rsidRPr="00D61480">
        <w:rPr>
          <w:rFonts w:ascii="Arial" w:hAnsi="Arial"/>
          <w:sz w:val="20"/>
          <w:szCs w:val="20"/>
        </w:rPr>
        <w:t xml:space="preserve">al </w:t>
      </w:r>
      <w:r w:rsidR="00496A09" w:rsidRPr="00D61480">
        <w:rPr>
          <w:rFonts w:ascii="Arial" w:hAnsi="Arial"/>
          <w:sz w:val="20"/>
          <w:szCs w:val="20"/>
        </w:rPr>
        <w:t>SDL</w:t>
      </w:r>
      <w:r w:rsidRPr="00D61480">
        <w:rPr>
          <w:rFonts w:ascii="Arial" w:hAnsi="Arial"/>
          <w:sz w:val="20"/>
          <w:szCs w:val="20"/>
        </w:rPr>
        <w:t xml:space="preserve">, </w:t>
      </w:r>
      <w:r w:rsidR="00496A09" w:rsidRPr="00D61480">
        <w:rPr>
          <w:rFonts w:ascii="Arial" w:hAnsi="Arial"/>
          <w:sz w:val="20"/>
          <w:szCs w:val="20"/>
        </w:rPr>
        <w:t>y los demás DER</w:t>
      </w:r>
      <w:r w:rsidRPr="00D61480">
        <w:rPr>
          <w:rFonts w:ascii="Arial" w:hAnsi="Arial"/>
          <w:sz w:val="20"/>
          <w:szCs w:val="20"/>
        </w:rPr>
        <w:t>,</w:t>
      </w:r>
      <w:r w:rsidR="00496A09" w:rsidRPr="00D61480">
        <w:rPr>
          <w:rFonts w:ascii="Arial" w:hAnsi="Arial"/>
          <w:sz w:val="20"/>
          <w:szCs w:val="20"/>
        </w:rPr>
        <w:t xml:space="preserve"> debe</w:t>
      </w:r>
      <w:r w:rsidRPr="00D61480">
        <w:rPr>
          <w:rFonts w:ascii="Arial" w:hAnsi="Arial"/>
          <w:sz w:val="20"/>
          <w:szCs w:val="20"/>
        </w:rPr>
        <w:t>ría</w:t>
      </w:r>
      <w:r w:rsidR="00496A09" w:rsidRPr="00D61480">
        <w:rPr>
          <w:rFonts w:ascii="Arial" w:hAnsi="Arial"/>
          <w:sz w:val="20"/>
          <w:szCs w:val="20"/>
        </w:rPr>
        <w:t xml:space="preserve"> ir hasta </w:t>
      </w:r>
      <w:r w:rsidRPr="00D61480">
        <w:rPr>
          <w:rFonts w:ascii="Arial" w:hAnsi="Arial"/>
          <w:sz w:val="20"/>
          <w:szCs w:val="20"/>
        </w:rPr>
        <w:t xml:space="preserve">el </w:t>
      </w:r>
      <w:r w:rsidR="00496A09" w:rsidRPr="00D61480">
        <w:rPr>
          <w:rFonts w:ascii="Arial" w:hAnsi="Arial"/>
          <w:sz w:val="20"/>
          <w:szCs w:val="20"/>
        </w:rPr>
        <w:t>perímetro de los recursos</w:t>
      </w:r>
      <w:r w:rsidRPr="00D61480">
        <w:rPr>
          <w:rFonts w:ascii="Arial" w:hAnsi="Arial"/>
          <w:sz w:val="20"/>
          <w:szCs w:val="20"/>
        </w:rPr>
        <w:t xml:space="preserve"> </w:t>
      </w:r>
      <w:r w:rsidR="00496A09" w:rsidRPr="00D61480">
        <w:rPr>
          <w:rFonts w:ascii="Arial" w:hAnsi="Arial"/>
          <w:sz w:val="20"/>
          <w:szCs w:val="20"/>
        </w:rPr>
        <w:t>no despachados centralmente, es decir por debajo de los 19.9 MW. La</w:t>
      </w:r>
      <w:r w:rsidRPr="00D61480">
        <w:rPr>
          <w:rFonts w:ascii="Arial" w:hAnsi="Arial"/>
          <w:sz w:val="20"/>
          <w:szCs w:val="20"/>
        </w:rPr>
        <w:t xml:space="preserve"> </w:t>
      </w:r>
      <w:r w:rsidR="00496A09" w:rsidRPr="00D61480">
        <w:rPr>
          <w:rFonts w:ascii="Arial" w:hAnsi="Arial"/>
          <w:sz w:val="20"/>
          <w:szCs w:val="20"/>
        </w:rPr>
        <w:t>ausencia de supervisión y coordinación de estos DER por parte del OR, puede implicar variaciones en la red de distribución, con impactos en la calidad del servicio, perdidas de energía y la coordinación de la operación local, teniendo en cuenta la supervisión y disponibilidad de información en tiempos escalonados (</w:t>
      </w:r>
      <w:r w:rsidRPr="00D61480">
        <w:rPr>
          <w:rFonts w:ascii="Arial" w:hAnsi="Arial"/>
          <w:sz w:val="20"/>
          <w:szCs w:val="20"/>
        </w:rPr>
        <w:t>t</w:t>
      </w:r>
      <w:r w:rsidR="00496A09" w:rsidRPr="00D61480">
        <w:rPr>
          <w:rFonts w:ascii="Arial" w:hAnsi="Arial"/>
          <w:sz w:val="20"/>
          <w:szCs w:val="20"/>
        </w:rPr>
        <w:t>iempo real, online, programado, y planeación) y los</w:t>
      </w:r>
      <w:r w:rsidRPr="00D61480">
        <w:rPr>
          <w:rFonts w:ascii="Arial" w:hAnsi="Arial"/>
          <w:sz w:val="20"/>
          <w:szCs w:val="20"/>
        </w:rPr>
        <w:t xml:space="preserve"> </w:t>
      </w:r>
      <w:r w:rsidR="00496A09" w:rsidRPr="00D61480">
        <w:rPr>
          <w:rFonts w:ascii="Arial" w:hAnsi="Arial"/>
          <w:sz w:val="20"/>
          <w:szCs w:val="20"/>
        </w:rPr>
        <w:t>niveles de exigencia de</w:t>
      </w:r>
      <w:r w:rsidRPr="00D61480">
        <w:rPr>
          <w:rFonts w:ascii="Arial" w:hAnsi="Arial"/>
          <w:sz w:val="20"/>
          <w:szCs w:val="20"/>
        </w:rPr>
        <w:t xml:space="preserve"> </w:t>
      </w:r>
      <w:r w:rsidR="00496A09" w:rsidRPr="00D61480">
        <w:rPr>
          <w:rFonts w:ascii="Arial" w:hAnsi="Arial"/>
          <w:sz w:val="20"/>
          <w:szCs w:val="20"/>
        </w:rPr>
        <w:t xml:space="preserve">infraestructura de comunicaciones y de ciberseguridad diferentes. </w:t>
      </w:r>
    </w:p>
    <w:p w14:paraId="0818999E" w14:textId="77777777" w:rsidR="00423DE6" w:rsidRPr="00D61480" w:rsidRDefault="00423DE6" w:rsidP="00496A09">
      <w:pPr>
        <w:pStyle w:val="Enelcorpodeltesto"/>
        <w:contextualSpacing/>
        <w:outlineLvl w:val="0"/>
        <w:rPr>
          <w:rFonts w:ascii="Arial" w:hAnsi="Arial" w:cs="Arial"/>
          <w:sz w:val="20"/>
          <w:szCs w:val="20"/>
        </w:rPr>
      </w:pPr>
    </w:p>
    <w:p w14:paraId="359714A2" w14:textId="596ED7DE" w:rsidR="00B3135C" w:rsidRPr="00D61480" w:rsidRDefault="00496A09" w:rsidP="00496A09">
      <w:pPr>
        <w:pStyle w:val="Enelcorpodeltesto"/>
        <w:contextualSpacing/>
        <w:outlineLvl w:val="0"/>
        <w:rPr>
          <w:rFonts w:ascii="Arial" w:hAnsi="Arial" w:cs="Arial"/>
          <w:sz w:val="20"/>
          <w:szCs w:val="20"/>
        </w:rPr>
      </w:pPr>
      <w:r w:rsidRPr="00D61480">
        <w:rPr>
          <w:rFonts w:ascii="Arial" w:hAnsi="Arial" w:cs="Arial"/>
          <w:sz w:val="20"/>
          <w:szCs w:val="20"/>
        </w:rPr>
        <w:t>Por lo anterior el CNO</w:t>
      </w:r>
      <w:r w:rsidR="00423DE6" w:rsidRPr="00D61480">
        <w:rPr>
          <w:rFonts w:ascii="Arial" w:hAnsi="Arial" w:cs="Arial"/>
          <w:sz w:val="20"/>
          <w:szCs w:val="20"/>
        </w:rPr>
        <w:t xml:space="preserve"> a futuro</w:t>
      </w:r>
      <w:r w:rsidRPr="00D61480">
        <w:rPr>
          <w:rFonts w:ascii="Arial" w:hAnsi="Arial" w:cs="Arial"/>
          <w:sz w:val="20"/>
          <w:szCs w:val="20"/>
        </w:rPr>
        <w:t xml:space="preserve"> prevé una revisión de la integración general de los DER en forma amplia, que aborde </w:t>
      </w:r>
      <w:r w:rsidR="00423DE6" w:rsidRPr="00D61480">
        <w:rPr>
          <w:rFonts w:ascii="Arial" w:hAnsi="Arial" w:cs="Arial"/>
          <w:sz w:val="20"/>
          <w:szCs w:val="20"/>
        </w:rPr>
        <w:t xml:space="preserve">nuevamene </w:t>
      </w:r>
      <w:r w:rsidRPr="00D61480">
        <w:rPr>
          <w:rFonts w:ascii="Arial" w:hAnsi="Arial" w:cs="Arial"/>
          <w:sz w:val="20"/>
          <w:szCs w:val="20"/>
        </w:rPr>
        <w:t>la segmentación y los rangos de potencia permisibles en el sistema, de tal forma que se capture todo el valor de la tecnología a favor del despliegue de los DER  y los  beneficios para la operación  del sistema.</w:t>
      </w:r>
    </w:p>
    <w:p w14:paraId="0C5C38E4" w14:textId="48FF431E" w:rsidR="00D30405" w:rsidRPr="00D61480" w:rsidRDefault="00D30405" w:rsidP="00496A09">
      <w:pPr>
        <w:pStyle w:val="Enelcorpodeltesto"/>
        <w:contextualSpacing/>
        <w:outlineLvl w:val="0"/>
        <w:rPr>
          <w:rFonts w:ascii="Arial" w:hAnsi="Arial" w:cs="Arial"/>
          <w:sz w:val="20"/>
          <w:szCs w:val="20"/>
        </w:rPr>
      </w:pPr>
    </w:p>
    <w:p w14:paraId="425D4A4F" w14:textId="28CADF8F" w:rsidR="00977585" w:rsidRPr="00D61480" w:rsidRDefault="00977585" w:rsidP="00977585">
      <w:pPr>
        <w:pStyle w:val="Ttulo1"/>
        <w:numPr>
          <w:ilvl w:val="0"/>
          <w:numId w:val="12"/>
        </w:numPr>
        <w:rPr>
          <w:rFonts w:eastAsiaTheme="minorHAnsi"/>
          <w:sz w:val="20"/>
          <w:szCs w:val="20"/>
        </w:rPr>
      </w:pPr>
      <w:bookmarkStart w:id="17" w:name="_Toc52213538"/>
      <w:r w:rsidRPr="00D61480">
        <w:rPr>
          <w:rFonts w:eastAsiaTheme="minorHAnsi"/>
          <w:sz w:val="20"/>
          <w:szCs w:val="20"/>
        </w:rPr>
        <w:t>Conclusiones y recomendaciones</w:t>
      </w:r>
      <w:bookmarkEnd w:id="17"/>
      <w:r w:rsidRPr="00D61480">
        <w:rPr>
          <w:rFonts w:eastAsiaTheme="minorHAnsi"/>
          <w:sz w:val="20"/>
          <w:szCs w:val="20"/>
        </w:rPr>
        <w:t>.</w:t>
      </w:r>
    </w:p>
    <w:p w14:paraId="0FF8983C" w14:textId="77777777" w:rsidR="00977585" w:rsidRPr="00D61480" w:rsidRDefault="00977585" w:rsidP="00977585">
      <w:pPr>
        <w:rPr>
          <w:rFonts w:eastAsiaTheme="minorHAnsi"/>
          <w:sz w:val="20"/>
          <w:szCs w:val="20"/>
        </w:rPr>
      </w:pPr>
    </w:p>
    <w:p w14:paraId="4EF4FFFA" w14:textId="508BD000" w:rsidR="00977585" w:rsidRPr="00D61480" w:rsidRDefault="00977585" w:rsidP="00977585">
      <w:pPr>
        <w:rPr>
          <w:rFonts w:ascii="Arial" w:hAnsi="Arial"/>
          <w:sz w:val="20"/>
          <w:szCs w:val="20"/>
        </w:rPr>
      </w:pPr>
      <w:r w:rsidRPr="00D61480">
        <w:rPr>
          <w:rFonts w:ascii="Arial" w:hAnsi="Arial"/>
          <w:sz w:val="20"/>
          <w:szCs w:val="20"/>
        </w:rPr>
        <w:t>Para la operación segura y confiable de los SDL son importantes las recomendaciones de requisitos de supervisión y ciberseguridad que están enfocadas en la estandarización de integración de las nuevas tecnologías DER de plantas fotovoltaicas y eólicas al SDL, sin perder de vista que los requisitos deben contemplar los demás recursos de energía distribuida como los VPP, Almacenamiento, estaciones de carga-VE, entre otros.</w:t>
      </w:r>
    </w:p>
    <w:p w14:paraId="280CECEB" w14:textId="1020C3E2" w:rsidR="00977585" w:rsidRPr="00D61480" w:rsidRDefault="00977585" w:rsidP="00977585">
      <w:pPr>
        <w:rPr>
          <w:rFonts w:ascii="Arial" w:hAnsi="Arial"/>
          <w:sz w:val="20"/>
          <w:szCs w:val="20"/>
        </w:rPr>
      </w:pPr>
      <w:r w:rsidRPr="00D61480">
        <w:rPr>
          <w:rFonts w:ascii="Arial" w:hAnsi="Arial"/>
          <w:sz w:val="20"/>
          <w:szCs w:val="20"/>
        </w:rPr>
        <w:t xml:space="preserve">El intercambio de datos con los OR (DSO) deberá realizarse bajo la premisa de que las plantas fotovoltaicas y eólicas conectadas al SDL, tengan una conexión e integración costo eficiente que aseguren su integración de forma ágil y oportuna, además de asegurar su observabilidad y </w:t>
      </w:r>
      <w:r w:rsidRPr="00D61480">
        <w:rPr>
          <w:rFonts w:ascii="Arial" w:hAnsi="Arial"/>
          <w:sz w:val="20"/>
          <w:szCs w:val="20"/>
        </w:rPr>
        <w:lastRenderedPageBreak/>
        <w:t>supervisión conforme con los requisitos de seguridad de la operación, así como también el intercambio de información con el CND por enlaces ICCP para efectos de coordinación y seguridad de la operación.</w:t>
      </w:r>
    </w:p>
    <w:p w14:paraId="62ADC232" w14:textId="77777777" w:rsidR="00977585" w:rsidRPr="00D61480" w:rsidRDefault="00977585" w:rsidP="00977585">
      <w:pPr>
        <w:rPr>
          <w:rFonts w:ascii="Arial" w:hAnsi="Arial"/>
          <w:sz w:val="20"/>
          <w:szCs w:val="20"/>
        </w:rPr>
      </w:pPr>
    </w:p>
    <w:p w14:paraId="12E9B7B5" w14:textId="54076461" w:rsidR="00977585" w:rsidRPr="00D61480" w:rsidRDefault="00977585" w:rsidP="00977585">
      <w:pPr>
        <w:rPr>
          <w:rFonts w:ascii="Arial" w:hAnsi="Arial"/>
          <w:sz w:val="20"/>
          <w:szCs w:val="20"/>
        </w:rPr>
      </w:pPr>
      <w:r w:rsidRPr="00D61480">
        <w:rPr>
          <w:rFonts w:ascii="Arial" w:hAnsi="Arial"/>
          <w:sz w:val="20"/>
          <w:szCs w:val="20"/>
        </w:rPr>
        <w:t>Los requisitos de conexión y de operación de los DER (plantas fotovoltaicas y eólicas) deben cubrir las necesidades de integración y de operación de la red del SDL, para lo cual la arquitectura y jerarquía de operación objetivo recomendada, que concentra y agrega las plantas en el DSO, es la ideal para la operación eficiente del sistema, pues mediante el intercambio de información entre centros de control de los DSO y el CND (TSO/ISO), es posible asegurar la operación segura y confiable del SIN.</w:t>
      </w:r>
    </w:p>
    <w:p w14:paraId="2B396768" w14:textId="77777777" w:rsidR="00977585" w:rsidRPr="00D61480" w:rsidRDefault="00977585" w:rsidP="00977585">
      <w:pPr>
        <w:rPr>
          <w:rFonts w:ascii="Arial" w:hAnsi="Arial"/>
          <w:sz w:val="20"/>
          <w:szCs w:val="20"/>
        </w:rPr>
      </w:pPr>
    </w:p>
    <w:p w14:paraId="5440D3A7" w14:textId="3DDE7633" w:rsidR="00977585" w:rsidRPr="00D61480" w:rsidRDefault="00977585" w:rsidP="00977585">
      <w:pPr>
        <w:rPr>
          <w:rFonts w:ascii="Arial" w:hAnsi="Arial"/>
          <w:sz w:val="20"/>
          <w:szCs w:val="20"/>
        </w:rPr>
      </w:pPr>
      <w:r w:rsidRPr="00D61480">
        <w:rPr>
          <w:rFonts w:ascii="Arial" w:hAnsi="Arial"/>
          <w:sz w:val="20"/>
          <w:szCs w:val="20"/>
        </w:rPr>
        <w:t>Los servicios que se deriven de esta nueva arquitectura y jerarquía de operación deberán ser estudiados a la luz de lo que significa el balance carga generación en forma distribuida, la regulación de tensión y de frecuencia, siempre bajo la premisa de los estándares y tendencias de buenas prácticas mundiales, que optimicen las redes de distribución y los recursos DER.</w:t>
      </w:r>
    </w:p>
    <w:p w14:paraId="2D505B23" w14:textId="77777777" w:rsidR="00977585" w:rsidRPr="00D61480" w:rsidRDefault="00977585" w:rsidP="00977585">
      <w:pPr>
        <w:rPr>
          <w:rFonts w:ascii="Arial" w:hAnsi="Arial"/>
          <w:sz w:val="20"/>
          <w:szCs w:val="20"/>
        </w:rPr>
      </w:pPr>
    </w:p>
    <w:p w14:paraId="56048376" w14:textId="12DFC334" w:rsidR="00977585" w:rsidRPr="00D61480" w:rsidRDefault="00977585" w:rsidP="00977585">
      <w:pPr>
        <w:rPr>
          <w:rFonts w:ascii="Arial" w:hAnsi="Arial"/>
          <w:sz w:val="20"/>
          <w:szCs w:val="20"/>
        </w:rPr>
      </w:pPr>
      <w:r w:rsidRPr="00D61480">
        <w:rPr>
          <w:rFonts w:ascii="Arial" w:hAnsi="Arial"/>
          <w:sz w:val="20"/>
          <w:szCs w:val="20"/>
        </w:rPr>
        <w:t>Es importante resaltar los requerimientos de supervisión y coordinación de energía reactiva en las plantas fotovoltaicas, donde la técnica y buenas prácticas han demostrado que es posible superarla con la agregación de autogeneración y demanda en el DSO.</w:t>
      </w:r>
    </w:p>
    <w:p w14:paraId="56A1D87A" w14:textId="77777777" w:rsidR="00977585" w:rsidRPr="00D61480" w:rsidRDefault="00977585" w:rsidP="00977585">
      <w:pPr>
        <w:rPr>
          <w:rFonts w:ascii="Arial" w:hAnsi="Arial"/>
          <w:sz w:val="20"/>
          <w:szCs w:val="20"/>
        </w:rPr>
      </w:pPr>
    </w:p>
    <w:p w14:paraId="06341EE3" w14:textId="350CE232" w:rsidR="00977585" w:rsidRPr="00D61480" w:rsidRDefault="00977585" w:rsidP="00977585">
      <w:pPr>
        <w:rPr>
          <w:rFonts w:ascii="Arial" w:hAnsi="Arial"/>
          <w:sz w:val="20"/>
          <w:szCs w:val="20"/>
        </w:rPr>
      </w:pPr>
      <w:r w:rsidRPr="00D61480">
        <w:rPr>
          <w:rFonts w:ascii="Arial" w:hAnsi="Arial"/>
          <w:sz w:val="20"/>
          <w:szCs w:val="20"/>
        </w:rPr>
        <w:t>Las regulaciones actuales CREG 030/18 y CREG 060/19, definen los requisitos de conexión y de operación que deben ser revisados y actualizados a la luz de los nuevos referentes, estándares, arquitectura y jerarquía  de operación mencionados en el documento, de tal forma que se viabilice la inserción de todos los recursos DER (entre ellos plantas fotovoltaicas y eólicas), en forma costo eficiente, promoviendo la optimización de los recursos del sistema y especialmente capturando los beneficios de los DER para la operación local de la red. La armonización de las arquitecturas de las DER bajo la integración de los OR (DSO) y la coordinación de los DSO con CND a través del intercambio de información para la supervisión, permitirá asegurar una operación confiable, segura y eficiente.</w:t>
      </w:r>
    </w:p>
    <w:p w14:paraId="4A4E70F4" w14:textId="77777777" w:rsidR="00977585" w:rsidRPr="00D61480" w:rsidRDefault="00977585" w:rsidP="00977585">
      <w:pPr>
        <w:rPr>
          <w:rFonts w:ascii="Arial" w:hAnsi="Arial"/>
          <w:sz w:val="20"/>
          <w:szCs w:val="20"/>
        </w:rPr>
      </w:pPr>
    </w:p>
    <w:p w14:paraId="189195DA" w14:textId="486ADF95" w:rsidR="00977585" w:rsidRPr="00D61480" w:rsidRDefault="00977585" w:rsidP="00977585">
      <w:pPr>
        <w:rPr>
          <w:rFonts w:ascii="Arial" w:hAnsi="Arial"/>
          <w:sz w:val="20"/>
          <w:szCs w:val="20"/>
        </w:rPr>
      </w:pPr>
      <w:r w:rsidRPr="00D61480">
        <w:rPr>
          <w:rFonts w:ascii="Arial" w:hAnsi="Arial"/>
          <w:sz w:val="20"/>
          <w:szCs w:val="20"/>
        </w:rPr>
        <w:t>A partir de los requerimientos de observabilidad, coordinación y/o control de las DER a cargo del DSO, se</w:t>
      </w:r>
      <w:r w:rsidR="00671D0E" w:rsidRPr="00D61480">
        <w:rPr>
          <w:rFonts w:ascii="Arial" w:hAnsi="Arial"/>
          <w:sz w:val="20"/>
          <w:szCs w:val="20"/>
        </w:rPr>
        <w:t xml:space="preserve"> </w:t>
      </w:r>
      <w:r w:rsidRPr="00D61480">
        <w:rPr>
          <w:rFonts w:ascii="Arial" w:hAnsi="Arial"/>
          <w:sz w:val="20"/>
          <w:szCs w:val="20"/>
        </w:rPr>
        <w:t>deben considerar las características y capacidades tecnológicas</w:t>
      </w:r>
      <w:r w:rsidR="00671D0E" w:rsidRPr="00D61480">
        <w:rPr>
          <w:rFonts w:ascii="Arial" w:hAnsi="Arial"/>
          <w:sz w:val="20"/>
          <w:szCs w:val="20"/>
        </w:rPr>
        <w:t xml:space="preserve"> </w:t>
      </w:r>
      <w:r w:rsidRPr="00D61480">
        <w:rPr>
          <w:rFonts w:ascii="Arial" w:hAnsi="Arial"/>
          <w:sz w:val="20"/>
          <w:szCs w:val="20"/>
        </w:rPr>
        <w:t>de estos recursos en diferentes rangos de tiempo, para su aprovechamiento por parte del operador de distribución</w:t>
      </w:r>
      <w:r w:rsidR="00671D0E" w:rsidRPr="00D61480">
        <w:rPr>
          <w:rFonts w:ascii="Arial" w:hAnsi="Arial"/>
          <w:sz w:val="20"/>
          <w:szCs w:val="20"/>
        </w:rPr>
        <w:t>,</w:t>
      </w:r>
      <w:r w:rsidRPr="00D61480">
        <w:rPr>
          <w:rFonts w:ascii="Arial" w:hAnsi="Arial"/>
          <w:sz w:val="20"/>
          <w:szCs w:val="20"/>
        </w:rPr>
        <w:t xml:space="preserve"> de acuerdo con sus necesidades de flexibilidad y los servicios asociados. Para esto </w:t>
      </w:r>
      <w:r w:rsidR="00671D0E" w:rsidRPr="00D61480">
        <w:rPr>
          <w:rFonts w:ascii="Arial" w:hAnsi="Arial"/>
          <w:sz w:val="20"/>
          <w:szCs w:val="20"/>
        </w:rPr>
        <w:t xml:space="preserve">desde el CNO </w:t>
      </w:r>
      <w:r w:rsidRPr="00D61480">
        <w:rPr>
          <w:rFonts w:ascii="Arial" w:hAnsi="Arial"/>
          <w:sz w:val="20"/>
          <w:szCs w:val="20"/>
        </w:rPr>
        <w:t>se prevé</w:t>
      </w:r>
      <w:r w:rsidR="00671D0E" w:rsidRPr="00D61480">
        <w:rPr>
          <w:rFonts w:ascii="Arial" w:hAnsi="Arial"/>
          <w:sz w:val="20"/>
          <w:szCs w:val="20"/>
        </w:rPr>
        <w:t xml:space="preserve"> a futuro</w:t>
      </w:r>
      <w:r w:rsidRPr="00D61480">
        <w:rPr>
          <w:rFonts w:ascii="Arial" w:hAnsi="Arial"/>
          <w:sz w:val="20"/>
          <w:szCs w:val="20"/>
        </w:rPr>
        <w:t xml:space="preserve"> una revisión de la integración general de los DER en forma amplia, que aborde</w:t>
      </w:r>
      <w:r w:rsidR="00671D0E" w:rsidRPr="00D61480">
        <w:rPr>
          <w:rFonts w:ascii="Arial" w:hAnsi="Arial"/>
          <w:sz w:val="20"/>
          <w:szCs w:val="20"/>
        </w:rPr>
        <w:t xml:space="preserve"> inclusive una</w:t>
      </w:r>
      <w:r w:rsidRPr="00D61480">
        <w:rPr>
          <w:rFonts w:ascii="Arial" w:hAnsi="Arial"/>
          <w:sz w:val="20"/>
          <w:szCs w:val="20"/>
        </w:rPr>
        <w:t xml:space="preserve"> segmentación y los rangos de potencia por debajo de 19</w:t>
      </w:r>
      <w:r w:rsidR="00671D0E" w:rsidRPr="00D61480">
        <w:rPr>
          <w:rFonts w:ascii="Arial" w:hAnsi="Arial"/>
          <w:sz w:val="20"/>
          <w:szCs w:val="20"/>
        </w:rPr>
        <w:t>.</w:t>
      </w:r>
      <w:r w:rsidRPr="00D61480">
        <w:rPr>
          <w:rFonts w:ascii="Arial" w:hAnsi="Arial"/>
          <w:sz w:val="20"/>
          <w:szCs w:val="20"/>
        </w:rPr>
        <w:t>9 M</w:t>
      </w:r>
      <w:r w:rsidR="00671D0E" w:rsidRPr="00D61480">
        <w:rPr>
          <w:rFonts w:ascii="Arial" w:hAnsi="Arial"/>
          <w:sz w:val="20"/>
          <w:szCs w:val="20"/>
        </w:rPr>
        <w:t>W, ello</w:t>
      </w:r>
      <w:r w:rsidRPr="00D61480">
        <w:rPr>
          <w:rFonts w:ascii="Arial" w:hAnsi="Arial"/>
          <w:sz w:val="20"/>
          <w:szCs w:val="20"/>
        </w:rPr>
        <w:t xml:space="preserve"> para</w:t>
      </w:r>
      <w:r w:rsidR="00671D0E" w:rsidRPr="00D61480">
        <w:rPr>
          <w:rFonts w:ascii="Arial" w:hAnsi="Arial"/>
          <w:sz w:val="20"/>
          <w:szCs w:val="20"/>
        </w:rPr>
        <w:t xml:space="preserve"> </w:t>
      </w:r>
      <w:r w:rsidRPr="00D61480">
        <w:rPr>
          <w:rFonts w:ascii="Arial" w:hAnsi="Arial"/>
          <w:sz w:val="20"/>
          <w:szCs w:val="20"/>
        </w:rPr>
        <w:t>capturar</w:t>
      </w:r>
      <w:r w:rsidR="00671D0E" w:rsidRPr="00D61480">
        <w:rPr>
          <w:rFonts w:ascii="Arial" w:hAnsi="Arial"/>
          <w:sz w:val="20"/>
          <w:szCs w:val="20"/>
        </w:rPr>
        <w:t xml:space="preserve"> </w:t>
      </w:r>
      <w:r w:rsidRPr="00D61480">
        <w:rPr>
          <w:rFonts w:ascii="Arial" w:hAnsi="Arial"/>
          <w:sz w:val="20"/>
          <w:szCs w:val="20"/>
        </w:rPr>
        <w:t>el mayor valor de la tecnología a favor del despliegue de los DER y los beneficios para la operación del sistema-SIN.</w:t>
      </w:r>
    </w:p>
    <w:p w14:paraId="242E8631" w14:textId="77777777" w:rsidR="00977585" w:rsidRPr="00D61480" w:rsidRDefault="00977585" w:rsidP="00977585">
      <w:pPr>
        <w:rPr>
          <w:rFonts w:ascii="Arial" w:hAnsi="Arial"/>
          <w:sz w:val="20"/>
          <w:szCs w:val="20"/>
        </w:rPr>
      </w:pPr>
    </w:p>
    <w:p w14:paraId="27DECFE8" w14:textId="608977CC" w:rsidR="00977585" w:rsidRPr="00D61480" w:rsidRDefault="00977585" w:rsidP="00977585">
      <w:pPr>
        <w:rPr>
          <w:rFonts w:ascii="Arial" w:hAnsi="Arial"/>
          <w:sz w:val="20"/>
          <w:szCs w:val="20"/>
        </w:rPr>
      </w:pPr>
      <w:r w:rsidRPr="00D61480">
        <w:rPr>
          <w:rFonts w:ascii="Arial" w:hAnsi="Arial"/>
          <w:sz w:val="20"/>
          <w:szCs w:val="20"/>
        </w:rPr>
        <w:t>Las capacidades y requisitos de supervisión,</w:t>
      </w:r>
      <w:r w:rsidR="00671D0E" w:rsidRPr="00D61480">
        <w:rPr>
          <w:rFonts w:ascii="Arial" w:hAnsi="Arial"/>
          <w:sz w:val="20"/>
          <w:szCs w:val="20"/>
        </w:rPr>
        <w:t xml:space="preserve"> </w:t>
      </w:r>
      <w:r w:rsidRPr="00D61480">
        <w:rPr>
          <w:rFonts w:ascii="Arial" w:hAnsi="Arial"/>
          <w:sz w:val="20"/>
          <w:szCs w:val="20"/>
        </w:rPr>
        <w:t>control, comunicaciones y ciberseguridad de las plantas fotovoltaicas y eólicas conectadas al SDL son los mínimos asociados a la supervisión y coordinación de la operación de los Operadores de red en su rol DSO. No obstante</w:t>
      </w:r>
      <w:r w:rsidR="00671D0E" w:rsidRPr="00D61480">
        <w:rPr>
          <w:rFonts w:ascii="Arial" w:hAnsi="Arial"/>
          <w:sz w:val="20"/>
          <w:szCs w:val="20"/>
        </w:rPr>
        <w:t>,</w:t>
      </w:r>
      <w:r w:rsidRPr="00D61480">
        <w:rPr>
          <w:rFonts w:ascii="Arial" w:hAnsi="Arial"/>
          <w:sz w:val="20"/>
          <w:szCs w:val="20"/>
        </w:rPr>
        <w:t xml:space="preserve"> se pueden solicitar requisitos de control más exigentes en cuanto a infraestructura local y de comunicaciones, siempre y cuando estén asociados a servicios complementarios que incentiven asumir los costos de su implementación por parte de los DER. </w:t>
      </w:r>
    </w:p>
    <w:p w14:paraId="29DAC369" w14:textId="77777777" w:rsidR="00977585" w:rsidRPr="00D61480" w:rsidRDefault="00977585" w:rsidP="00977585">
      <w:pPr>
        <w:rPr>
          <w:rFonts w:ascii="Arial" w:hAnsi="Arial"/>
          <w:sz w:val="20"/>
          <w:szCs w:val="20"/>
        </w:rPr>
      </w:pPr>
    </w:p>
    <w:p w14:paraId="48875B9A" w14:textId="00ECC410" w:rsidR="00977585" w:rsidRPr="00D61480" w:rsidRDefault="00977585" w:rsidP="00977585">
      <w:pPr>
        <w:rPr>
          <w:rFonts w:ascii="Arial" w:hAnsi="Arial"/>
          <w:sz w:val="20"/>
          <w:szCs w:val="20"/>
        </w:rPr>
      </w:pPr>
      <w:r w:rsidRPr="00D61480">
        <w:rPr>
          <w:rFonts w:ascii="Arial" w:hAnsi="Arial"/>
          <w:sz w:val="20"/>
          <w:szCs w:val="20"/>
        </w:rPr>
        <w:t>Los requisitos de supervisión, control, ciberseguridad y comunicaciones deberán aplicarse a plantas completamente nuevas</w:t>
      </w:r>
      <w:r w:rsidR="00671D0E" w:rsidRPr="00D61480">
        <w:rPr>
          <w:rFonts w:ascii="Arial" w:hAnsi="Arial"/>
          <w:sz w:val="20"/>
          <w:szCs w:val="20"/>
        </w:rPr>
        <w:t>,</w:t>
      </w:r>
      <w:r w:rsidRPr="00D61480">
        <w:rPr>
          <w:rFonts w:ascii="Arial" w:hAnsi="Arial"/>
          <w:sz w:val="20"/>
          <w:szCs w:val="20"/>
        </w:rPr>
        <w:t xml:space="preserve"> y debe definirse una transición para plantas existentes o en proceso de conexión con requisitos mínimos técnicos. </w:t>
      </w:r>
    </w:p>
    <w:p w14:paraId="6D1821C1" w14:textId="77777777" w:rsidR="00671D0E" w:rsidRPr="00D61480" w:rsidRDefault="00671D0E" w:rsidP="00977585">
      <w:pPr>
        <w:rPr>
          <w:rFonts w:ascii="Arial" w:hAnsi="Arial"/>
          <w:sz w:val="20"/>
          <w:szCs w:val="20"/>
        </w:rPr>
      </w:pPr>
    </w:p>
    <w:p w14:paraId="0BD1EF3A" w14:textId="64EB12EB" w:rsidR="00977585" w:rsidRPr="00D61480" w:rsidRDefault="00977585" w:rsidP="00977585">
      <w:pPr>
        <w:rPr>
          <w:rFonts w:ascii="Arial" w:hAnsi="Arial"/>
          <w:sz w:val="20"/>
          <w:szCs w:val="20"/>
        </w:rPr>
      </w:pPr>
      <w:r w:rsidRPr="00D61480">
        <w:rPr>
          <w:rFonts w:ascii="Arial" w:hAnsi="Arial"/>
          <w:sz w:val="20"/>
          <w:szCs w:val="20"/>
        </w:rPr>
        <w:lastRenderedPageBreak/>
        <w:t>Dado que los DER requieren de la medición inteligente AMI como un elemento de supervisión relevante, debe definirse claramente la responsabilidad de los OR para lograr la integración y supervisión de las DER</w:t>
      </w:r>
      <w:r w:rsidR="00671D0E" w:rsidRPr="00D61480">
        <w:rPr>
          <w:rFonts w:ascii="Arial" w:hAnsi="Arial"/>
          <w:sz w:val="20"/>
          <w:szCs w:val="20"/>
        </w:rPr>
        <w:t>,</w:t>
      </w:r>
      <w:r w:rsidRPr="00D61480">
        <w:rPr>
          <w:rFonts w:ascii="Arial" w:hAnsi="Arial"/>
          <w:sz w:val="20"/>
          <w:szCs w:val="20"/>
        </w:rPr>
        <w:t xml:space="preserve"> entre ellas las</w:t>
      </w:r>
      <w:r w:rsidR="00671D0E" w:rsidRPr="00D61480">
        <w:rPr>
          <w:rFonts w:ascii="Arial" w:hAnsi="Arial"/>
          <w:sz w:val="20"/>
          <w:szCs w:val="20"/>
        </w:rPr>
        <w:t xml:space="preserve"> </w:t>
      </w:r>
      <w:r w:rsidRPr="00D61480">
        <w:rPr>
          <w:rFonts w:ascii="Arial" w:hAnsi="Arial"/>
          <w:sz w:val="20"/>
          <w:szCs w:val="20"/>
        </w:rPr>
        <w:t>plantas fotovoltaicas y eólicas conectadas a cada SDL.</w:t>
      </w:r>
    </w:p>
    <w:p w14:paraId="0FD3341A" w14:textId="77777777" w:rsidR="00977585" w:rsidRPr="00D61480" w:rsidRDefault="00977585" w:rsidP="00977585">
      <w:pPr>
        <w:rPr>
          <w:rFonts w:ascii="Arial" w:hAnsi="Arial"/>
          <w:sz w:val="20"/>
          <w:szCs w:val="20"/>
        </w:rPr>
      </w:pPr>
    </w:p>
    <w:p w14:paraId="34828D7B" w14:textId="493C498F" w:rsidR="00977585" w:rsidRPr="00D61480" w:rsidRDefault="00671D0E" w:rsidP="00671D0E">
      <w:pPr>
        <w:pStyle w:val="Ttulo1"/>
        <w:numPr>
          <w:ilvl w:val="0"/>
          <w:numId w:val="12"/>
        </w:numPr>
        <w:rPr>
          <w:rFonts w:eastAsiaTheme="minorHAnsi"/>
          <w:sz w:val="20"/>
          <w:szCs w:val="20"/>
        </w:rPr>
      </w:pPr>
      <w:bookmarkStart w:id="18" w:name="_Toc52213539"/>
      <w:r w:rsidRPr="00D61480">
        <w:rPr>
          <w:rFonts w:eastAsiaTheme="minorHAnsi"/>
          <w:sz w:val="20"/>
          <w:szCs w:val="20"/>
        </w:rPr>
        <w:t>Bibliografía</w:t>
      </w:r>
      <w:bookmarkEnd w:id="18"/>
      <w:r w:rsidRPr="00D61480">
        <w:rPr>
          <w:rFonts w:eastAsiaTheme="minorHAnsi"/>
          <w:sz w:val="20"/>
          <w:szCs w:val="20"/>
        </w:rPr>
        <w:t>.</w:t>
      </w:r>
    </w:p>
    <w:p w14:paraId="0F7A7ED4" w14:textId="77777777" w:rsidR="00977585" w:rsidRPr="00D61480" w:rsidRDefault="00977585" w:rsidP="00977585">
      <w:pPr>
        <w:rPr>
          <w:rFonts w:ascii="Arial" w:eastAsiaTheme="minorHAnsi" w:hAnsi="Arial"/>
          <w:sz w:val="20"/>
          <w:szCs w:val="20"/>
        </w:rPr>
      </w:pPr>
    </w:p>
    <w:p w14:paraId="5B52AA8B" w14:textId="77777777" w:rsidR="00671D0E" w:rsidRPr="00D61480" w:rsidRDefault="00977585" w:rsidP="004E0B95">
      <w:pPr>
        <w:pStyle w:val="Prrafodelista"/>
        <w:numPr>
          <w:ilvl w:val="0"/>
          <w:numId w:val="46"/>
        </w:numPr>
        <w:rPr>
          <w:rFonts w:ascii="Arial" w:hAnsi="Arial"/>
          <w:sz w:val="20"/>
          <w:szCs w:val="20"/>
        </w:rPr>
      </w:pPr>
      <w:r w:rsidRPr="00D61480">
        <w:rPr>
          <w:rFonts w:ascii="Arial" w:hAnsi="Arial"/>
          <w:sz w:val="20"/>
          <w:szCs w:val="20"/>
        </w:rPr>
        <w:t>Fernández Gómez, J., &amp; Menéndez Sánchez, J. (</w:t>
      </w:r>
      <w:r w:rsidR="00671D0E" w:rsidRPr="00D61480">
        <w:rPr>
          <w:rFonts w:ascii="Arial" w:hAnsi="Arial"/>
          <w:sz w:val="20"/>
          <w:szCs w:val="20"/>
        </w:rPr>
        <w:t>m</w:t>
      </w:r>
      <w:r w:rsidRPr="00D61480">
        <w:rPr>
          <w:rFonts w:ascii="Arial" w:hAnsi="Arial"/>
          <w:sz w:val="20"/>
          <w:szCs w:val="20"/>
        </w:rPr>
        <w:t>ayo de 2019). LAS REDES INTELIGENTES Y EL PAPEL DEL DISTRIBUIDOR DE ENERGÍA ELÉCTRICA. CUADERNOS</w:t>
      </w:r>
      <w:r w:rsidR="00671D0E" w:rsidRPr="00D61480">
        <w:rPr>
          <w:rFonts w:ascii="Arial" w:hAnsi="Arial"/>
          <w:sz w:val="20"/>
          <w:szCs w:val="20"/>
        </w:rPr>
        <w:t xml:space="preserve"> </w:t>
      </w:r>
      <w:r w:rsidRPr="00D61480">
        <w:rPr>
          <w:rFonts w:ascii="Arial" w:hAnsi="Arial"/>
          <w:sz w:val="20"/>
          <w:szCs w:val="20"/>
        </w:rPr>
        <w:t>ORKESTRA</w:t>
      </w:r>
      <w:r w:rsidR="00671D0E" w:rsidRPr="00D61480">
        <w:rPr>
          <w:rFonts w:ascii="Arial" w:hAnsi="Arial"/>
          <w:sz w:val="20"/>
          <w:szCs w:val="20"/>
        </w:rPr>
        <w:t xml:space="preserve"> </w:t>
      </w:r>
      <w:r w:rsidRPr="00D61480">
        <w:rPr>
          <w:rFonts w:ascii="Arial" w:hAnsi="Arial"/>
          <w:sz w:val="20"/>
          <w:szCs w:val="20"/>
        </w:rPr>
        <w:t xml:space="preserve">(54), 1-213. Recuperado el 2020, de </w:t>
      </w:r>
      <w:hyperlink r:id="rId43" w:history="1">
        <w:r w:rsidRPr="00D61480">
          <w:rPr>
            <w:rStyle w:val="Hipervnculo"/>
            <w:rFonts w:ascii="Arial" w:hAnsi="Arial"/>
            <w:sz w:val="20"/>
            <w:szCs w:val="20"/>
          </w:rPr>
          <w:t>https://www.orkestra.deusto.es/images/investigacion/publicaciones/informes/cuadernos-orkestra/redes-inteligentes-energia-electrica.pdf</w:t>
        </w:r>
      </w:hyperlink>
    </w:p>
    <w:p w14:paraId="0BC394AE" w14:textId="77777777" w:rsidR="00671D0E" w:rsidRPr="00D61480" w:rsidRDefault="00671D0E" w:rsidP="00671D0E">
      <w:pPr>
        <w:pStyle w:val="Prrafodelista"/>
        <w:ind w:left="360"/>
        <w:rPr>
          <w:rFonts w:ascii="Arial" w:hAnsi="Arial"/>
          <w:sz w:val="20"/>
          <w:szCs w:val="20"/>
        </w:rPr>
      </w:pPr>
    </w:p>
    <w:p w14:paraId="4958FFC7" w14:textId="77777777" w:rsidR="00671D0E" w:rsidRPr="00D61480" w:rsidRDefault="00977585" w:rsidP="004E0B95">
      <w:pPr>
        <w:pStyle w:val="Prrafodelista"/>
        <w:numPr>
          <w:ilvl w:val="0"/>
          <w:numId w:val="46"/>
        </w:numPr>
        <w:rPr>
          <w:rFonts w:ascii="Arial" w:hAnsi="Arial"/>
          <w:sz w:val="20"/>
          <w:szCs w:val="20"/>
        </w:rPr>
      </w:pPr>
      <w:r w:rsidRPr="00D61480">
        <w:rPr>
          <w:rFonts w:ascii="Arial" w:hAnsi="Arial"/>
          <w:sz w:val="20"/>
          <w:szCs w:val="20"/>
          <w:lang w:val="en-US"/>
        </w:rPr>
        <w:t xml:space="preserve">Hanif, S., </w:t>
      </w:r>
      <w:proofErr w:type="spellStart"/>
      <w:r w:rsidRPr="00D61480">
        <w:rPr>
          <w:rFonts w:ascii="Arial" w:hAnsi="Arial"/>
          <w:sz w:val="20"/>
          <w:szCs w:val="20"/>
          <w:lang w:val="en-US"/>
        </w:rPr>
        <w:t>Creutzburg</w:t>
      </w:r>
      <w:proofErr w:type="spellEnd"/>
      <w:r w:rsidRPr="00D61480">
        <w:rPr>
          <w:rFonts w:ascii="Arial" w:hAnsi="Arial"/>
          <w:sz w:val="20"/>
          <w:szCs w:val="20"/>
          <w:lang w:val="en-US"/>
        </w:rPr>
        <w:t xml:space="preserve">, P., </w:t>
      </w:r>
      <w:proofErr w:type="spellStart"/>
      <w:r w:rsidRPr="00D61480">
        <w:rPr>
          <w:rFonts w:ascii="Arial" w:hAnsi="Arial"/>
          <w:sz w:val="20"/>
          <w:szCs w:val="20"/>
          <w:lang w:val="en-US"/>
        </w:rPr>
        <w:t>Gooi</w:t>
      </w:r>
      <w:proofErr w:type="spellEnd"/>
      <w:r w:rsidRPr="00D61480">
        <w:rPr>
          <w:rFonts w:ascii="Arial" w:hAnsi="Arial"/>
          <w:sz w:val="20"/>
          <w:szCs w:val="20"/>
          <w:lang w:val="en-US"/>
        </w:rPr>
        <w:t xml:space="preserve">, H., &amp; </w:t>
      </w:r>
      <w:proofErr w:type="spellStart"/>
      <w:r w:rsidRPr="00D61480">
        <w:rPr>
          <w:rFonts w:ascii="Arial" w:hAnsi="Arial"/>
          <w:sz w:val="20"/>
          <w:szCs w:val="20"/>
          <w:lang w:val="en-US"/>
        </w:rPr>
        <w:t>Hamacher</w:t>
      </w:r>
      <w:proofErr w:type="spellEnd"/>
      <w:r w:rsidRPr="00D61480">
        <w:rPr>
          <w:rFonts w:ascii="Arial" w:hAnsi="Arial"/>
          <w:sz w:val="20"/>
          <w:szCs w:val="20"/>
          <w:lang w:val="en-US"/>
        </w:rPr>
        <w:t>, T. (Agosto de 2018). Pricing Mechanism for Flexible Loads using Distribution Grid Hedging Rights. IEEE Transactions on Power Systems, 1 a 12.</w:t>
      </w:r>
    </w:p>
    <w:p w14:paraId="76594FCE" w14:textId="77777777" w:rsidR="00671D0E" w:rsidRPr="00D61480" w:rsidRDefault="00671D0E" w:rsidP="00671D0E">
      <w:pPr>
        <w:pStyle w:val="Prrafodelista"/>
        <w:rPr>
          <w:rFonts w:ascii="Arial" w:hAnsi="Arial"/>
          <w:sz w:val="20"/>
          <w:szCs w:val="20"/>
          <w:lang w:val="en-US"/>
        </w:rPr>
      </w:pPr>
    </w:p>
    <w:p w14:paraId="71334026" w14:textId="77777777" w:rsidR="00671D0E" w:rsidRPr="00D61480" w:rsidRDefault="00977585" w:rsidP="004E0B95">
      <w:pPr>
        <w:pStyle w:val="Prrafodelista"/>
        <w:numPr>
          <w:ilvl w:val="0"/>
          <w:numId w:val="46"/>
        </w:numPr>
        <w:rPr>
          <w:rFonts w:ascii="Arial" w:hAnsi="Arial"/>
          <w:sz w:val="20"/>
          <w:szCs w:val="20"/>
        </w:rPr>
      </w:pPr>
      <w:r w:rsidRPr="00D61480">
        <w:rPr>
          <w:rFonts w:ascii="Arial" w:hAnsi="Arial"/>
          <w:sz w:val="20"/>
          <w:szCs w:val="20"/>
          <w:lang w:val="en-US"/>
        </w:rPr>
        <w:t xml:space="preserve">Ali, J., </w:t>
      </w:r>
      <w:proofErr w:type="spellStart"/>
      <w:r w:rsidRPr="00D61480">
        <w:rPr>
          <w:rFonts w:ascii="Arial" w:hAnsi="Arial"/>
          <w:sz w:val="20"/>
          <w:szCs w:val="20"/>
          <w:lang w:val="en-US"/>
        </w:rPr>
        <w:t>Massucco</w:t>
      </w:r>
      <w:proofErr w:type="spellEnd"/>
      <w:r w:rsidRPr="00D61480">
        <w:rPr>
          <w:rFonts w:ascii="Arial" w:hAnsi="Arial"/>
          <w:sz w:val="20"/>
          <w:szCs w:val="20"/>
          <w:lang w:val="en-US"/>
        </w:rPr>
        <w:t xml:space="preserve">, S., &amp; Silvestro, F. (2019). Distribution Level Aggregator Platform for DSO Support—Integration of Storage, Demand Response, and Renewables. </w:t>
      </w:r>
      <w:proofErr w:type="spellStart"/>
      <w:r w:rsidRPr="00D61480">
        <w:rPr>
          <w:rFonts w:ascii="Arial" w:hAnsi="Arial"/>
          <w:sz w:val="20"/>
          <w:szCs w:val="20"/>
        </w:rPr>
        <w:t>Frontiers</w:t>
      </w:r>
      <w:proofErr w:type="spellEnd"/>
      <w:r w:rsidRPr="00D61480">
        <w:rPr>
          <w:rFonts w:ascii="Arial" w:hAnsi="Arial"/>
          <w:sz w:val="20"/>
          <w:szCs w:val="20"/>
        </w:rPr>
        <w:t xml:space="preserve"> </w:t>
      </w:r>
      <w:proofErr w:type="spellStart"/>
      <w:r w:rsidRPr="00D61480">
        <w:rPr>
          <w:rFonts w:ascii="Arial" w:hAnsi="Arial"/>
          <w:sz w:val="20"/>
          <w:szCs w:val="20"/>
        </w:rPr>
        <w:t>of</w:t>
      </w:r>
      <w:proofErr w:type="spellEnd"/>
      <w:r w:rsidRPr="00D61480">
        <w:rPr>
          <w:rFonts w:ascii="Arial" w:hAnsi="Arial"/>
          <w:sz w:val="20"/>
          <w:szCs w:val="20"/>
        </w:rPr>
        <w:t xml:space="preserve"> Energy </w:t>
      </w:r>
      <w:proofErr w:type="spellStart"/>
      <w:r w:rsidRPr="00D61480">
        <w:rPr>
          <w:rFonts w:ascii="Arial" w:hAnsi="Arial"/>
          <w:sz w:val="20"/>
          <w:szCs w:val="20"/>
        </w:rPr>
        <w:t>Reschear</w:t>
      </w:r>
      <w:proofErr w:type="spellEnd"/>
      <w:r w:rsidRPr="00D61480">
        <w:rPr>
          <w:rFonts w:ascii="Arial" w:hAnsi="Arial"/>
          <w:sz w:val="20"/>
          <w:szCs w:val="20"/>
        </w:rPr>
        <w:t>, 7:36.</w:t>
      </w:r>
    </w:p>
    <w:p w14:paraId="5630EF9C" w14:textId="77777777" w:rsidR="00671D0E" w:rsidRPr="00D61480" w:rsidRDefault="00671D0E" w:rsidP="00671D0E">
      <w:pPr>
        <w:pStyle w:val="Prrafodelista"/>
        <w:rPr>
          <w:rFonts w:ascii="Arial" w:hAnsi="Arial"/>
          <w:sz w:val="20"/>
          <w:szCs w:val="20"/>
        </w:rPr>
      </w:pPr>
    </w:p>
    <w:p w14:paraId="3B279DCE" w14:textId="77777777" w:rsidR="00671D0E" w:rsidRPr="00D61480" w:rsidRDefault="00977585" w:rsidP="004E0B95">
      <w:pPr>
        <w:pStyle w:val="Prrafodelista"/>
        <w:numPr>
          <w:ilvl w:val="0"/>
          <w:numId w:val="46"/>
        </w:numPr>
        <w:rPr>
          <w:rFonts w:ascii="Arial" w:hAnsi="Arial"/>
          <w:sz w:val="20"/>
          <w:szCs w:val="20"/>
        </w:rPr>
      </w:pPr>
      <w:r w:rsidRPr="00D61480">
        <w:rPr>
          <w:rFonts w:ascii="Arial" w:hAnsi="Arial"/>
          <w:sz w:val="20"/>
          <w:szCs w:val="20"/>
        </w:rPr>
        <w:t>Colombia Inteligente (</w:t>
      </w:r>
      <w:r w:rsidR="00671D0E" w:rsidRPr="00D61480">
        <w:rPr>
          <w:rFonts w:ascii="Arial" w:hAnsi="Arial"/>
          <w:sz w:val="20"/>
          <w:szCs w:val="20"/>
        </w:rPr>
        <w:t>m</w:t>
      </w:r>
      <w:r w:rsidRPr="00D61480">
        <w:rPr>
          <w:rFonts w:ascii="Arial" w:hAnsi="Arial"/>
          <w:sz w:val="20"/>
          <w:szCs w:val="20"/>
        </w:rPr>
        <w:t>arzo 2019). Recursos energéticos distribuidos-acciones para su integración.</w:t>
      </w:r>
    </w:p>
    <w:p w14:paraId="79DDB3BC" w14:textId="77777777" w:rsidR="00671D0E" w:rsidRPr="00D61480" w:rsidRDefault="00671D0E" w:rsidP="00671D0E">
      <w:pPr>
        <w:pStyle w:val="Prrafodelista"/>
        <w:rPr>
          <w:rFonts w:ascii="Arial" w:hAnsi="Arial"/>
          <w:sz w:val="20"/>
          <w:szCs w:val="20"/>
        </w:rPr>
      </w:pPr>
    </w:p>
    <w:p w14:paraId="09F60618" w14:textId="77777777" w:rsidR="00671D0E" w:rsidRPr="00D61480" w:rsidRDefault="00977585" w:rsidP="004E0B95">
      <w:pPr>
        <w:pStyle w:val="Prrafodelista"/>
        <w:numPr>
          <w:ilvl w:val="0"/>
          <w:numId w:val="46"/>
        </w:numPr>
        <w:rPr>
          <w:rFonts w:ascii="Arial" w:hAnsi="Arial"/>
          <w:sz w:val="20"/>
          <w:szCs w:val="20"/>
        </w:rPr>
      </w:pPr>
      <w:r w:rsidRPr="00D61480">
        <w:rPr>
          <w:rFonts w:ascii="Arial" w:hAnsi="Arial"/>
          <w:sz w:val="20"/>
          <w:szCs w:val="20"/>
        </w:rPr>
        <w:t>Colombia Inteligente (</w:t>
      </w:r>
      <w:r w:rsidR="00671D0E" w:rsidRPr="00D61480">
        <w:rPr>
          <w:rFonts w:ascii="Arial" w:hAnsi="Arial"/>
          <w:sz w:val="20"/>
          <w:szCs w:val="20"/>
        </w:rPr>
        <w:t>j</w:t>
      </w:r>
      <w:r w:rsidRPr="00D61480">
        <w:rPr>
          <w:rFonts w:ascii="Arial" w:hAnsi="Arial"/>
          <w:sz w:val="20"/>
          <w:szCs w:val="20"/>
        </w:rPr>
        <w:t>ulio 2020). GUÍA ARQUITECTURA TECNOLÓGICA SISTEMA INTERCONECTADO NACIONAL: Medición, supervisión y control de DER.</w:t>
      </w:r>
    </w:p>
    <w:p w14:paraId="3E54782C" w14:textId="77777777" w:rsidR="00671D0E" w:rsidRPr="00D61480" w:rsidRDefault="00671D0E" w:rsidP="00671D0E">
      <w:pPr>
        <w:pStyle w:val="Prrafodelista"/>
        <w:rPr>
          <w:rFonts w:ascii="Arial" w:hAnsi="Arial"/>
          <w:sz w:val="20"/>
          <w:szCs w:val="20"/>
        </w:rPr>
      </w:pPr>
    </w:p>
    <w:p w14:paraId="439DB7DB" w14:textId="77777777" w:rsidR="00671D0E" w:rsidRPr="00D61480" w:rsidRDefault="00977585" w:rsidP="004E0B95">
      <w:pPr>
        <w:pStyle w:val="Prrafodelista"/>
        <w:numPr>
          <w:ilvl w:val="0"/>
          <w:numId w:val="46"/>
        </w:numPr>
        <w:rPr>
          <w:rFonts w:ascii="Arial" w:hAnsi="Arial"/>
          <w:sz w:val="20"/>
          <w:szCs w:val="20"/>
        </w:rPr>
      </w:pPr>
      <w:r w:rsidRPr="00D61480">
        <w:rPr>
          <w:rFonts w:ascii="Arial" w:hAnsi="Arial"/>
          <w:sz w:val="20"/>
          <w:szCs w:val="20"/>
        </w:rPr>
        <w:t>Ospina S (</w:t>
      </w:r>
      <w:r w:rsidR="00671D0E" w:rsidRPr="00D61480">
        <w:rPr>
          <w:rFonts w:ascii="Arial" w:hAnsi="Arial"/>
          <w:sz w:val="20"/>
          <w:szCs w:val="20"/>
        </w:rPr>
        <w:t>j</w:t>
      </w:r>
      <w:r w:rsidRPr="00D61480">
        <w:rPr>
          <w:rFonts w:ascii="Arial" w:hAnsi="Arial"/>
          <w:sz w:val="20"/>
          <w:szCs w:val="20"/>
        </w:rPr>
        <w:t>ulio 2020). Transformación digital para habilitar una red digitalizada, distribuida, democratizada y autónoma en los departamentos Valle del Cauca y Tolima.</w:t>
      </w:r>
    </w:p>
    <w:p w14:paraId="14A32FD7" w14:textId="77777777" w:rsidR="00671D0E" w:rsidRPr="00D61480" w:rsidRDefault="00671D0E" w:rsidP="00671D0E">
      <w:pPr>
        <w:pStyle w:val="Prrafodelista"/>
        <w:rPr>
          <w:rFonts w:ascii="Arial" w:hAnsi="Arial"/>
          <w:sz w:val="20"/>
          <w:szCs w:val="20"/>
          <w:lang w:val="en-US"/>
        </w:rPr>
      </w:pPr>
    </w:p>
    <w:p w14:paraId="2CFC8BAD" w14:textId="77777777" w:rsidR="00671D0E" w:rsidRPr="00D61480" w:rsidRDefault="00977585" w:rsidP="004E0B95">
      <w:pPr>
        <w:pStyle w:val="Prrafodelista"/>
        <w:numPr>
          <w:ilvl w:val="0"/>
          <w:numId w:val="46"/>
        </w:numPr>
        <w:rPr>
          <w:rFonts w:ascii="Arial" w:hAnsi="Arial"/>
          <w:sz w:val="20"/>
          <w:szCs w:val="20"/>
        </w:rPr>
      </w:pPr>
      <w:r w:rsidRPr="00D61480">
        <w:rPr>
          <w:rFonts w:ascii="Arial" w:hAnsi="Arial"/>
          <w:sz w:val="20"/>
          <w:szCs w:val="20"/>
          <w:lang w:val="en-US"/>
        </w:rPr>
        <w:t>EA Technology–UK (</w:t>
      </w:r>
      <w:proofErr w:type="spellStart"/>
      <w:r w:rsidR="00671D0E" w:rsidRPr="00D61480">
        <w:rPr>
          <w:rFonts w:ascii="Arial" w:hAnsi="Arial"/>
          <w:sz w:val="20"/>
          <w:szCs w:val="20"/>
          <w:lang w:val="en-US"/>
        </w:rPr>
        <w:t>j</w:t>
      </w:r>
      <w:r w:rsidRPr="00D61480">
        <w:rPr>
          <w:rFonts w:ascii="Arial" w:hAnsi="Arial"/>
          <w:sz w:val="20"/>
          <w:szCs w:val="20"/>
          <w:lang w:val="en-US"/>
        </w:rPr>
        <w:t>unio</w:t>
      </w:r>
      <w:proofErr w:type="spellEnd"/>
      <w:r w:rsidRPr="00D61480">
        <w:rPr>
          <w:rFonts w:ascii="Arial" w:hAnsi="Arial"/>
          <w:sz w:val="20"/>
          <w:szCs w:val="20"/>
          <w:lang w:val="en-US"/>
        </w:rPr>
        <w:t xml:space="preserve"> 2019). Modelling the transition to distribution system operator using the smart grid architecture model.</w:t>
      </w:r>
    </w:p>
    <w:p w14:paraId="6F873473" w14:textId="77777777" w:rsidR="00671D0E" w:rsidRPr="00D61480" w:rsidRDefault="00671D0E" w:rsidP="00671D0E">
      <w:pPr>
        <w:pStyle w:val="Prrafodelista"/>
        <w:rPr>
          <w:rFonts w:ascii="Arial" w:hAnsi="Arial"/>
          <w:sz w:val="20"/>
          <w:szCs w:val="20"/>
          <w:lang w:val="en-US"/>
        </w:rPr>
      </w:pPr>
    </w:p>
    <w:p w14:paraId="0F0C0AE6" w14:textId="77777777" w:rsidR="00671D0E" w:rsidRPr="00D61480" w:rsidRDefault="00977585" w:rsidP="004E0B95">
      <w:pPr>
        <w:pStyle w:val="Prrafodelista"/>
        <w:numPr>
          <w:ilvl w:val="0"/>
          <w:numId w:val="46"/>
        </w:numPr>
        <w:rPr>
          <w:rFonts w:ascii="Arial" w:hAnsi="Arial"/>
          <w:sz w:val="20"/>
          <w:szCs w:val="20"/>
        </w:rPr>
      </w:pPr>
      <w:r w:rsidRPr="00D61480">
        <w:rPr>
          <w:rFonts w:ascii="Arial" w:hAnsi="Arial"/>
          <w:sz w:val="20"/>
          <w:szCs w:val="20"/>
          <w:lang w:val="en-US"/>
        </w:rPr>
        <w:t>Department of Electrical and Electronic Engineering, The University of Melbourne – Australia (Junio 2019). On feasibility and flexibility operating regions of virtual power plants and TSO/DSO interfaces.</w:t>
      </w:r>
    </w:p>
    <w:p w14:paraId="5C0AE395" w14:textId="77777777" w:rsidR="00671D0E" w:rsidRPr="00D61480" w:rsidRDefault="00671D0E" w:rsidP="00671D0E">
      <w:pPr>
        <w:pStyle w:val="Prrafodelista"/>
        <w:rPr>
          <w:rFonts w:ascii="Arial" w:hAnsi="Arial"/>
          <w:sz w:val="20"/>
          <w:szCs w:val="20"/>
        </w:rPr>
      </w:pPr>
    </w:p>
    <w:p w14:paraId="42514BE8" w14:textId="77777777" w:rsidR="00671D0E" w:rsidRPr="00D61480" w:rsidRDefault="00977585" w:rsidP="004E0B95">
      <w:pPr>
        <w:pStyle w:val="Prrafodelista"/>
        <w:numPr>
          <w:ilvl w:val="0"/>
          <w:numId w:val="46"/>
        </w:numPr>
        <w:rPr>
          <w:rFonts w:ascii="Arial" w:hAnsi="Arial"/>
          <w:sz w:val="20"/>
          <w:szCs w:val="20"/>
        </w:rPr>
      </w:pPr>
      <w:r w:rsidRPr="00D61480">
        <w:rPr>
          <w:rFonts w:ascii="Arial" w:hAnsi="Arial"/>
          <w:sz w:val="20"/>
          <w:szCs w:val="20"/>
        </w:rPr>
        <w:t>Colombia Inteligente (</w:t>
      </w:r>
      <w:r w:rsidR="00671D0E" w:rsidRPr="00D61480">
        <w:rPr>
          <w:rFonts w:ascii="Arial" w:hAnsi="Arial"/>
          <w:sz w:val="20"/>
          <w:szCs w:val="20"/>
        </w:rPr>
        <w:t>f</w:t>
      </w:r>
      <w:r w:rsidRPr="00D61480">
        <w:rPr>
          <w:rFonts w:ascii="Arial" w:hAnsi="Arial"/>
          <w:sz w:val="20"/>
          <w:szCs w:val="20"/>
        </w:rPr>
        <w:t>ebrero 2019). Espectro Radioeléctrico, Habilitador para la transformación del sector eléctrico.</w:t>
      </w:r>
    </w:p>
    <w:p w14:paraId="43D9DCF8" w14:textId="77777777" w:rsidR="00671D0E" w:rsidRPr="00D61480" w:rsidRDefault="00671D0E" w:rsidP="00671D0E">
      <w:pPr>
        <w:pStyle w:val="Prrafodelista"/>
        <w:rPr>
          <w:rFonts w:ascii="Arial" w:hAnsi="Arial"/>
          <w:sz w:val="20"/>
          <w:szCs w:val="20"/>
        </w:rPr>
      </w:pPr>
    </w:p>
    <w:p w14:paraId="197225D8" w14:textId="77777777" w:rsidR="00671D0E" w:rsidRPr="00D61480" w:rsidRDefault="00977585" w:rsidP="004E0B95">
      <w:pPr>
        <w:pStyle w:val="Prrafodelista"/>
        <w:numPr>
          <w:ilvl w:val="0"/>
          <w:numId w:val="46"/>
        </w:numPr>
        <w:rPr>
          <w:rFonts w:ascii="Arial" w:hAnsi="Arial"/>
          <w:sz w:val="20"/>
          <w:szCs w:val="20"/>
        </w:rPr>
      </w:pPr>
      <w:r w:rsidRPr="00D61480">
        <w:rPr>
          <w:rFonts w:ascii="Arial" w:hAnsi="Arial"/>
          <w:sz w:val="20"/>
          <w:szCs w:val="20"/>
        </w:rPr>
        <w:t>Colombia Inteligente (</w:t>
      </w:r>
      <w:r w:rsidR="00671D0E" w:rsidRPr="00D61480">
        <w:rPr>
          <w:rFonts w:ascii="Arial" w:hAnsi="Arial"/>
          <w:sz w:val="20"/>
          <w:szCs w:val="20"/>
        </w:rPr>
        <w:t>n</w:t>
      </w:r>
      <w:r w:rsidRPr="00D61480">
        <w:rPr>
          <w:rFonts w:ascii="Arial" w:hAnsi="Arial"/>
          <w:sz w:val="20"/>
          <w:szCs w:val="20"/>
        </w:rPr>
        <w:t>oviembre 2019). Arquitectura tecnológica para la operación de los recursos energéticos distribuidos en los programas RD</w:t>
      </w:r>
      <w:r w:rsidR="00671D0E" w:rsidRPr="00D61480">
        <w:rPr>
          <w:rFonts w:ascii="Arial" w:hAnsi="Arial"/>
          <w:sz w:val="20"/>
          <w:szCs w:val="20"/>
        </w:rPr>
        <w:t>.</w:t>
      </w:r>
    </w:p>
    <w:p w14:paraId="4B227BFA" w14:textId="77777777" w:rsidR="00671D0E" w:rsidRPr="00D61480" w:rsidRDefault="00671D0E" w:rsidP="00671D0E">
      <w:pPr>
        <w:pStyle w:val="Prrafodelista"/>
        <w:rPr>
          <w:rFonts w:ascii="Arial" w:hAnsi="Arial"/>
          <w:sz w:val="20"/>
          <w:szCs w:val="20"/>
          <w:lang w:val="en-US"/>
        </w:rPr>
      </w:pPr>
    </w:p>
    <w:p w14:paraId="1DC8AD29" w14:textId="77777777" w:rsidR="00671D0E" w:rsidRPr="00D61480" w:rsidRDefault="00977585" w:rsidP="004E0B95">
      <w:pPr>
        <w:pStyle w:val="Prrafodelista"/>
        <w:numPr>
          <w:ilvl w:val="0"/>
          <w:numId w:val="46"/>
        </w:numPr>
        <w:rPr>
          <w:rFonts w:ascii="Arial" w:hAnsi="Arial"/>
          <w:sz w:val="20"/>
          <w:szCs w:val="20"/>
        </w:rPr>
      </w:pPr>
      <w:proofErr w:type="spellStart"/>
      <w:r w:rsidRPr="00D61480">
        <w:rPr>
          <w:rFonts w:ascii="Arial" w:hAnsi="Arial"/>
          <w:sz w:val="20"/>
          <w:szCs w:val="20"/>
          <w:lang w:val="en-US"/>
        </w:rPr>
        <w:t>Budka</w:t>
      </w:r>
      <w:proofErr w:type="spellEnd"/>
      <w:r w:rsidRPr="00D61480">
        <w:rPr>
          <w:rFonts w:ascii="Arial" w:hAnsi="Arial"/>
          <w:sz w:val="20"/>
          <w:szCs w:val="20"/>
          <w:lang w:val="en-US"/>
        </w:rPr>
        <w:t xml:space="preserve">, K. C., Deshpande, J. G., &amp; </w:t>
      </w:r>
      <w:proofErr w:type="spellStart"/>
      <w:r w:rsidRPr="00D61480">
        <w:rPr>
          <w:rFonts w:ascii="Arial" w:hAnsi="Arial"/>
          <w:sz w:val="20"/>
          <w:szCs w:val="20"/>
          <w:lang w:val="en-US"/>
        </w:rPr>
        <w:t>Thottan</w:t>
      </w:r>
      <w:proofErr w:type="spellEnd"/>
      <w:r w:rsidRPr="00D61480">
        <w:rPr>
          <w:rFonts w:ascii="Arial" w:hAnsi="Arial"/>
          <w:sz w:val="20"/>
          <w:szCs w:val="20"/>
          <w:lang w:val="en-US"/>
        </w:rPr>
        <w:t xml:space="preserve">, M. (2016). Communication Networks for Smart Grids. </w:t>
      </w:r>
      <w:r w:rsidRPr="00D61480">
        <w:rPr>
          <w:rFonts w:ascii="Arial" w:hAnsi="Arial"/>
          <w:sz w:val="20"/>
          <w:szCs w:val="20"/>
        </w:rPr>
        <w:t xml:space="preserve">Springer London </w:t>
      </w:r>
      <w:proofErr w:type="spellStart"/>
      <w:r w:rsidRPr="00D61480">
        <w:rPr>
          <w:rFonts w:ascii="Arial" w:hAnsi="Arial"/>
          <w:sz w:val="20"/>
          <w:szCs w:val="20"/>
        </w:rPr>
        <w:t>Limited</w:t>
      </w:r>
      <w:proofErr w:type="spellEnd"/>
      <w:r w:rsidRPr="00D61480">
        <w:rPr>
          <w:rFonts w:ascii="Arial" w:hAnsi="Arial"/>
          <w:sz w:val="20"/>
          <w:szCs w:val="20"/>
        </w:rPr>
        <w:t>.</w:t>
      </w:r>
    </w:p>
    <w:p w14:paraId="36A7CAB2" w14:textId="77777777" w:rsidR="00671D0E" w:rsidRPr="00D61480" w:rsidRDefault="00671D0E" w:rsidP="00671D0E">
      <w:pPr>
        <w:pStyle w:val="Prrafodelista"/>
        <w:rPr>
          <w:rFonts w:ascii="Arial" w:hAnsi="Arial"/>
          <w:sz w:val="20"/>
          <w:szCs w:val="20"/>
        </w:rPr>
      </w:pPr>
    </w:p>
    <w:p w14:paraId="11A3C28C" w14:textId="77777777" w:rsidR="00671D0E" w:rsidRPr="00D61480" w:rsidRDefault="00977585" w:rsidP="004E0B95">
      <w:pPr>
        <w:pStyle w:val="Prrafodelista"/>
        <w:numPr>
          <w:ilvl w:val="0"/>
          <w:numId w:val="46"/>
        </w:numPr>
        <w:rPr>
          <w:rFonts w:ascii="Arial" w:hAnsi="Arial"/>
          <w:sz w:val="20"/>
          <w:szCs w:val="20"/>
        </w:rPr>
      </w:pPr>
      <w:proofErr w:type="spellStart"/>
      <w:r w:rsidRPr="00D61480">
        <w:rPr>
          <w:rFonts w:ascii="Arial" w:hAnsi="Arial"/>
          <w:sz w:val="20"/>
          <w:szCs w:val="20"/>
        </w:rPr>
        <w:t>Mullin</w:t>
      </w:r>
      <w:proofErr w:type="spellEnd"/>
      <w:r w:rsidRPr="00D61480">
        <w:rPr>
          <w:rFonts w:ascii="Arial" w:hAnsi="Arial"/>
          <w:sz w:val="20"/>
          <w:szCs w:val="20"/>
        </w:rPr>
        <w:t xml:space="preserve">, P. (2017). </w:t>
      </w:r>
      <w:proofErr w:type="spellStart"/>
      <w:r w:rsidRPr="00D61480">
        <w:rPr>
          <w:rFonts w:ascii="Arial" w:hAnsi="Arial"/>
          <w:sz w:val="20"/>
          <w:szCs w:val="20"/>
        </w:rPr>
        <w:t>Overview</w:t>
      </w:r>
      <w:proofErr w:type="spellEnd"/>
      <w:r w:rsidRPr="00D61480">
        <w:rPr>
          <w:rFonts w:ascii="Arial" w:hAnsi="Arial"/>
          <w:sz w:val="20"/>
          <w:szCs w:val="20"/>
        </w:rPr>
        <w:t xml:space="preserve"> </w:t>
      </w:r>
      <w:proofErr w:type="spellStart"/>
      <w:r w:rsidRPr="00D61480">
        <w:rPr>
          <w:rFonts w:ascii="Arial" w:hAnsi="Arial"/>
          <w:sz w:val="20"/>
          <w:szCs w:val="20"/>
        </w:rPr>
        <w:t>of</w:t>
      </w:r>
      <w:proofErr w:type="spellEnd"/>
      <w:r w:rsidRPr="00D61480">
        <w:rPr>
          <w:rFonts w:ascii="Arial" w:hAnsi="Arial"/>
          <w:sz w:val="20"/>
          <w:szCs w:val="20"/>
        </w:rPr>
        <w:t xml:space="preserve"> DER </w:t>
      </w:r>
      <w:proofErr w:type="spellStart"/>
      <w:r w:rsidRPr="00D61480">
        <w:rPr>
          <w:rFonts w:ascii="Arial" w:hAnsi="Arial"/>
          <w:sz w:val="20"/>
          <w:szCs w:val="20"/>
        </w:rPr>
        <w:t>interactions</w:t>
      </w:r>
      <w:proofErr w:type="spellEnd"/>
      <w:r w:rsidRPr="00D61480">
        <w:rPr>
          <w:rFonts w:ascii="Arial" w:hAnsi="Arial"/>
          <w:sz w:val="20"/>
          <w:szCs w:val="20"/>
        </w:rPr>
        <w:t>.</w:t>
      </w:r>
    </w:p>
    <w:p w14:paraId="526B3645" w14:textId="77777777" w:rsidR="00671D0E" w:rsidRPr="00D61480" w:rsidRDefault="00671D0E" w:rsidP="00671D0E">
      <w:pPr>
        <w:pStyle w:val="Prrafodelista"/>
        <w:rPr>
          <w:rFonts w:ascii="Arial" w:hAnsi="Arial"/>
          <w:sz w:val="20"/>
          <w:szCs w:val="20"/>
        </w:rPr>
      </w:pPr>
    </w:p>
    <w:p w14:paraId="2F83CBA9" w14:textId="2CD8BBA7" w:rsidR="00977585" w:rsidRPr="00D61480" w:rsidRDefault="00977585" w:rsidP="004E0B95">
      <w:pPr>
        <w:pStyle w:val="Prrafodelista"/>
        <w:numPr>
          <w:ilvl w:val="0"/>
          <w:numId w:val="46"/>
        </w:numPr>
        <w:rPr>
          <w:rFonts w:ascii="Arial" w:hAnsi="Arial"/>
          <w:sz w:val="20"/>
          <w:szCs w:val="20"/>
        </w:rPr>
      </w:pPr>
      <w:r w:rsidRPr="00D61480">
        <w:rPr>
          <w:rFonts w:ascii="Arial" w:hAnsi="Arial"/>
          <w:sz w:val="20"/>
          <w:szCs w:val="20"/>
        </w:rPr>
        <w:t xml:space="preserve">Rodríguez Cristian (2015), “Aplicación de un modelo de datos estandarizado para un sistema de medición centralizada de energía eléctrica”, Tesis de Maestría, Universidad del Valle.  </w:t>
      </w:r>
    </w:p>
    <w:p w14:paraId="03BEA9E6" w14:textId="3CA5BE0F" w:rsidR="00D30405" w:rsidRPr="00F544BA" w:rsidRDefault="00D30405" w:rsidP="00496A09">
      <w:pPr>
        <w:pStyle w:val="Enelcorpodeltesto"/>
        <w:contextualSpacing/>
        <w:outlineLvl w:val="0"/>
        <w:rPr>
          <w:rFonts w:ascii="Arial" w:hAnsi="Arial" w:cs="Arial"/>
          <w:bCs/>
          <w:sz w:val="20"/>
          <w:szCs w:val="20"/>
          <w:lang w:val="es-CO" w:eastAsia="es-ES"/>
        </w:rPr>
      </w:pPr>
    </w:p>
    <w:sectPr w:rsidR="00D30405" w:rsidRPr="00F544BA" w:rsidSect="003850B2">
      <w:headerReference w:type="default" r:id="rId44"/>
      <w:footerReference w:type="default" r:id="rId45"/>
      <w:pgSz w:w="12242" w:h="15842" w:code="178"/>
      <w:pgMar w:top="1418" w:right="1982" w:bottom="1980"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E9BD6" w14:textId="77777777" w:rsidR="0091792B" w:rsidRDefault="0091792B" w:rsidP="00745D2C">
      <w:r>
        <w:separator/>
      </w:r>
    </w:p>
  </w:endnote>
  <w:endnote w:type="continuationSeparator" w:id="0">
    <w:p w14:paraId="5DCFD75B" w14:textId="77777777" w:rsidR="0091792B" w:rsidRDefault="0091792B" w:rsidP="00745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utiger 45 Light">
    <w:altName w:val="Calibri"/>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536C3" w14:textId="77777777" w:rsidR="00496A09" w:rsidRDefault="00496A09" w:rsidP="00745D2C">
    <w:pPr>
      <w:pStyle w:val="Piedepgina"/>
      <w:rPr>
        <w:lang w:val="es-CO"/>
      </w:rPr>
    </w:pPr>
    <w:r>
      <w:rPr>
        <w:lang w:val="es-CO"/>
      </w:rPr>
      <w:t xml:space="preserve">                                                           </w:t>
    </w:r>
  </w:p>
  <w:p w14:paraId="69F2D0BF" w14:textId="77777777" w:rsidR="00496A09" w:rsidRDefault="00496A09" w:rsidP="00745D2C">
    <w:pPr>
      <w:pStyle w:val="Piedepgina"/>
      <w:rPr>
        <w:lang w:val="es-CO"/>
      </w:rPr>
    </w:pPr>
    <w:r>
      <w:rPr>
        <w:lang w:val="es-CO"/>
      </w:rPr>
      <w:t xml:space="preserve">                        </w:t>
    </w:r>
  </w:p>
  <w:p w14:paraId="233F1D9C" w14:textId="77777777" w:rsidR="00496A09" w:rsidRDefault="00496A09" w:rsidP="00745D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BF4D8" w14:textId="77777777" w:rsidR="0091792B" w:rsidRDefault="0091792B" w:rsidP="00745D2C">
      <w:r>
        <w:separator/>
      </w:r>
    </w:p>
  </w:footnote>
  <w:footnote w:type="continuationSeparator" w:id="0">
    <w:p w14:paraId="40EBAC2B" w14:textId="77777777" w:rsidR="0091792B" w:rsidRDefault="0091792B" w:rsidP="00745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513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7"/>
      <w:gridCol w:w="4601"/>
    </w:tblGrid>
    <w:tr w:rsidR="00496A09" w14:paraId="1587A49C" w14:textId="77777777" w:rsidTr="00BF31FB">
      <w:tc>
        <w:tcPr>
          <w:tcW w:w="2382" w:type="pct"/>
        </w:tcPr>
        <w:p w14:paraId="1CF54620" w14:textId="77777777" w:rsidR="00496A09" w:rsidRDefault="00496A09" w:rsidP="000B3555">
          <w:pPr>
            <w:pStyle w:val="Encabezado"/>
            <w:jc w:val="left"/>
          </w:pPr>
        </w:p>
      </w:tc>
      <w:tc>
        <w:tcPr>
          <w:tcW w:w="2618" w:type="pct"/>
          <w:vAlign w:val="center"/>
        </w:tcPr>
        <w:p w14:paraId="088FF3C6" w14:textId="77777777" w:rsidR="00496A09" w:rsidRPr="003850B2" w:rsidRDefault="00496A09" w:rsidP="003850B2">
          <w:pPr>
            <w:pStyle w:val="Encabezado"/>
            <w:jc w:val="right"/>
            <w:rPr>
              <w:rFonts w:ascii="Arial" w:hAnsi="Arial"/>
              <w:sz w:val="20"/>
              <w:szCs w:val="20"/>
            </w:rPr>
          </w:pPr>
          <w:r w:rsidRPr="003850B2">
            <w:rPr>
              <w:rFonts w:ascii="Arial" w:hAnsi="Arial"/>
              <w:sz w:val="20"/>
              <w:szCs w:val="20"/>
              <w:lang w:val="es-ES"/>
            </w:rPr>
            <w:t xml:space="preserve">Página | </w:t>
          </w:r>
          <w:r w:rsidRPr="003850B2">
            <w:rPr>
              <w:rFonts w:ascii="Arial" w:hAnsi="Arial"/>
              <w:sz w:val="20"/>
              <w:szCs w:val="20"/>
            </w:rPr>
            <w:fldChar w:fldCharType="begin"/>
          </w:r>
          <w:r w:rsidRPr="003850B2">
            <w:rPr>
              <w:rFonts w:ascii="Arial" w:hAnsi="Arial"/>
              <w:sz w:val="20"/>
              <w:szCs w:val="20"/>
            </w:rPr>
            <w:instrText>PAGE   \* MERGEFORMAT</w:instrText>
          </w:r>
          <w:r w:rsidRPr="003850B2">
            <w:rPr>
              <w:rFonts w:ascii="Arial" w:hAnsi="Arial"/>
              <w:sz w:val="20"/>
              <w:szCs w:val="20"/>
            </w:rPr>
            <w:fldChar w:fldCharType="separate"/>
          </w:r>
          <w:r>
            <w:rPr>
              <w:rFonts w:ascii="Arial" w:hAnsi="Arial"/>
              <w:noProof/>
              <w:sz w:val="20"/>
              <w:szCs w:val="20"/>
            </w:rPr>
            <w:t>9</w:t>
          </w:r>
          <w:r w:rsidRPr="003850B2">
            <w:rPr>
              <w:rFonts w:ascii="Arial" w:hAnsi="Arial"/>
              <w:sz w:val="20"/>
              <w:szCs w:val="20"/>
            </w:rPr>
            <w:fldChar w:fldCharType="end"/>
          </w:r>
        </w:p>
      </w:tc>
    </w:tr>
  </w:tbl>
  <w:p w14:paraId="0FC2B88F" w14:textId="77777777" w:rsidR="00496A09" w:rsidRPr="005D07CB" w:rsidRDefault="00496A09" w:rsidP="00B87E4A">
    <w:pPr>
      <w:pStyle w:val="Encabezado"/>
      <w:jc w:val="center"/>
      <w:rPr>
        <w:rFonts w:ascii="Arial" w:hAnsi="Arial"/>
        <w:sz w:val="16"/>
        <w:szCs w:val="16"/>
      </w:rPr>
    </w:pPr>
    <w:r>
      <w:rPr>
        <w:noProof/>
      </w:rPr>
      <w:drawing>
        <wp:inline distT="0" distB="0" distL="0" distR="0" wp14:anchorId="1980F0E3" wp14:editId="02A6016C">
          <wp:extent cx="1760220" cy="670560"/>
          <wp:effectExtent l="0" t="0" r="0" b="0"/>
          <wp:docPr id="5" name="Imagen 5" descr="cid:image003.jpg@01D3F68A.EC3E6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D3F68A.EC3E6C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60220" cy="670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62EA3C48"/>
    <w:lvl w:ilvl="0">
      <w:start w:val="1"/>
      <w:numFmt w:val="decimal"/>
      <w:pStyle w:val="Listaconnmeros3"/>
      <w:lvlText w:val="%1."/>
      <w:lvlJc w:val="left"/>
      <w:pPr>
        <w:tabs>
          <w:tab w:val="num" w:pos="926"/>
        </w:tabs>
        <w:ind w:left="926" w:hanging="360"/>
      </w:pPr>
    </w:lvl>
  </w:abstractNum>
  <w:abstractNum w:abstractNumId="1" w15:restartNumberingAfterBreak="0">
    <w:nsid w:val="FFFFFF7F"/>
    <w:multiLevelType w:val="singleLevel"/>
    <w:tmpl w:val="83F4A710"/>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1F6E0DDC"/>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5C372C"/>
    <w:lvl w:ilvl="0">
      <w:start w:val="1"/>
      <w:numFmt w:val="decimal"/>
      <w:pStyle w:val="Listaconnmeros"/>
      <w:lvlText w:val="%1."/>
      <w:lvlJc w:val="left"/>
      <w:pPr>
        <w:tabs>
          <w:tab w:val="num" w:pos="360"/>
        </w:tabs>
        <w:ind w:left="360" w:hanging="360"/>
      </w:pPr>
    </w:lvl>
  </w:abstractNum>
  <w:abstractNum w:abstractNumId="4" w15:restartNumberingAfterBreak="0">
    <w:nsid w:val="0073637E"/>
    <w:multiLevelType w:val="hybridMultilevel"/>
    <w:tmpl w:val="803858A4"/>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00C71187"/>
    <w:multiLevelType w:val="hybridMultilevel"/>
    <w:tmpl w:val="265AD6B0"/>
    <w:lvl w:ilvl="0" w:tplc="240A0005">
      <w:start w:val="1"/>
      <w:numFmt w:val="bullet"/>
      <w:lvlText w:val=""/>
      <w:lvlJc w:val="left"/>
      <w:pPr>
        <w:tabs>
          <w:tab w:val="num" w:pos="360"/>
        </w:tabs>
        <w:ind w:left="360" w:hanging="360"/>
      </w:pPr>
      <w:rPr>
        <w:rFonts w:ascii="Wingdings" w:hAnsi="Wingdings" w:hint="default"/>
      </w:rPr>
    </w:lvl>
    <w:lvl w:ilvl="1" w:tplc="9E106DE8">
      <w:start w:val="1"/>
      <w:numFmt w:val="bullet"/>
      <w:lvlText w:val="•"/>
      <w:lvlJc w:val="left"/>
      <w:pPr>
        <w:tabs>
          <w:tab w:val="num" w:pos="1080"/>
        </w:tabs>
        <w:ind w:left="1080" w:hanging="360"/>
      </w:pPr>
      <w:rPr>
        <w:rFonts w:ascii="Arial" w:hAnsi="Arial" w:cs="Times New Roman" w:hint="default"/>
      </w:rPr>
    </w:lvl>
    <w:lvl w:ilvl="2" w:tplc="D572F4E2">
      <w:start w:val="1"/>
      <w:numFmt w:val="bullet"/>
      <w:lvlText w:val="•"/>
      <w:lvlJc w:val="left"/>
      <w:pPr>
        <w:tabs>
          <w:tab w:val="num" w:pos="1800"/>
        </w:tabs>
        <w:ind w:left="1800" w:hanging="360"/>
      </w:pPr>
      <w:rPr>
        <w:rFonts w:ascii="Arial" w:hAnsi="Arial" w:cs="Times New Roman" w:hint="default"/>
      </w:rPr>
    </w:lvl>
    <w:lvl w:ilvl="3" w:tplc="45A06A68">
      <w:start w:val="1"/>
      <w:numFmt w:val="bullet"/>
      <w:lvlText w:val="•"/>
      <w:lvlJc w:val="left"/>
      <w:pPr>
        <w:tabs>
          <w:tab w:val="num" w:pos="2520"/>
        </w:tabs>
        <w:ind w:left="2520" w:hanging="360"/>
      </w:pPr>
      <w:rPr>
        <w:rFonts w:ascii="Arial" w:hAnsi="Arial" w:cs="Times New Roman" w:hint="default"/>
      </w:rPr>
    </w:lvl>
    <w:lvl w:ilvl="4" w:tplc="B50C159C">
      <w:start w:val="1"/>
      <w:numFmt w:val="bullet"/>
      <w:lvlText w:val="•"/>
      <w:lvlJc w:val="left"/>
      <w:pPr>
        <w:tabs>
          <w:tab w:val="num" w:pos="3240"/>
        </w:tabs>
        <w:ind w:left="3240" w:hanging="360"/>
      </w:pPr>
      <w:rPr>
        <w:rFonts w:ascii="Arial" w:hAnsi="Arial" w:cs="Times New Roman" w:hint="default"/>
      </w:rPr>
    </w:lvl>
    <w:lvl w:ilvl="5" w:tplc="411C4392">
      <w:start w:val="1"/>
      <w:numFmt w:val="bullet"/>
      <w:lvlText w:val="•"/>
      <w:lvlJc w:val="left"/>
      <w:pPr>
        <w:tabs>
          <w:tab w:val="num" w:pos="3960"/>
        </w:tabs>
        <w:ind w:left="3960" w:hanging="360"/>
      </w:pPr>
      <w:rPr>
        <w:rFonts w:ascii="Arial" w:hAnsi="Arial" w:cs="Times New Roman" w:hint="default"/>
      </w:rPr>
    </w:lvl>
    <w:lvl w:ilvl="6" w:tplc="96301582">
      <w:start w:val="1"/>
      <w:numFmt w:val="bullet"/>
      <w:lvlText w:val="•"/>
      <w:lvlJc w:val="left"/>
      <w:pPr>
        <w:tabs>
          <w:tab w:val="num" w:pos="4680"/>
        </w:tabs>
        <w:ind w:left="4680" w:hanging="360"/>
      </w:pPr>
      <w:rPr>
        <w:rFonts w:ascii="Arial" w:hAnsi="Arial" w:cs="Times New Roman" w:hint="default"/>
      </w:rPr>
    </w:lvl>
    <w:lvl w:ilvl="7" w:tplc="888AC1C2">
      <w:start w:val="1"/>
      <w:numFmt w:val="bullet"/>
      <w:lvlText w:val="•"/>
      <w:lvlJc w:val="left"/>
      <w:pPr>
        <w:tabs>
          <w:tab w:val="num" w:pos="5400"/>
        </w:tabs>
        <w:ind w:left="5400" w:hanging="360"/>
      </w:pPr>
      <w:rPr>
        <w:rFonts w:ascii="Arial" w:hAnsi="Arial" w:cs="Times New Roman" w:hint="default"/>
      </w:rPr>
    </w:lvl>
    <w:lvl w:ilvl="8" w:tplc="E51E3A18">
      <w:start w:val="1"/>
      <w:numFmt w:val="bullet"/>
      <w:lvlText w:val="•"/>
      <w:lvlJc w:val="left"/>
      <w:pPr>
        <w:tabs>
          <w:tab w:val="num" w:pos="6120"/>
        </w:tabs>
        <w:ind w:left="6120" w:hanging="360"/>
      </w:pPr>
      <w:rPr>
        <w:rFonts w:ascii="Arial" w:hAnsi="Arial" w:cs="Times New Roman" w:hint="default"/>
      </w:rPr>
    </w:lvl>
  </w:abstractNum>
  <w:abstractNum w:abstractNumId="6" w15:restartNumberingAfterBreak="0">
    <w:nsid w:val="042A61BF"/>
    <w:multiLevelType w:val="hybridMultilevel"/>
    <w:tmpl w:val="62C235E2"/>
    <w:lvl w:ilvl="0" w:tplc="240A0005">
      <w:start w:val="1"/>
      <w:numFmt w:val="bullet"/>
      <w:lvlText w:val=""/>
      <w:lvlJc w:val="left"/>
      <w:pPr>
        <w:tabs>
          <w:tab w:val="num" w:pos="360"/>
        </w:tabs>
        <w:ind w:left="360" w:hanging="360"/>
      </w:pPr>
      <w:rPr>
        <w:rFonts w:ascii="Wingdings" w:hAnsi="Wingdings" w:hint="default"/>
      </w:rPr>
    </w:lvl>
    <w:lvl w:ilvl="1" w:tplc="9E106DE8">
      <w:start w:val="1"/>
      <w:numFmt w:val="bullet"/>
      <w:lvlText w:val="•"/>
      <w:lvlJc w:val="left"/>
      <w:pPr>
        <w:tabs>
          <w:tab w:val="num" w:pos="1080"/>
        </w:tabs>
        <w:ind w:left="1080" w:hanging="360"/>
      </w:pPr>
      <w:rPr>
        <w:rFonts w:ascii="Arial" w:hAnsi="Arial" w:cs="Times New Roman" w:hint="default"/>
      </w:rPr>
    </w:lvl>
    <w:lvl w:ilvl="2" w:tplc="D572F4E2">
      <w:start w:val="1"/>
      <w:numFmt w:val="bullet"/>
      <w:lvlText w:val="•"/>
      <w:lvlJc w:val="left"/>
      <w:pPr>
        <w:tabs>
          <w:tab w:val="num" w:pos="1800"/>
        </w:tabs>
        <w:ind w:left="1800" w:hanging="360"/>
      </w:pPr>
      <w:rPr>
        <w:rFonts w:ascii="Arial" w:hAnsi="Arial" w:cs="Times New Roman" w:hint="default"/>
      </w:rPr>
    </w:lvl>
    <w:lvl w:ilvl="3" w:tplc="45A06A68">
      <w:start w:val="1"/>
      <w:numFmt w:val="bullet"/>
      <w:lvlText w:val="•"/>
      <w:lvlJc w:val="left"/>
      <w:pPr>
        <w:tabs>
          <w:tab w:val="num" w:pos="2520"/>
        </w:tabs>
        <w:ind w:left="2520" w:hanging="360"/>
      </w:pPr>
      <w:rPr>
        <w:rFonts w:ascii="Arial" w:hAnsi="Arial" w:cs="Times New Roman" w:hint="default"/>
      </w:rPr>
    </w:lvl>
    <w:lvl w:ilvl="4" w:tplc="B50C159C">
      <w:start w:val="1"/>
      <w:numFmt w:val="bullet"/>
      <w:lvlText w:val="•"/>
      <w:lvlJc w:val="left"/>
      <w:pPr>
        <w:tabs>
          <w:tab w:val="num" w:pos="3240"/>
        </w:tabs>
        <w:ind w:left="3240" w:hanging="360"/>
      </w:pPr>
      <w:rPr>
        <w:rFonts w:ascii="Arial" w:hAnsi="Arial" w:cs="Times New Roman" w:hint="default"/>
      </w:rPr>
    </w:lvl>
    <w:lvl w:ilvl="5" w:tplc="411C4392">
      <w:start w:val="1"/>
      <w:numFmt w:val="bullet"/>
      <w:lvlText w:val="•"/>
      <w:lvlJc w:val="left"/>
      <w:pPr>
        <w:tabs>
          <w:tab w:val="num" w:pos="3960"/>
        </w:tabs>
        <w:ind w:left="3960" w:hanging="360"/>
      </w:pPr>
      <w:rPr>
        <w:rFonts w:ascii="Arial" w:hAnsi="Arial" w:cs="Times New Roman" w:hint="default"/>
      </w:rPr>
    </w:lvl>
    <w:lvl w:ilvl="6" w:tplc="96301582">
      <w:start w:val="1"/>
      <w:numFmt w:val="bullet"/>
      <w:lvlText w:val="•"/>
      <w:lvlJc w:val="left"/>
      <w:pPr>
        <w:tabs>
          <w:tab w:val="num" w:pos="4680"/>
        </w:tabs>
        <w:ind w:left="4680" w:hanging="360"/>
      </w:pPr>
      <w:rPr>
        <w:rFonts w:ascii="Arial" w:hAnsi="Arial" w:cs="Times New Roman" w:hint="default"/>
      </w:rPr>
    </w:lvl>
    <w:lvl w:ilvl="7" w:tplc="888AC1C2">
      <w:start w:val="1"/>
      <w:numFmt w:val="bullet"/>
      <w:lvlText w:val="•"/>
      <w:lvlJc w:val="left"/>
      <w:pPr>
        <w:tabs>
          <w:tab w:val="num" w:pos="5400"/>
        </w:tabs>
        <w:ind w:left="5400" w:hanging="360"/>
      </w:pPr>
      <w:rPr>
        <w:rFonts w:ascii="Arial" w:hAnsi="Arial" w:cs="Times New Roman" w:hint="default"/>
      </w:rPr>
    </w:lvl>
    <w:lvl w:ilvl="8" w:tplc="E51E3A18">
      <w:start w:val="1"/>
      <w:numFmt w:val="bullet"/>
      <w:lvlText w:val="•"/>
      <w:lvlJc w:val="left"/>
      <w:pPr>
        <w:tabs>
          <w:tab w:val="num" w:pos="6120"/>
        </w:tabs>
        <w:ind w:left="6120" w:hanging="360"/>
      </w:pPr>
      <w:rPr>
        <w:rFonts w:ascii="Arial" w:hAnsi="Arial" w:cs="Times New Roman" w:hint="default"/>
      </w:rPr>
    </w:lvl>
  </w:abstractNum>
  <w:abstractNum w:abstractNumId="7" w15:restartNumberingAfterBreak="0">
    <w:nsid w:val="054D0355"/>
    <w:multiLevelType w:val="multilevel"/>
    <w:tmpl w:val="771E3E9E"/>
    <w:styleLink w:val="Annex"/>
    <w:lvl w:ilvl="0">
      <w:start w:val="1"/>
      <w:numFmt w:val="decimal"/>
      <w:lvlText w:val="%1."/>
      <w:lvlJc w:val="left"/>
      <w:pPr>
        <w:ind w:left="397" w:hanging="397"/>
      </w:pPr>
      <w:rPr>
        <w:rFonts w:cs="Times New Roman" w:hint="default"/>
      </w:rPr>
    </w:lvl>
    <w:lvl w:ilvl="1">
      <w:start w:val="1"/>
      <w:numFmt w:val="decimal"/>
      <w:lvlText w:val="%1.%2"/>
      <w:lvlJc w:val="left"/>
      <w:pPr>
        <w:ind w:left="792" w:hanging="432"/>
      </w:pPr>
      <w:rPr>
        <w:rFonts w:hint="default"/>
        <w:b w:val="0"/>
      </w:rPr>
    </w:lvl>
    <w:lvl w:ilvl="2">
      <w:start w:val="1"/>
      <w:numFmt w:val="decimal"/>
      <w:lvlText w:val="%1.%2.%3."/>
      <w:lvlJc w:val="left"/>
      <w:pPr>
        <w:ind w:left="1497" w:hanging="504"/>
      </w:pPr>
      <w:rPr>
        <w:rFonts w:cs="Times New Roman" w:hint="default"/>
        <w:b w:val="0"/>
        <w:i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08F263E0"/>
    <w:multiLevelType w:val="hybridMultilevel"/>
    <w:tmpl w:val="A4F2835E"/>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0BAB5AAD"/>
    <w:multiLevelType w:val="hybridMultilevel"/>
    <w:tmpl w:val="D87CC6C4"/>
    <w:lvl w:ilvl="0" w:tplc="240A0005">
      <w:start w:val="1"/>
      <w:numFmt w:val="bullet"/>
      <w:lvlText w:val=""/>
      <w:lvlJc w:val="left"/>
      <w:pPr>
        <w:ind w:left="360" w:hanging="360"/>
      </w:pPr>
      <w:rPr>
        <w:rFonts w:ascii="Wingdings" w:hAnsi="Wingdings" w:hint="default"/>
      </w:rPr>
    </w:lvl>
    <w:lvl w:ilvl="1" w:tplc="240A000D">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0D3F685E"/>
    <w:multiLevelType w:val="multilevel"/>
    <w:tmpl w:val="E5023876"/>
    <w:styleLink w:val="Stile1"/>
    <w:lvl w:ilvl="0">
      <w:start w:val="1"/>
      <w:numFmt w:val="bullet"/>
      <w:lvlText w:val=""/>
      <w:lvlJc w:val="left"/>
      <w:pPr>
        <w:tabs>
          <w:tab w:val="num" w:pos="851"/>
        </w:tabs>
        <w:ind w:left="851" w:hanging="284"/>
      </w:pPr>
      <w:rPr>
        <w:rFonts w:ascii="Symbol" w:hAnsi="Symbol" w:hint="default"/>
        <w:color w:val="auto"/>
      </w:rPr>
    </w:lvl>
    <w:lvl w:ilvl="1">
      <w:start w:val="1"/>
      <w:numFmt w:val="bullet"/>
      <w:lvlText w:val="o"/>
      <w:lvlJc w:val="left"/>
      <w:pPr>
        <w:tabs>
          <w:tab w:val="num" w:pos="1191"/>
        </w:tabs>
        <w:ind w:left="1191" w:hanging="284"/>
      </w:pPr>
      <w:rPr>
        <w:rFonts w:ascii="Courier New" w:hAnsi="Courier New" w:hint="default"/>
        <w:color w:val="auto"/>
      </w:rPr>
    </w:lvl>
    <w:lvl w:ilvl="2">
      <w:start w:val="1"/>
      <w:numFmt w:val="bullet"/>
      <w:lvlText w:val=""/>
      <w:lvlJc w:val="left"/>
      <w:pPr>
        <w:tabs>
          <w:tab w:val="num" w:pos="1531"/>
        </w:tabs>
        <w:ind w:left="1531" w:hanging="284"/>
      </w:pPr>
      <w:rPr>
        <w:rFonts w:ascii="Symbol" w:hAnsi="Symbol" w:hint="default"/>
      </w:rPr>
    </w:lvl>
    <w:lvl w:ilvl="3">
      <w:start w:val="1"/>
      <w:numFmt w:val="bullet"/>
      <w:lvlText w:val="o"/>
      <w:lvlJc w:val="left"/>
      <w:pPr>
        <w:tabs>
          <w:tab w:val="num" w:pos="1871"/>
        </w:tabs>
        <w:ind w:left="1871" w:hanging="284"/>
      </w:pPr>
      <w:rPr>
        <w:rFonts w:ascii="Courier New" w:hAnsi="Courier New" w:hint="default"/>
        <w:color w:val="auto"/>
      </w:rPr>
    </w:lvl>
    <w:lvl w:ilvl="4">
      <w:start w:val="1"/>
      <w:numFmt w:val="bullet"/>
      <w:lvlText w:val=""/>
      <w:lvlJc w:val="left"/>
      <w:pPr>
        <w:tabs>
          <w:tab w:val="num" w:pos="2211"/>
        </w:tabs>
        <w:ind w:left="2211" w:hanging="284"/>
      </w:pPr>
      <w:rPr>
        <w:rFonts w:ascii="Symbol" w:hAnsi="Symbol" w:hint="default"/>
      </w:rPr>
    </w:lvl>
    <w:lvl w:ilvl="5">
      <w:start w:val="1"/>
      <w:numFmt w:val="bullet"/>
      <w:lvlText w:val="o"/>
      <w:lvlJc w:val="left"/>
      <w:pPr>
        <w:tabs>
          <w:tab w:val="num" w:pos="2551"/>
        </w:tabs>
        <w:ind w:left="2551" w:hanging="284"/>
      </w:pPr>
      <w:rPr>
        <w:rFonts w:ascii="Courier New" w:hAnsi="Courier New" w:hint="default"/>
        <w:color w:val="auto"/>
      </w:rPr>
    </w:lvl>
    <w:lvl w:ilvl="6">
      <w:start w:val="1"/>
      <w:numFmt w:val="bullet"/>
      <w:lvlText w:val=""/>
      <w:lvlJc w:val="left"/>
      <w:pPr>
        <w:tabs>
          <w:tab w:val="num" w:pos="2891"/>
        </w:tabs>
        <w:ind w:left="2891" w:hanging="284"/>
      </w:pPr>
      <w:rPr>
        <w:rFonts w:ascii="Symbol" w:hAnsi="Symbol" w:hint="default"/>
      </w:rPr>
    </w:lvl>
    <w:lvl w:ilvl="7">
      <w:start w:val="1"/>
      <w:numFmt w:val="bullet"/>
      <w:lvlText w:val="o"/>
      <w:lvlJc w:val="left"/>
      <w:pPr>
        <w:tabs>
          <w:tab w:val="num" w:pos="3231"/>
        </w:tabs>
        <w:ind w:left="3231" w:hanging="284"/>
      </w:pPr>
      <w:rPr>
        <w:rFonts w:ascii="Courier New" w:hAnsi="Courier New" w:hint="default"/>
        <w:color w:val="auto"/>
      </w:rPr>
    </w:lvl>
    <w:lvl w:ilvl="8">
      <w:start w:val="1"/>
      <w:numFmt w:val="bullet"/>
      <w:lvlText w:val=""/>
      <w:lvlJc w:val="left"/>
      <w:pPr>
        <w:tabs>
          <w:tab w:val="num" w:pos="3571"/>
        </w:tabs>
        <w:ind w:left="3571" w:hanging="284"/>
      </w:pPr>
      <w:rPr>
        <w:rFonts w:ascii="Symbol" w:hAnsi="Symbol" w:hint="default"/>
      </w:rPr>
    </w:lvl>
  </w:abstractNum>
  <w:abstractNum w:abstractNumId="11" w15:restartNumberingAfterBreak="0">
    <w:nsid w:val="0E947773"/>
    <w:multiLevelType w:val="hybridMultilevel"/>
    <w:tmpl w:val="89F03A0E"/>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25C1967"/>
    <w:multiLevelType w:val="hybridMultilevel"/>
    <w:tmpl w:val="DB920D6A"/>
    <w:lvl w:ilvl="0" w:tplc="240A0005">
      <w:start w:val="1"/>
      <w:numFmt w:val="bullet"/>
      <w:lvlText w:val=""/>
      <w:lvlJc w:val="left"/>
      <w:pPr>
        <w:ind w:left="360" w:hanging="360"/>
      </w:pPr>
      <w:rPr>
        <w:rFonts w:ascii="Wingdings" w:hAnsi="Wingding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3" w15:restartNumberingAfterBreak="0">
    <w:nsid w:val="13E8524A"/>
    <w:multiLevelType w:val="hybridMultilevel"/>
    <w:tmpl w:val="419C71B4"/>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4" w15:restartNumberingAfterBreak="0">
    <w:nsid w:val="18EB1CE4"/>
    <w:multiLevelType w:val="hybridMultilevel"/>
    <w:tmpl w:val="24089C8A"/>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5" w15:restartNumberingAfterBreak="0">
    <w:nsid w:val="193D5D1B"/>
    <w:multiLevelType w:val="hybridMultilevel"/>
    <w:tmpl w:val="A66C0B58"/>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6" w15:restartNumberingAfterBreak="0">
    <w:nsid w:val="19A624C0"/>
    <w:multiLevelType w:val="hybridMultilevel"/>
    <w:tmpl w:val="36688D70"/>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15:restartNumberingAfterBreak="0">
    <w:nsid w:val="214A483C"/>
    <w:multiLevelType w:val="hybridMultilevel"/>
    <w:tmpl w:val="4FEEEB94"/>
    <w:lvl w:ilvl="0" w:tplc="04100001">
      <w:start w:val="1"/>
      <w:numFmt w:val="upperLetter"/>
      <w:pStyle w:val="Elencoene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25526542"/>
    <w:multiLevelType w:val="hybridMultilevel"/>
    <w:tmpl w:val="88CA41E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25585352"/>
    <w:multiLevelType w:val="hybridMultilevel"/>
    <w:tmpl w:val="8500F1C6"/>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0" w15:restartNumberingAfterBreak="0">
    <w:nsid w:val="260A1332"/>
    <w:multiLevelType w:val="hybridMultilevel"/>
    <w:tmpl w:val="F690BE68"/>
    <w:lvl w:ilvl="0" w:tplc="240A0005">
      <w:start w:val="1"/>
      <w:numFmt w:val="bullet"/>
      <w:lvlText w:val=""/>
      <w:lvlJc w:val="left"/>
      <w:pPr>
        <w:ind w:left="218" w:hanging="360"/>
      </w:pPr>
      <w:rPr>
        <w:rFonts w:ascii="Wingdings" w:hAnsi="Wingdings" w:hint="default"/>
      </w:rPr>
    </w:lvl>
    <w:lvl w:ilvl="1" w:tplc="3D52E3BC">
      <w:start w:val="1"/>
      <w:numFmt w:val="decimal"/>
      <w:lvlText w:val="%2."/>
      <w:lvlJc w:val="left"/>
      <w:pPr>
        <w:ind w:left="938" w:hanging="360"/>
      </w:pPr>
    </w:lvl>
    <w:lvl w:ilvl="2" w:tplc="240A001B">
      <w:start w:val="1"/>
      <w:numFmt w:val="lowerRoman"/>
      <w:lvlText w:val="%3."/>
      <w:lvlJc w:val="right"/>
      <w:pPr>
        <w:ind w:left="1658" w:hanging="180"/>
      </w:pPr>
    </w:lvl>
    <w:lvl w:ilvl="3" w:tplc="240A000F">
      <w:start w:val="1"/>
      <w:numFmt w:val="decimal"/>
      <w:lvlText w:val="%4."/>
      <w:lvlJc w:val="left"/>
      <w:pPr>
        <w:ind w:left="2378" w:hanging="360"/>
      </w:pPr>
    </w:lvl>
    <w:lvl w:ilvl="4" w:tplc="240A0019">
      <w:start w:val="1"/>
      <w:numFmt w:val="lowerLetter"/>
      <w:lvlText w:val="%5."/>
      <w:lvlJc w:val="left"/>
      <w:pPr>
        <w:ind w:left="3098" w:hanging="360"/>
      </w:pPr>
    </w:lvl>
    <w:lvl w:ilvl="5" w:tplc="240A001B">
      <w:start w:val="1"/>
      <w:numFmt w:val="lowerRoman"/>
      <w:lvlText w:val="%6."/>
      <w:lvlJc w:val="right"/>
      <w:pPr>
        <w:ind w:left="3818" w:hanging="180"/>
      </w:pPr>
    </w:lvl>
    <w:lvl w:ilvl="6" w:tplc="240A000F">
      <w:start w:val="1"/>
      <w:numFmt w:val="decimal"/>
      <w:lvlText w:val="%7."/>
      <w:lvlJc w:val="left"/>
      <w:pPr>
        <w:ind w:left="4538" w:hanging="360"/>
      </w:pPr>
    </w:lvl>
    <w:lvl w:ilvl="7" w:tplc="240A0019">
      <w:start w:val="1"/>
      <w:numFmt w:val="lowerLetter"/>
      <w:lvlText w:val="%8."/>
      <w:lvlJc w:val="left"/>
      <w:pPr>
        <w:ind w:left="5258" w:hanging="360"/>
      </w:pPr>
    </w:lvl>
    <w:lvl w:ilvl="8" w:tplc="240A001B">
      <w:start w:val="1"/>
      <w:numFmt w:val="lowerRoman"/>
      <w:lvlText w:val="%9."/>
      <w:lvlJc w:val="right"/>
      <w:pPr>
        <w:ind w:left="5978" w:hanging="180"/>
      </w:pPr>
    </w:lvl>
  </w:abstractNum>
  <w:abstractNum w:abstractNumId="21" w15:restartNumberingAfterBreak="0">
    <w:nsid w:val="2CD11710"/>
    <w:multiLevelType w:val="hybridMultilevel"/>
    <w:tmpl w:val="02829766"/>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33836D5A"/>
    <w:multiLevelType w:val="hybridMultilevel"/>
    <w:tmpl w:val="CC7AF2C4"/>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3" w15:restartNumberingAfterBreak="0">
    <w:nsid w:val="338E1EC8"/>
    <w:multiLevelType w:val="hybridMultilevel"/>
    <w:tmpl w:val="4BEE7270"/>
    <w:lvl w:ilvl="0" w:tplc="3EE8BB08">
      <w:start w:val="1"/>
      <w:numFmt w:val="bullet"/>
      <w:lvlText w:val="•"/>
      <w:lvlJc w:val="left"/>
      <w:pPr>
        <w:ind w:left="720" w:hanging="360"/>
      </w:pPr>
      <w:rPr>
        <w:rFonts w:ascii="Arial" w:hAnsi="Arial"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33C25BBC"/>
    <w:multiLevelType w:val="hybridMultilevel"/>
    <w:tmpl w:val="308A8EE6"/>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40C79F4"/>
    <w:multiLevelType w:val="hybridMultilevel"/>
    <w:tmpl w:val="9D5EC348"/>
    <w:lvl w:ilvl="0" w:tplc="240A0005">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6" w15:restartNumberingAfterBreak="0">
    <w:nsid w:val="38D17809"/>
    <w:multiLevelType w:val="multilevel"/>
    <w:tmpl w:val="E5023876"/>
    <w:lvl w:ilvl="0">
      <w:start w:val="1"/>
      <w:numFmt w:val="bullet"/>
      <w:pStyle w:val="6Bullet"/>
      <w:lvlText w:val=""/>
      <w:lvlJc w:val="left"/>
      <w:pPr>
        <w:tabs>
          <w:tab w:val="num" w:pos="851"/>
        </w:tabs>
        <w:ind w:left="851" w:hanging="284"/>
      </w:pPr>
      <w:rPr>
        <w:rFonts w:ascii="Symbol" w:hAnsi="Symbol" w:hint="default"/>
        <w:color w:val="auto"/>
      </w:rPr>
    </w:lvl>
    <w:lvl w:ilvl="1">
      <w:start w:val="1"/>
      <w:numFmt w:val="bullet"/>
      <w:lvlText w:val="o"/>
      <w:lvlJc w:val="left"/>
      <w:pPr>
        <w:tabs>
          <w:tab w:val="num" w:pos="1191"/>
        </w:tabs>
        <w:ind w:left="1191" w:hanging="284"/>
      </w:pPr>
      <w:rPr>
        <w:rFonts w:ascii="Courier New" w:hAnsi="Courier New" w:hint="default"/>
        <w:color w:val="auto"/>
      </w:rPr>
    </w:lvl>
    <w:lvl w:ilvl="2">
      <w:start w:val="1"/>
      <w:numFmt w:val="bullet"/>
      <w:lvlText w:val=""/>
      <w:lvlJc w:val="left"/>
      <w:pPr>
        <w:tabs>
          <w:tab w:val="num" w:pos="1531"/>
        </w:tabs>
        <w:ind w:left="1531" w:hanging="284"/>
      </w:pPr>
      <w:rPr>
        <w:rFonts w:ascii="Symbol" w:hAnsi="Symbol" w:hint="default"/>
      </w:rPr>
    </w:lvl>
    <w:lvl w:ilvl="3">
      <w:start w:val="1"/>
      <w:numFmt w:val="bullet"/>
      <w:lvlText w:val="o"/>
      <w:lvlJc w:val="left"/>
      <w:pPr>
        <w:tabs>
          <w:tab w:val="num" w:pos="1871"/>
        </w:tabs>
        <w:ind w:left="1871" w:hanging="284"/>
      </w:pPr>
      <w:rPr>
        <w:rFonts w:ascii="Courier New" w:hAnsi="Courier New" w:hint="default"/>
        <w:color w:val="auto"/>
      </w:rPr>
    </w:lvl>
    <w:lvl w:ilvl="4">
      <w:start w:val="1"/>
      <w:numFmt w:val="bullet"/>
      <w:lvlText w:val=""/>
      <w:lvlJc w:val="left"/>
      <w:pPr>
        <w:tabs>
          <w:tab w:val="num" w:pos="2211"/>
        </w:tabs>
        <w:ind w:left="2211" w:hanging="284"/>
      </w:pPr>
      <w:rPr>
        <w:rFonts w:ascii="Symbol" w:hAnsi="Symbol" w:hint="default"/>
      </w:rPr>
    </w:lvl>
    <w:lvl w:ilvl="5">
      <w:start w:val="1"/>
      <w:numFmt w:val="bullet"/>
      <w:lvlText w:val="o"/>
      <w:lvlJc w:val="left"/>
      <w:pPr>
        <w:tabs>
          <w:tab w:val="num" w:pos="2551"/>
        </w:tabs>
        <w:ind w:left="2551" w:hanging="284"/>
      </w:pPr>
      <w:rPr>
        <w:rFonts w:ascii="Courier New" w:hAnsi="Courier New" w:hint="default"/>
        <w:color w:val="auto"/>
      </w:rPr>
    </w:lvl>
    <w:lvl w:ilvl="6">
      <w:start w:val="1"/>
      <w:numFmt w:val="bullet"/>
      <w:lvlText w:val=""/>
      <w:lvlJc w:val="left"/>
      <w:pPr>
        <w:tabs>
          <w:tab w:val="num" w:pos="2891"/>
        </w:tabs>
        <w:ind w:left="2891" w:hanging="284"/>
      </w:pPr>
      <w:rPr>
        <w:rFonts w:ascii="Symbol" w:hAnsi="Symbol" w:hint="default"/>
      </w:rPr>
    </w:lvl>
    <w:lvl w:ilvl="7">
      <w:start w:val="1"/>
      <w:numFmt w:val="bullet"/>
      <w:lvlText w:val="o"/>
      <w:lvlJc w:val="left"/>
      <w:pPr>
        <w:tabs>
          <w:tab w:val="num" w:pos="3231"/>
        </w:tabs>
        <w:ind w:left="3231" w:hanging="284"/>
      </w:pPr>
      <w:rPr>
        <w:rFonts w:ascii="Courier New" w:hAnsi="Courier New" w:hint="default"/>
        <w:color w:val="auto"/>
      </w:rPr>
    </w:lvl>
    <w:lvl w:ilvl="8">
      <w:start w:val="1"/>
      <w:numFmt w:val="bullet"/>
      <w:lvlText w:val=""/>
      <w:lvlJc w:val="left"/>
      <w:pPr>
        <w:tabs>
          <w:tab w:val="num" w:pos="3571"/>
        </w:tabs>
        <w:ind w:left="3571" w:hanging="284"/>
      </w:pPr>
      <w:rPr>
        <w:rFonts w:ascii="Symbol" w:hAnsi="Symbol" w:hint="default"/>
      </w:rPr>
    </w:lvl>
  </w:abstractNum>
  <w:abstractNum w:abstractNumId="27" w15:restartNumberingAfterBreak="0">
    <w:nsid w:val="3BB24EAF"/>
    <w:multiLevelType w:val="hybridMultilevel"/>
    <w:tmpl w:val="8FE00DD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3BBF5530"/>
    <w:multiLevelType w:val="hybridMultilevel"/>
    <w:tmpl w:val="C1E2897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07D4D9E"/>
    <w:multiLevelType w:val="hybridMultilevel"/>
    <w:tmpl w:val="CCB286D8"/>
    <w:lvl w:ilvl="0" w:tplc="240A0005">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0" w15:restartNumberingAfterBreak="0">
    <w:nsid w:val="432236AF"/>
    <w:multiLevelType w:val="hybridMultilevel"/>
    <w:tmpl w:val="11925B2A"/>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1" w15:restartNumberingAfterBreak="0">
    <w:nsid w:val="43815CC1"/>
    <w:multiLevelType w:val="hybridMultilevel"/>
    <w:tmpl w:val="57605CA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475B3203"/>
    <w:multiLevelType w:val="multilevel"/>
    <w:tmpl w:val="6096DEFC"/>
    <w:name w:val="AODo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33"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34" w15:restartNumberingAfterBreak="0">
    <w:nsid w:val="4D575225"/>
    <w:multiLevelType w:val="hybridMultilevel"/>
    <w:tmpl w:val="FFE0DBCE"/>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5" w15:restartNumberingAfterBreak="0">
    <w:nsid w:val="516E3E99"/>
    <w:multiLevelType w:val="multilevel"/>
    <w:tmpl w:val="C680B16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59107D8E"/>
    <w:multiLevelType w:val="hybridMultilevel"/>
    <w:tmpl w:val="A9DAA374"/>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7" w15:restartNumberingAfterBreak="0">
    <w:nsid w:val="5A3A28BE"/>
    <w:multiLevelType w:val="hybridMultilevel"/>
    <w:tmpl w:val="AAB6A1A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5BE7038F"/>
    <w:multiLevelType w:val="hybridMultilevel"/>
    <w:tmpl w:val="7F72950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42B0C9F"/>
    <w:multiLevelType w:val="hybridMultilevel"/>
    <w:tmpl w:val="3E98DF8C"/>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0" w15:restartNumberingAfterBreak="0">
    <w:nsid w:val="6CDA47F5"/>
    <w:multiLevelType w:val="hybridMultilevel"/>
    <w:tmpl w:val="95229FC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1" w15:restartNumberingAfterBreak="0">
    <w:nsid w:val="6EBA2B1C"/>
    <w:multiLevelType w:val="hybridMultilevel"/>
    <w:tmpl w:val="35986A50"/>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2" w15:restartNumberingAfterBreak="0">
    <w:nsid w:val="713F573F"/>
    <w:multiLevelType w:val="hybridMultilevel"/>
    <w:tmpl w:val="8D6E514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651639E"/>
    <w:multiLevelType w:val="hybridMultilevel"/>
    <w:tmpl w:val="C02611B0"/>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4" w15:restartNumberingAfterBreak="0">
    <w:nsid w:val="77CB7B2A"/>
    <w:multiLevelType w:val="multilevel"/>
    <w:tmpl w:val="C268A42A"/>
    <w:lvl w:ilvl="0">
      <w:start w:val="1"/>
      <w:numFmt w:val="decimal"/>
      <w:pStyle w:val="1Title1"/>
      <w:lvlText w:val="%1."/>
      <w:lvlJc w:val="left"/>
      <w:pPr>
        <w:ind w:left="397" w:hanging="39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2Title2"/>
      <w:lvlText w:val="%1.%2"/>
      <w:lvlJc w:val="left"/>
      <w:pPr>
        <w:ind w:left="792" w:hanging="432"/>
      </w:pPr>
      <w:rPr>
        <w:rFonts w:hint="default"/>
        <w:b/>
      </w:rPr>
    </w:lvl>
    <w:lvl w:ilvl="2">
      <w:start w:val="1"/>
      <w:numFmt w:val="decimal"/>
      <w:lvlText w:val="%1.%2.%3."/>
      <w:lvlJc w:val="left"/>
      <w:pPr>
        <w:ind w:left="1355" w:hanging="504"/>
      </w:pPr>
      <w:rPr>
        <w:rFonts w:cs="Times New Roman" w:hint="default"/>
        <w:b/>
        <w:i w:val="0"/>
        <w:lang w:val="en-US"/>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5" w15:restartNumberingAfterBreak="0">
    <w:nsid w:val="7F88495D"/>
    <w:multiLevelType w:val="hybridMultilevel"/>
    <w:tmpl w:val="ACC490E4"/>
    <w:lvl w:ilvl="0" w:tplc="240A000D">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2"/>
  </w:num>
  <w:num w:numId="2">
    <w:abstractNumId w:val="26"/>
  </w:num>
  <w:num w:numId="3">
    <w:abstractNumId w:val="17"/>
  </w:num>
  <w:num w:numId="4">
    <w:abstractNumId w:val="7"/>
  </w:num>
  <w:num w:numId="5">
    <w:abstractNumId w:val="1"/>
  </w:num>
  <w:num w:numId="6">
    <w:abstractNumId w:val="3"/>
  </w:num>
  <w:num w:numId="7">
    <w:abstractNumId w:val="0"/>
  </w:num>
  <w:num w:numId="8">
    <w:abstractNumId w:val="33"/>
  </w:num>
  <w:num w:numId="9">
    <w:abstractNumId w:val="32"/>
  </w:num>
  <w:num w:numId="10">
    <w:abstractNumId w:val="44"/>
  </w:num>
  <w:num w:numId="11">
    <w:abstractNumId w:val="10"/>
  </w:num>
  <w:num w:numId="12">
    <w:abstractNumId w:val="35"/>
  </w:num>
  <w:num w:numId="13">
    <w:abstractNumId w:val="27"/>
  </w:num>
  <w:num w:numId="14">
    <w:abstractNumId w:val="22"/>
  </w:num>
  <w:num w:numId="15">
    <w:abstractNumId w:val="41"/>
  </w:num>
  <w:num w:numId="16">
    <w:abstractNumId w:val="23"/>
  </w:num>
  <w:num w:numId="17">
    <w:abstractNumId w:val="43"/>
  </w:num>
  <w:num w:numId="18">
    <w:abstractNumId w:val="15"/>
  </w:num>
  <w:num w:numId="19">
    <w:abstractNumId w:val="36"/>
  </w:num>
  <w:num w:numId="20">
    <w:abstractNumId w:val="29"/>
  </w:num>
  <w:num w:numId="21">
    <w:abstractNumId w:val="14"/>
  </w:num>
  <w:num w:numId="22">
    <w:abstractNumId w:val="16"/>
  </w:num>
  <w:num w:numId="23">
    <w:abstractNumId w:val="8"/>
  </w:num>
  <w:num w:numId="24">
    <w:abstractNumId w:val="13"/>
  </w:num>
  <w:num w:numId="25">
    <w:abstractNumId w:val="42"/>
  </w:num>
  <w:num w:numId="26">
    <w:abstractNumId w:val="31"/>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4"/>
  </w:num>
  <w:num w:numId="30">
    <w:abstractNumId w:val="30"/>
  </w:num>
  <w:num w:numId="31">
    <w:abstractNumId w:val="39"/>
  </w:num>
  <w:num w:numId="32">
    <w:abstractNumId w:val="19"/>
  </w:num>
  <w:num w:numId="33">
    <w:abstractNumId w:val="34"/>
  </w:num>
  <w:num w:numId="34">
    <w:abstractNumId w:val="12"/>
  </w:num>
  <w:num w:numId="35">
    <w:abstractNumId w:val="25"/>
  </w:num>
  <w:num w:numId="36">
    <w:abstractNumId w:val="38"/>
  </w:num>
  <w:num w:numId="37">
    <w:abstractNumId w:val="37"/>
  </w:num>
  <w:num w:numId="38">
    <w:abstractNumId w:val="40"/>
  </w:num>
  <w:num w:numId="39">
    <w:abstractNumId w:val="18"/>
  </w:num>
  <w:num w:numId="40">
    <w:abstractNumId w:val="45"/>
  </w:num>
  <w:num w:numId="41">
    <w:abstractNumId w:val="21"/>
  </w:num>
  <w:num w:numId="42">
    <w:abstractNumId w:val="11"/>
  </w:num>
  <w:num w:numId="43">
    <w:abstractNumId w:val="6"/>
  </w:num>
  <w:num w:numId="44">
    <w:abstractNumId w:val="9"/>
  </w:num>
  <w:num w:numId="45">
    <w:abstractNumId w:val="5"/>
  </w:num>
  <w:num w:numId="46">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s-ES" w:vendorID="64" w:dllVersion="0" w:nlCheck="1" w:checkStyle="0"/>
  <w:activeWritingStyle w:appName="MSWord" w:lang="es-CO" w:vendorID="64" w:dllVersion="0" w:nlCheck="1" w:checkStyle="0"/>
  <w:activeWritingStyle w:appName="MSWord" w:lang="en-US" w:vendorID="64" w:dllVersion="6" w:nlCheck="1" w:checkStyle="1"/>
  <w:activeWritingStyle w:appName="MSWord" w:lang="en-US" w:vendorID="64" w:dllVersion="0" w:nlCheck="1" w:checkStyle="0"/>
  <w:activeWritingStyle w:appName="MSWord" w:lang="es-419" w:vendorID="64" w:dllVersion="0" w:nlCheck="1" w:checkStyle="0"/>
  <w:activeWritingStyle w:appName="MSWord" w:lang="es-419" w:vendorID="64" w:dllVersion="4096" w:nlCheck="1" w:checkStyle="0"/>
  <w:activeWritingStyle w:appName="MSWord" w:lang="en-US" w:vendorID="64" w:dllVersion="4096" w:nlCheck="1" w:checkStyle="0"/>
  <w:activeWritingStyle w:appName="MSWord" w:lang="es-ES_tradnl" w:vendorID="64" w:dllVersion="4096" w:nlCheck="1" w:checkStyle="0"/>
  <w:proofState w:spelling="clean" w:grammar="clean"/>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D2C"/>
    <w:rsid w:val="000020A7"/>
    <w:rsid w:val="00002F0A"/>
    <w:rsid w:val="00003D13"/>
    <w:rsid w:val="00005394"/>
    <w:rsid w:val="000076E6"/>
    <w:rsid w:val="00013832"/>
    <w:rsid w:val="00014B4C"/>
    <w:rsid w:val="000155FD"/>
    <w:rsid w:val="00016871"/>
    <w:rsid w:val="00023260"/>
    <w:rsid w:val="000240C4"/>
    <w:rsid w:val="0002558B"/>
    <w:rsid w:val="000256DC"/>
    <w:rsid w:val="00026E3B"/>
    <w:rsid w:val="00027797"/>
    <w:rsid w:val="00030417"/>
    <w:rsid w:val="00031837"/>
    <w:rsid w:val="000321F0"/>
    <w:rsid w:val="00032AE9"/>
    <w:rsid w:val="00033E08"/>
    <w:rsid w:val="000340CD"/>
    <w:rsid w:val="00037F62"/>
    <w:rsid w:val="00044302"/>
    <w:rsid w:val="00044B6C"/>
    <w:rsid w:val="00045A9C"/>
    <w:rsid w:val="00046614"/>
    <w:rsid w:val="00047BCA"/>
    <w:rsid w:val="000515D4"/>
    <w:rsid w:val="00056D7A"/>
    <w:rsid w:val="0006056C"/>
    <w:rsid w:val="0006123D"/>
    <w:rsid w:val="00065BE7"/>
    <w:rsid w:val="00071B69"/>
    <w:rsid w:val="00073797"/>
    <w:rsid w:val="000739A1"/>
    <w:rsid w:val="000743C7"/>
    <w:rsid w:val="0007476E"/>
    <w:rsid w:val="00074977"/>
    <w:rsid w:val="00076BBE"/>
    <w:rsid w:val="00077C5D"/>
    <w:rsid w:val="00077E77"/>
    <w:rsid w:val="00080BCA"/>
    <w:rsid w:val="00080FA2"/>
    <w:rsid w:val="00081334"/>
    <w:rsid w:val="00083C2C"/>
    <w:rsid w:val="00084438"/>
    <w:rsid w:val="00085162"/>
    <w:rsid w:val="000857F5"/>
    <w:rsid w:val="00085EF3"/>
    <w:rsid w:val="00087BC5"/>
    <w:rsid w:val="0009176D"/>
    <w:rsid w:val="000923D8"/>
    <w:rsid w:val="00092BEA"/>
    <w:rsid w:val="00093172"/>
    <w:rsid w:val="00095A36"/>
    <w:rsid w:val="00096163"/>
    <w:rsid w:val="000965D6"/>
    <w:rsid w:val="00097259"/>
    <w:rsid w:val="00097D1F"/>
    <w:rsid w:val="000A2EFE"/>
    <w:rsid w:val="000A57F3"/>
    <w:rsid w:val="000B082C"/>
    <w:rsid w:val="000B1F20"/>
    <w:rsid w:val="000B271C"/>
    <w:rsid w:val="000B3555"/>
    <w:rsid w:val="000B54DD"/>
    <w:rsid w:val="000B74B1"/>
    <w:rsid w:val="000B752A"/>
    <w:rsid w:val="000B78A2"/>
    <w:rsid w:val="000C0996"/>
    <w:rsid w:val="000C2270"/>
    <w:rsid w:val="000C2DED"/>
    <w:rsid w:val="000C3691"/>
    <w:rsid w:val="000C3769"/>
    <w:rsid w:val="000C3F15"/>
    <w:rsid w:val="000C4E54"/>
    <w:rsid w:val="000C6A4C"/>
    <w:rsid w:val="000D03BB"/>
    <w:rsid w:val="000D0FA1"/>
    <w:rsid w:val="000D1A67"/>
    <w:rsid w:val="000D35F7"/>
    <w:rsid w:val="000D3F9C"/>
    <w:rsid w:val="000D4B04"/>
    <w:rsid w:val="000D5724"/>
    <w:rsid w:val="000D5764"/>
    <w:rsid w:val="000D65E6"/>
    <w:rsid w:val="000D780A"/>
    <w:rsid w:val="000D7B43"/>
    <w:rsid w:val="000E014E"/>
    <w:rsid w:val="000E19ED"/>
    <w:rsid w:val="000E2976"/>
    <w:rsid w:val="000E335F"/>
    <w:rsid w:val="000E4784"/>
    <w:rsid w:val="000E7569"/>
    <w:rsid w:val="000E7989"/>
    <w:rsid w:val="000F0404"/>
    <w:rsid w:val="000F05E8"/>
    <w:rsid w:val="000F0A6C"/>
    <w:rsid w:val="000F2784"/>
    <w:rsid w:val="000F4C8C"/>
    <w:rsid w:val="000F5C91"/>
    <w:rsid w:val="000F7EE9"/>
    <w:rsid w:val="0010394A"/>
    <w:rsid w:val="00106B70"/>
    <w:rsid w:val="00113CA7"/>
    <w:rsid w:val="00114424"/>
    <w:rsid w:val="0011707E"/>
    <w:rsid w:val="00117B03"/>
    <w:rsid w:val="00120459"/>
    <w:rsid w:val="00121D05"/>
    <w:rsid w:val="00122287"/>
    <w:rsid w:val="00125EFE"/>
    <w:rsid w:val="001265B4"/>
    <w:rsid w:val="001269B7"/>
    <w:rsid w:val="001275C6"/>
    <w:rsid w:val="00127665"/>
    <w:rsid w:val="00127876"/>
    <w:rsid w:val="0013063C"/>
    <w:rsid w:val="00130EAE"/>
    <w:rsid w:val="001313B1"/>
    <w:rsid w:val="00131A4C"/>
    <w:rsid w:val="001334CE"/>
    <w:rsid w:val="00133A38"/>
    <w:rsid w:val="00134A49"/>
    <w:rsid w:val="00137998"/>
    <w:rsid w:val="0014067B"/>
    <w:rsid w:val="0014080E"/>
    <w:rsid w:val="00145155"/>
    <w:rsid w:val="00146C8B"/>
    <w:rsid w:val="00150254"/>
    <w:rsid w:val="00150B8F"/>
    <w:rsid w:val="001527AF"/>
    <w:rsid w:val="00152C2A"/>
    <w:rsid w:val="00152F70"/>
    <w:rsid w:val="00152FB9"/>
    <w:rsid w:val="001545F7"/>
    <w:rsid w:val="00156417"/>
    <w:rsid w:val="0015659C"/>
    <w:rsid w:val="00156949"/>
    <w:rsid w:val="00161C8A"/>
    <w:rsid w:val="001634FA"/>
    <w:rsid w:val="00166A14"/>
    <w:rsid w:val="001671D6"/>
    <w:rsid w:val="0016724A"/>
    <w:rsid w:val="001708EA"/>
    <w:rsid w:val="001751E8"/>
    <w:rsid w:val="001752D2"/>
    <w:rsid w:val="0017686F"/>
    <w:rsid w:val="0018088C"/>
    <w:rsid w:val="0018094A"/>
    <w:rsid w:val="0018577D"/>
    <w:rsid w:val="001876C0"/>
    <w:rsid w:val="00187EDD"/>
    <w:rsid w:val="00190600"/>
    <w:rsid w:val="00191609"/>
    <w:rsid w:val="0019176B"/>
    <w:rsid w:val="0019270C"/>
    <w:rsid w:val="0019416F"/>
    <w:rsid w:val="00194611"/>
    <w:rsid w:val="001966D3"/>
    <w:rsid w:val="00196932"/>
    <w:rsid w:val="001970CB"/>
    <w:rsid w:val="001A4A67"/>
    <w:rsid w:val="001A4F7C"/>
    <w:rsid w:val="001A7A79"/>
    <w:rsid w:val="001B0A3A"/>
    <w:rsid w:val="001B0E12"/>
    <w:rsid w:val="001B28D2"/>
    <w:rsid w:val="001B319C"/>
    <w:rsid w:val="001B4C44"/>
    <w:rsid w:val="001B51C9"/>
    <w:rsid w:val="001B5C44"/>
    <w:rsid w:val="001B66AF"/>
    <w:rsid w:val="001B6D55"/>
    <w:rsid w:val="001B7890"/>
    <w:rsid w:val="001C181F"/>
    <w:rsid w:val="001C1DDA"/>
    <w:rsid w:val="001C288B"/>
    <w:rsid w:val="001C34C7"/>
    <w:rsid w:val="001C3B6A"/>
    <w:rsid w:val="001D783B"/>
    <w:rsid w:val="001E01F2"/>
    <w:rsid w:val="001E051D"/>
    <w:rsid w:val="001E50CC"/>
    <w:rsid w:val="001E57ED"/>
    <w:rsid w:val="001E71B3"/>
    <w:rsid w:val="001E78C7"/>
    <w:rsid w:val="001F2D6B"/>
    <w:rsid w:val="001F3204"/>
    <w:rsid w:val="001F3981"/>
    <w:rsid w:val="001F3EC0"/>
    <w:rsid w:val="001F4F08"/>
    <w:rsid w:val="001F6F5B"/>
    <w:rsid w:val="001F721F"/>
    <w:rsid w:val="002038B9"/>
    <w:rsid w:val="00203AE3"/>
    <w:rsid w:val="00205951"/>
    <w:rsid w:val="00207193"/>
    <w:rsid w:val="002072C8"/>
    <w:rsid w:val="00207934"/>
    <w:rsid w:val="00212CC1"/>
    <w:rsid w:val="0021382D"/>
    <w:rsid w:val="0021419F"/>
    <w:rsid w:val="00214E55"/>
    <w:rsid w:val="0021639D"/>
    <w:rsid w:val="002176B3"/>
    <w:rsid w:val="00222394"/>
    <w:rsid w:val="00222DEB"/>
    <w:rsid w:val="0022372D"/>
    <w:rsid w:val="00223AB0"/>
    <w:rsid w:val="00223B33"/>
    <w:rsid w:val="00223D8F"/>
    <w:rsid w:val="00224659"/>
    <w:rsid w:val="00224683"/>
    <w:rsid w:val="0022481A"/>
    <w:rsid w:val="00225119"/>
    <w:rsid w:val="002253D9"/>
    <w:rsid w:val="00225A9A"/>
    <w:rsid w:val="002305A5"/>
    <w:rsid w:val="00231617"/>
    <w:rsid w:val="0023264B"/>
    <w:rsid w:val="0023283A"/>
    <w:rsid w:val="002331EB"/>
    <w:rsid w:val="00233707"/>
    <w:rsid w:val="00237746"/>
    <w:rsid w:val="00237F78"/>
    <w:rsid w:val="00240B06"/>
    <w:rsid w:val="00240FB6"/>
    <w:rsid w:val="00241EF5"/>
    <w:rsid w:val="002424E4"/>
    <w:rsid w:val="00242E2F"/>
    <w:rsid w:val="0024382D"/>
    <w:rsid w:val="00244E31"/>
    <w:rsid w:val="00245E26"/>
    <w:rsid w:val="002510FD"/>
    <w:rsid w:val="00252BCB"/>
    <w:rsid w:val="002530CB"/>
    <w:rsid w:val="00253172"/>
    <w:rsid w:val="00255EAC"/>
    <w:rsid w:val="00257EAF"/>
    <w:rsid w:val="00260656"/>
    <w:rsid w:val="00263FC2"/>
    <w:rsid w:val="0026450C"/>
    <w:rsid w:val="00266882"/>
    <w:rsid w:val="00271684"/>
    <w:rsid w:val="00271851"/>
    <w:rsid w:val="002733E9"/>
    <w:rsid w:val="002745CA"/>
    <w:rsid w:val="00276FEE"/>
    <w:rsid w:val="002802BB"/>
    <w:rsid w:val="002802DE"/>
    <w:rsid w:val="002831EC"/>
    <w:rsid w:val="0028355F"/>
    <w:rsid w:val="00283B87"/>
    <w:rsid w:val="00285493"/>
    <w:rsid w:val="002864F0"/>
    <w:rsid w:val="0028667A"/>
    <w:rsid w:val="00287E32"/>
    <w:rsid w:val="00290E60"/>
    <w:rsid w:val="00292915"/>
    <w:rsid w:val="00294914"/>
    <w:rsid w:val="002956BA"/>
    <w:rsid w:val="002957BE"/>
    <w:rsid w:val="0029716A"/>
    <w:rsid w:val="002A0355"/>
    <w:rsid w:val="002A0650"/>
    <w:rsid w:val="002A33E0"/>
    <w:rsid w:val="002A4279"/>
    <w:rsid w:val="002A462A"/>
    <w:rsid w:val="002A4938"/>
    <w:rsid w:val="002A7F1A"/>
    <w:rsid w:val="002B00A4"/>
    <w:rsid w:val="002B0A22"/>
    <w:rsid w:val="002B159D"/>
    <w:rsid w:val="002B29D5"/>
    <w:rsid w:val="002B3CBE"/>
    <w:rsid w:val="002B438B"/>
    <w:rsid w:val="002B4629"/>
    <w:rsid w:val="002B4638"/>
    <w:rsid w:val="002B485B"/>
    <w:rsid w:val="002B7373"/>
    <w:rsid w:val="002B7F89"/>
    <w:rsid w:val="002C074B"/>
    <w:rsid w:val="002C0FAC"/>
    <w:rsid w:val="002C2A02"/>
    <w:rsid w:val="002C2D21"/>
    <w:rsid w:val="002C3D8B"/>
    <w:rsid w:val="002C498C"/>
    <w:rsid w:val="002C4F9D"/>
    <w:rsid w:val="002C57E6"/>
    <w:rsid w:val="002C7565"/>
    <w:rsid w:val="002D08C7"/>
    <w:rsid w:val="002D1AD0"/>
    <w:rsid w:val="002D2942"/>
    <w:rsid w:val="002D3B44"/>
    <w:rsid w:val="002D3D0D"/>
    <w:rsid w:val="002D40DF"/>
    <w:rsid w:val="002D4972"/>
    <w:rsid w:val="002D4BC3"/>
    <w:rsid w:val="002D538B"/>
    <w:rsid w:val="002D593C"/>
    <w:rsid w:val="002D76EC"/>
    <w:rsid w:val="002E15CA"/>
    <w:rsid w:val="002E1E88"/>
    <w:rsid w:val="002E4ECF"/>
    <w:rsid w:val="002E608E"/>
    <w:rsid w:val="002E7B57"/>
    <w:rsid w:val="002F0749"/>
    <w:rsid w:val="002F24A2"/>
    <w:rsid w:val="002F31C9"/>
    <w:rsid w:val="002F7602"/>
    <w:rsid w:val="003003C5"/>
    <w:rsid w:val="00300804"/>
    <w:rsid w:val="00300B01"/>
    <w:rsid w:val="00301BE4"/>
    <w:rsid w:val="00304AEA"/>
    <w:rsid w:val="0030541D"/>
    <w:rsid w:val="00307887"/>
    <w:rsid w:val="00310B32"/>
    <w:rsid w:val="00311C99"/>
    <w:rsid w:val="003130CC"/>
    <w:rsid w:val="0031328F"/>
    <w:rsid w:val="00314978"/>
    <w:rsid w:val="00316140"/>
    <w:rsid w:val="0031693E"/>
    <w:rsid w:val="0031768D"/>
    <w:rsid w:val="0031784E"/>
    <w:rsid w:val="00321241"/>
    <w:rsid w:val="00321E91"/>
    <w:rsid w:val="00323D09"/>
    <w:rsid w:val="003249ED"/>
    <w:rsid w:val="00324F1F"/>
    <w:rsid w:val="003305C0"/>
    <w:rsid w:val="00332431"/>
    <w:rsid w:val="00332D06"/>
    <w:rsid w:val="00333928"/>
    <w:rsid w:val="00334871"/>
    <w:rsid w:val="00337BEC"/>
    <w:rsid w:val="00337EFC"/>
    <w:rsid w:val="00341009"/>
    <w:rsid w:val="00341926"/>
    <w:rsid w:val="00341D3E"/>
    <w:rsid w:val="0034789E"/>
    <w:rsid w:val="00350A0F"/>
    <w:rsid w:val="00351C0B"/>
    <w:rsid w:val="00354064"/>
    <w:rsid w:val="00354518"/>
    <w:rsid w:val="003556C6"/>
    <w:rsid w:val="00360619"/>
    <w:rsid w:val="0036535D"/>
    <w:rsid w:val="00365658"/>
    <w:rsid w:val="00365D90"/>
    <w:rsid w:val="00365FE5"/>
    <w:rsid w:val="0036634E"/>
    <w:rsid w:val="003668F7"/>
    <w:rsid w:val="00366B27"/>
    <w:rsid w:val="00367063"/>
    <w:rsid w:val="003673D3"/>
    <w:rsid w:val="003679CB"/>
    <w:rsid w:val="00370C75"/>
    <w:rsid w:val="00372CC9"/>
    <w:rsid w:val="00374327"/>
    <w:rsid w:val="00376378"/>
    <w:rsid w:val="003763D2"/>
    <w:rsid w:val="00380B07"/>
    <w:rsid w:val="00381825"/>
    <w:rsid w:val="00383BC8"/>
    <w:rsid w:val="0038463D"/>
    <w:rsid w:val="00384F22"/>
    <w:rsid w:val="003850B2"/>
    <w:rsid w:val="00386AB6"/>
    <w:rsid w:val="00390CE1"/>
    <w:rsid w:val="00392773"/>
    <w:rsid w:val="003940EE"/>
    <w:rsid w:val="0039628F"/>
    <w:rsid w:val="003979AF"/>
    <w:rsid w:val="00397BDA"/>
    <w:rsid w:val="003A00BB"/>
    <w:rsid w:val="003A0198"/>
    <w:rsid w:val="003A0B3B"/>
    <w:rsid w:val="003A0CA6"/>
    <w:rsid w:val="003A0EFD"/>
    <w:rsid w:val="003A149E"/>
    <w:rsid w:val="003A2EC2"/>
    <w:rsid w:val="003A3101"/>
    <w:rsid w:val="003A34B4"/>
    <w:rsid w:val="003A3952"/>
    <w:rsid w:val="003A44E7"/>
    <w:rsid w:val="003A44F7"/>
    <w:rsid w:val="003A64CB"/>
    <w:rsid w:val="003A70F1"/>
    <w:rsid w:val="003A7379"/>
    <w:rsid w:val="003B032C"/>
    <w:rsid w:val="003B38E9"/>
    <w:rsid w:val="003B491E"/>
    <w:rsid w:val="003B4D4D"/>
    <w:rsid w:val="003B5B0E"/>
    <w:rsid w:val="003B76DE"/>
    <w:rsid w:val="003C12D6"/>
    <w:rsid w:val="003C1863"/>
    <w:rsid w:val="003C1A1D"/>
    <w:rsid w:val="003C2973"/>
    <w:rsid w:val="003C55BB"/>
    <w:rsid w:val="003D0752"/>
    <w:rsid w:val="003D0B15"/>
    <w:rsid w:val="003D207B"/>
    <w:rsid w:val="003D23FD"/>
    <w:rsid w:val="003D2919"/>
    <w:rsid w:val="003D392F"/>
    <w:rsid w:val="003D4947"/>
    <w:rsid w:val="003D5680"/>
    <w:rsid w:val="003D582C"/>
    <w:rsid w:val="003D5AB4"/>
    <w:rsid w:val="003D6E35"/>
    <w:rsid w:val="003D6F95"/>
    <w:rsid w:val="003E23BC"/>
    <w:rsid w:val="003E2D43"/>
    <w:rsid w:val="003E36D0"/>
    <w:rsid w:val="003E523E"/>
    <w:rsid w:val="003E5BC2"/>
    <w:rsid w:val="003E5DA0"/>
    <w:rsid w:val="003E66F6"/>
    <w:rsid w:val="003E77E9"/>
    <w:rsid w:val="003F2562"/>
    <w:rsid w:val="003F2A24"/>
    <w:rsid w:val="003F3547"/>
    <w:rsid w:val="003F507F"/>
    <w:rsid w:val="003F59A2"/>
    <w:rsid w:val="003F7982"/>
    <w:rsid w:val="003F7AB3"/>
    <w:rsid w:val="00401D2F"/>
    <w:rsid w:val="00402BAD"/>
    <w:rsid w:val="004035F8"/>
    <w:rsid w:val="004047DA"/>
    <w:rsid w:val="00405269"/>
    <w:rsid w:val="00405BB1"/>
    <w:rsid w:val="00406734"/>
    <w:rsid w:val="00406D4F"/>
    <w:rsid w:val="0041064D"/>
    <w:rsid w:val="00411997"/>
    <w:rsid w:val="00412ABE"/>
    <w:rsid w:val="00412DEE"/>
    <w:rsid w:val="00413DF2"/>
    <w:rsid w:val="00414628"/>
    <w:rsid w:val="00415927"/>
    <w:rsid w:val="00415C30"/>
    <w:rsid w:val="00416ECF"/>
    <w:rsid w:val="004179F8"/>
    <w:rsid w:val="00417B90"/>
    <w:rsid w:val="00420592"/>
    <w:rsid w:val="004233CD"/>
    <w:rsid w:val="004234AA"/>
    <w:rsid w:val="00423839"/>
    <w:rsid w:val="00423DE6"/>
    <w:rsid w:val="00424244"/>
    <w:rsid w:val="004244D1"/>
    <w:rsid w:val="00426C7A"/>
    <w:rsid w:val="00431088"/>
    <w:rsid w:val="00431A7D"/>
    <w:rsid w:val="00431E15"/>
    <w:rsid w:val="00433F29"/>
    <w:rsid w:val="0043471E"/>
    <w:rsid w:val="004356DE"/>
    <w:rsid w:val="00436000"/>
    <w:rsid w:val="00436D01"/>
    <w:rsid w:val="004403BD"/>
    <w:rsid w:val="00440DFB"/>
    <w:rsid w:val="00442A56"/>
    <w:rsid w:val="0044444E"/>
    <w:rsid w:val="0044452A"/>
    <w:rsid w:val="00445206"/>
    <w:rsid w:val="00445B0D"/>
    <w:rsid w:val="00447B79"/>
    <w:rsid w:val="00447CA3"/>
    <w:rsid w:val="00447D48"/>
    <w:rsid w:val="00450015"/>
    <w:rsid w:val="00450E07"/>
    <w:rsid w:val="00451B5B"/>
    <w:rsid w:val="00451C22"/>
    <w:rsid w:val="00452243"/>
    <w:rsid w:val="00452B5E"/>
    <w:rsid w:val="004553C3"/>
    <w:rsid w:val="0045549D"/>
    <w:rsid w:val="00455853"/>
    <w:rsid w:val="00456B48"/>
    <w:rsid w:val="00461FDE"/>
    <w:rsid w:val="0046296C"/>
    <w:rsid w:val="00463DD8"/>
    <w:rsid w:val="00464F98"/>
    <w:rsid w:val="00466425"/>
    <w:rsid w:val="004672E0"/>
    <w:rsid w:val="004752BF"/>
    <w:rsid w:val="00476731"/>
    <w:rsid w:val="00476F15"/>
    <w:rsid w:val="0047767A"/>
    <w:rsid w:val="00477B65"/>
    <w:rsid w:val="00477CAD"/>
    <w:rsid w:val="0048066A"/>
    <w:rsid w:val="00482B16"/>
    <w:rsid w:val="00483B8E"/>
    <w:rsid w:val="00487A03"/>
    <w:rsid w:val="0049037C"/>
    <w:rsid w:val="0049045D"/>
    <w:rsid w:val="004927AD"/>
    <w:rsid w:val="004927D2"/>
    <w:rsid w:val="00494583"/>
    <w:rsid w:val="00496A09"/>
    <w:rsid w:val="00496F64"/>
    <w:rsid w:val="004A1AD9"/>
    <w:rsid w:val="004A2303"/>
    <w:rsid w:val="004A3021"/>
    <w:rsid w:val="004A5F1D"/>
    <w:rsid w:val="004A71CD"/>
    <w:rsid w:val="004A7394"/>
    <w:rsid w:val="004B036B"/>
    <w:rsid w:val="004B22F4"/>
    <w:rsid w:val="004B2C86"/>
    <w:rsid w:val="004B4EF2"/>
    <w:rsid w:val="004B5EF8"/>
    <w:rsid w:val="004B6480"/>
    <w:rsid w:val="004B683B"/>
    <w:rsid w:val="004B7E95"/>
    <w:rsid w:val="004C0029"/>
    <w:rsid w:val="004C0EC4"/>
    <w:rsid w:val="004C1CEA"/>
    <w:rsid w:val="004C22A1"/>
    <w:rsid w:val="004C2CE8"/>
    <w:rsid w:val="004C3B3F"/>
    <w:rsid w:val="004C5252"/>
    <w:rsid w:val="004C544B"/>
    <w:rsid w:val="004C69B0"/>
    <w:rsid w:val="004C6D42"/>
    <w:rsid w:val="004C71FD"/>
    <w:rsid w:val="004D0649"/>
    <w:rsid w:val="004D0F6A"/>
    <w:rsid w:val="004D26CC"/>
    <w:rsid w:val="004D2C4C"/>
    <w:rsid w:val="004D328A"/>
    <w:rsid w:val="004D4AA1"/>
    <w:rsid w:val="004D67F1"/>
    <w:rsid w:val="004D7648"/>
    <w:rsid w:val="004E0B36"/>
    <w:rsid w:val="004E0B95"/>
    <w:rsid w:val="004E14AA"/>
    <w:rsid w:val="004E24ED"/>
    <w:rsid w:val="004E420F"/>
    <w:rsid w:val="004E511B"/>
    <w:rsid w:val="004E69D8"/>
    <w:rsid w:val="004E6B5C"/>
    <w:rsid w:val="004E7C36"/>
    <w:rsid w:val="004F08CC"/>
    <w:rsid w:val="004F0B27"/>
    <w:rsid w:val="004F20F4"/>
    <w:rsid w:val="004F4EB3"/>
    <w:rsid w:val="004F55FE"/>
    <w:rsid w:val="004F7759"/>
    <w:rsid w:val="0050181C"/>
    <w:rsid w:val="00501A5A"/>
    <w:rsid w:val="00503BAB"/>
    <w:rsid w:val="0050420D"/>
    <w:rsid w:val="0050535F"/>
    <w:rsid w:val="00510830"/>
    <w:rsid w:val="0051141E"/>
    <w:rsid w:val="00513917"/>
    <w:rsid w:val="00513A38"/>
    <w:rsid w:val="00513D96"/>
    <w:rsid w:val="00515BB1"/>
    <w:rsid w:val="00517A83"/>
    <w:rsid w:val="00520367"/>
    <w:rsid w:val="00522CC7"/>
    <w:rsid w:val="00523438"/>
    <w:rsid w:val="005274B2"/>
    <w:rsid w:val="00527621"/>
    <w:rsid w:val="0053158A"/>
    <w:rsid w:val="00532B6A"/>
    <w:rsid w:val="00534CA5"/>
    <w:rsid w:val="005350AC"/>
    <w:rsid w:val="0053601F"/>
    <w:rsid w:val="00536708"/>
    <w:rsid w:val="00536EC5"/>
    <w:rsid w:val="00537B35"/>
    <w:rsid w:val="005406A4"/>
    <w:rsid w:val="00542142"/>
    <w:rsid w:val="005429DF"/>
    <w:rsid w:val="00543667"/>
    <w:rsid w:val="00543AAA"/>
    <w:rsid w:val="00547390"/>
    <w:rsid w:val="00547E2E"/>
    <w:rsid w:val="005519EB"/>
    <w:rsid w:val="00551CC5"/>
    <w:rsid w:val="00554DC0"/>
    <w:rsid w:val="0055637F"/>
    <w:rsid w:val="00563E89"/>
    <w:rsid w:val="00565301"/>
    <w:rsid w:val="00566409"/>
    <w:rsid w:val="0056696C"/>
    <w:rsid w:val="00570110"/>
    <w:rsid w:val="00570DDC"/>
    <w:rsid w:val="00573166"/>
    <w:rsid w:val="005732B0"/>
    <w:rsid w:val="005763C3"/>
    <w:rsid w:val="00576819"/>
    <w:rsid w:val="00577171"/>
    <w:rsid w:val="005807F2"/>
    <w:rsid w:val="0058093C"/>
    <w:rsid w:val="00580F0C"/>
    <w:rsid w:val="0058568F"/>
    <w:rsid w:val="00585EF9"/>
    <w:rsid w:val="00586835"/>
    <w:rsid w:val="00586D7A"/>
    <w:rsid w:val="00587569"/>
    <w:rsid w:val="00587FA0"/>
    <w:rsid w:val="00591B84"/>
    <w:rsid w:val="00593D0F"/>
    <w:rsid w:val="005944E7"/>
    <w:rsid w:val="005945BE"/>
    <w:rsid w:val="00594D51"/>
    <w:rsid w:val="0059602F"/>
    <w:rsid w:val="005962F2"/>
    <w:rsid w:val="0059665C"/>
    <w:rsid w:val="00596B3C"/>
    <w:rsid w:val="00596DBD"/>
    <w:rsid w:val="005978FD"/>
    <w:rsid w:val="005A05BE"/>
    <w:rsid w:val="005A0D4E"/>
    <w:rsid w:val="005A2868"/>
    <w:rsid w:val="005A4514"/>
    <w:rsid w:val="005A50A3"/>
    <w:rsid w:val="005A63C0"/>
    <w:rsid w:val="005A7AA3"/>
    <w:rsid w:val="005A7CB9"/>
    <w:rsid w:val="005B16DA"/>
    <w:rsid w:val="005B197E"/>
    <w:rsid w:val="005B2146"/>
    <w:rsid w:val="005B380A"/>
    <w:rsid w:val="005B38B9"/>
    <w:rsid w:val="005B3DBB"/>
    <w:rsid w:val="005B5BDB"/>
    <w:rsid w:val="005B6BC0"/>
    <w:rsid w:val="005B7DF9"/>
    <w:rsid w:val="005C0174"/>
    <w:rsid w:val="005C140D"/>
    <w:rsid w:val="005C1861"/>
    <w:rsid w:val="005C2719"/>
    <w:rsid w:val="005C2D6D"/>
    <w:rsid w:val="005C3241"/>
    <w:rsid w:val="005C4C9E"/>
    <w:rsid w:val="005C5044"/>
    <w:rsid w:val="005C6D14"/>
    <w:rsid w:val="005D07CB"/>
    <w:rsid w:val="005D090E"/>
    <w:rsid w:val="005D0B1F"/>
    <w:rsid w:val="005D0FE7"/>
    <w:rsid w:val="005D28BE"/>
    <w:rsid w:val="005D3292"/>
    <w:rsid w:val="005D48E6"/>
    <w:rsid w:val="005D50C7"/>
    <w:rsid w:val="005D54A9"/>
    <w:rsid w:val="005D7399"/>
    <w:rsid w:val="005D73AC"/>
    <w:rsid w:val="005E27D5"/>
    <w:rsid w:val="005E2AF8"/>
    <w:rsid w:val="005E2F2C"/>
    <w:rsid w:val="005E47F7"/>
    <w:rsid w:val="005E51B0"/>
    <w:rsid w:val="005E523C"/>
    <w:rsid w:val="005E5A84"/>
    <w:rsid w:val="005E6473"/>
    <w:rsid w:val="005E7F2E"/>
    <w:rsid w:val="005F00F6"/>
    <w:rsid w:val="005F1316"/>
    <w:rsid w:val="005F2D3D"/>
    <w:rsid w:val="005F3161"/>
    <w:rsid w:val="005F51B9"/>
    <w:rsid w:val="005F6804"/>
    <w:rsid w:val="005F7453"/>
    <w:rsid w:val="005F7794"/>
    <w:rsid w:val="005F78D3"/>
    <w:rsid w:val="0060075E"/>
    <w:rsid w:val="00600935"/>
    <w:rsid w:val="0060099C"/>
    <w:rsid w:val="006022A7"/>
    <w:rsid w:val="0060305A"/>
    <w:rsid w:val="00603293"/>
    <w:rsid w:val="006103F6"/>
    <w:rsid w:val="006115D9"/>
    <w:rsid w:val="0061460D"/>
    <w:rsid w:val="006146F8"/>
    <w:rsid w:val="0061694A"/>
    <w:rsid w:val="00617EBD"/>
    <w:rsid w:val="0062354B"/>
    <w:rsid w:val="00625D15"/>
    <w:rsid w:val="0062605E"/>
    <w:rsid w:val="00626F51"/>
    <w:rsid w:val="00630FDF"/>
    <w:rsid w:val="006318E9"/>
    <w:rsid w:val="00633147"/>
    <w:rsid w:val="006401F7"/>
    <w:rsid w:val="00641E5D"/>
    <w:rsid w:val="00642822"/>
    <w:rsid w:val="00644A40"/>
    <w:rsid w:val="00646742"/>
    <w:rsid w:val="00651EBA"/>
    <w:rsid w:val="006541D2"/>
    <w:rsid w:val="006561F4"/>
    <w:rsid w:val="006565E1"/>
    <w:rsid w:val="006605B8"/>
    <w:rsid w:val="006613E3"/>
    <w:rsid w:val="00661537"/>
    <w:rsid w:val="00661A2A"/>
    <w:rsid w:val="00663DD1"/>
    <w:rsid w:val="006642AB"/>
    <w:rsid w:val="00664FCC"/>
    <w:rsid w:val="006654D3"/>
    <w:rsid w:val="00665744"/>
    <w:rsid w:val="00670445"/>
    <w:rsid w:val="00671D0E"/>
    <w:rsid w:val="00671E38"/>
    <w:rsid w:val="00673762"/>
    <w:rsid w:val="00674E01"/>
    <w:rsid w:val="006760D3"/>
    <w:rsid w:val="006763B0"/>
    <w:rsid w:val="00677CE6"/>
    <w:rsid w:val="006812BD"/>
    <w:rsid w:val="00682B26"/>
    <w:rsid w:val="00683253"/>
    <w:rsid w:val="00683A19"/>
    <w:rsid w:val="00683D70"/>
    <w:rsid w:val="00683FCE"/>
    <w:rsid w:val="00685308"/>
    <w:rsid w:val="006907FE"/>
    <w:rsid w:val="00690C78"/>
    <w:rsid w:val="0069145A"/>
    <w:rsid w:val="00692C05"/>
    <w:rsid w:val="006932DA"/>
    <w:rsid w:val="006937BA"/>
    <w:rsid w:val="00693EC0"/>
    <w:rsid w:val="0069424F"/>
    <w:rsid w:val="00696245"/>
    <w:rsid w:val="00696DA6"/>
    <w:rsid w:val="00696E4E"/>
    <w:rsid w:val="006A07AB"/>
    <w:rsid w:val="006A2559"/>
    <w:rsid w:val="006A2CB5"/>
    <w:rsid w:val="006A2DFD"/>
    <w:rsid w:val="006A3061"/>
    <w:rsid w:val="006A371D"/>
    <w:rsid w:val="006A45CE"/>
    <w:rsid w:val="006A776E"/>
    <w:rsid w:val="006B1300"/>
    <w:rsid w:val="006B1751"/>
    <w:rsid w:val="006B3214"/>
    <w:rsid w:val="006B6FCF"/>
    <w:rsid w:val="006B7FA0"/>
    <w:rsid w:val="006C04D7"/>
    <w:rsid w:val="006C0CC1"/>
    <w:rsid w:val="006D1975"/>
    <w:rsid w:val="006D1DE3"/>
    <w:rsid w:val="006D3AC5"/>
    <w:rsid w:val="006D3EA6"/>
    <w:rsid w:val="006D43BA"/>
    <w:rsid w:val="006D4611"/>
    <w:rsid w:val="006E0AB2"/>
    <w:rsid w:val="006E113E"/>
    <w:rsid w:val="006E127F"/>
    <w:rsid w:val="006E38D7"/>
    <w:rsid w:val="006E6065"/>
    <w:rsid w:val="006E64A5"/>
    <w:rsid w:val="006E6CDC"/>
    <w:rsid w:val="006E7C7F"/>
    <w:rsid w:val="006F00D4"/>
    <w:rsid w:val="006F1679"/>
    <w:rsid w:val="006F3DA1"/>
    <w:rsid w:val="006F427C"/>
    <w:rsid w:val="006F4B54"/>
    <w:rsid w:val="006F58D5"/>
    <w:rsid w:val="006F61C4"/>
    <w:rsid w:val="006F631F"/>
    <w:rsid w:val="006F746E"/>
    <w:rsid w:val="006F77B2"/>
    <w:rsid w:val="00702FE3"/>
    <w:rsid w:val="00704152"/>
    <w:rsid w:val="00704FB7"/>
    <w:rsid w:val="00710C91"/>
    <w:rsid w:val="00710D6D"/>
    <w:rsid w:val="00711092"/>
    <w:rsid w:val="00711B44"/>
    <w:rsid w:val="007134E1"/>
    <w:rsid w:val="00714D23"/>
    <w:rsid w:val="00715E77"/>
    <w:rsid w:val="0071719D"/>
    <w:rsid w:val="007209AF"/>
    <w:rsid w:val="00720CA8"/>
    <w:rsid w:val="0072123A"/>
    <w:rsid w:val="00724907"/>
    <w:rsid w:val="00724F5E"/>
    <w:rsid w:val="007262CE"/>
    <w:rsid w:val="00726ABD"/>
    <w:rsid w:val="00731A58"/>
    <w:rsid w:val="00734292"/>
    <w:rsid w:val="00734E26"/>
    <w:rsid w:val="00735A94"/>
    <w:rsid w:val="00735E7C"/>
    <w:rsid w:val="00736AB3"/>
    <w:rsid w:val="00741D9B"/>
    <w:rsid w:val="0074268A"/>
    <w:rsid w:val="007437E3"/>
    <w:rsid w:val="00743F81"/>
    <w:rsid w:val="00744617"/>
    <w:rsid w:val="00745133"/>
    <w:rsid w:val="00745D2C"/>
    <w:rsid w:val="00745DBC"/>
    <w:rsid w:val="007469E3"/>
    <w:rsid w:val="0075040B"/>
    <w:rsid w:val="0075265B"/>
    <w:rsid w:val="00753E6A"/>
    <w:rsid w:val="00754ED4"/>
    <w:rsid w:val="00754F58"/>
    <w:rsid w:val="00754FE1"/>
    <w:rsid w:val="00755287"/>
    <w:rsid w:val="007557B7"/>
    <w:rsid w:val="00755F7C"/>
    <w:rsid w:val="00756067"/>
    <w:rsid w:val="00756662"/>
    <w:rsid w:val="0075670B"/>
    <w:rsid w:val="007602A6"/>
    <w:rsid w:val="00760F4A"/>
    <w:rsid w:val="007610E5"/>
    <w:rsid w:val="007617B6"/>
    <w:rsid w:val="0076246E"/>
    <w:rsid w:val="00764402"/>
    <w:rsid w:val="0076712E"/>
    <w:rsid w:val="00767ABA"/>
    <w:rsid w:val="00767FC5"/>
    <w:rsid w:val="00771D4B"/>
    <w:rsid w:val="00773A69"/>
    <w:rsid w:val="00773D70"/>
    <w:rsid w:val="00774806"/>
    <w:rsid w:val="00774F29"/>
    <w:rsid w:val="00775824"/>
    <w:rsid w:val="00781733"/>
    <w:rsid w:val="00781BFF"/>
    <w:rsid w:val="00781F41"/>
    <w:rsid w:val="007829C9"/>
    <w:rsid w:val="007841AC"/>
    <w:rsid w:val="007848E1"/>
    <w:rsid w:val="00784F59"/>
    <w:rsid w:val="00785E81"/>
    <w:rsid w:val="00791588"/>
    <w:rsid w:val="00791764"/>
    <w:rsid w:val="00792749"/>
    <w:rsid w:val="007928D1"/>
    <w:rsid w:val="007933F5"/>
    <w:rsid w:val="00794223"/>
    <w:rsid w:val="00796ABB"/>
    <w:rsid w:val="00796D1C"/>
    <w:rsid w:val="007972F2"/>
    <w:rsid w:val="007A12E9"/>
    <w:rsid w:val="007A2BDD"/>
    <w:rsid w:val="007A3244"/>
    <w:rsid w:val="007A332C"/>
    <w:rsid w:val="007A45A4"/>
    <w:rsid w:val="007A5CDF"/>
    <w:rsid w:val="007A6054"/>
    <w:rsid w:val="007A73E8"/>
    <w:rsid w:val="007A7485"/>
    <w:rsid w:val="007A7EB3"/>
    <w:rsid w:val="007B0845"/>
    <w:rsid w:val="007B1426"/>
    <w:rsid w:val="007B37E9"/>
    <w:rsid w:val="007B3AEC"/>
    <w:rsid w:val="007B3D14"/>
    <w:rsid w:val="007C0257"/>
    <w:rsid w:val="007C0441"/>
    <w:rsid w:val="007C067E"/>
    <w:rsid w:val="007C1E8A"/>
    <w:rsid w:val="007C2ABF"/>
    <w:rsid w:val="007C3D36"/>
    <w:rsid w:val="007C4E73"/>
    <w:rsid w:val="007C6ED6"/>
    <w:rsid w:val="007C747A"/>
    <w:rsid w:val="007D11DC"/>
    <w:rsid w:val="007D1B46"/>
    <w:rsid w:val="007D2766"/>
    <w:rsid w:val="007D455D"/>
    <w:rsid w:val="007D6648"/>
    <w:rsid w:val="007D68E0"/>
    <w:rsid w:val="007E0A75"/>
    <w:rsid w:val="007E2A4D"/>
    <w:rsid w:val="007E319E"/>
    <w:rsid w:val="007E4282"/>
    <w:rsid w:val="007E514C"/>
    <w:rsid w:val="007E61B9"/>
    <w:rsid w:val="007E7123"/>
    <w:rsid w:val="007E7490"/>
    <w:rsid w:val="007F1049"/>
    <w:rsid w:val="007F179A"/>
    <w:rsid w:val="007F3765"/>
    <w:rsid w:val="007F4102"/>
    <w:rsid w:val="007F6E0E"/>
    <w:rsid w:val="0080240D"/>
    <w:rsid w:val="0080312A"/>
    <w:rsid w:val="0080355E"/>
    <w:rsid w:val="00804849"/>
    <w:rsid w:val="00804FFA"/>
    <w:rsid w:val="00805252"/>
    <w:rsid w:val="00806DA7"/>
    <w:rsid w:val="00806ECF"/>
    <w:rsid w:val="00806FAC"/>
    <w:rsid w:val="00810CFA"/>
    <w:rsid w:val="008113D4"/>
    <w:rsid w:val="008116C5"/>
    <w:rsid w:val="0081197F"/>
    <w:rsid w:val="00812C16"/>
    <w:rsid w:val="00812EAE"/>
    <w:rsid w:val="00813303"/>
    <w:rsid w:val="008134B3"/>
    <w:rsid w:val="00813D0F"/>
    <w:rsid w:val="00814D09"/>
    <w:rsid w:val="00816729"/>
    <w:rsid w:val="00816F4D"/>
    <w:rsid w:val="00820630"/>
    <w:rsid w:val="00820FB2"/>
    <w:rsid w:val="008212AD"/>
    <w:rsid w:val="008243B5"/>
    <w:rsid w:val="00825C48"/>
    <w:rsid w:val="00826DFD"/>
    <w:rsid w:val="0082783E"/>
    <w:rsid w:val="008342A0"/>
    <w:rsid w:val="00834FF3"/>
    <w:rsid w:val="008360DB"/>
    <w:rsid w:val="0083670B"/>
    <w:rsid w:val="00836D37"/>
    <w:rsid w:val="00837890"/>
    <w:rsid w:val="00842732"/>
    <w:rsid w:val="008427F2"/>
    <w:rsid w:val="008429E3"/>
    <w:rsid w:val="00842E46"/>
    <w:rsid w:val="0084486B"/>
    <w:rsid w:val="00844E22"/>
    <w:rsid w:val="008466AB"/>
    <w:rsid w:val="00846FD1"/>
    <w:rsid w:val="00847D26"/>
    <w:rsid w:val="00850368"/>
    <w:rsid w:val="00851D9F"/>
    <w:rsid w:val="008550D0"/>
    <w:rsid w:val="00856A1B"/>
    <w:rsid w:val="00857165"/>
    <w:rsid w:val="008651E7"/>
    <w:rsid w:val="00870F95"/>
    <w:rsid w:val="00872EAC"/>
    <w:rsid w:val="008743E1"/>
    <w:rsid w:val="00874C89"/>
    <w:rsid w:val="00875C41"/>
    <w:rsid w:val="00875E0B"/>
    <w:rsid w:val="00876761"/>
    <w:rsid w:val="00877821"/>
    <w:rsid w:val="00877D66"/>
    <w:rsid w:val="00880A57"/>
    <w:rsid w:val="008812B6"/>
    <w:rsid w:val="00881560"/>
    <w:rsid w:val="0088198B"/>
    <w:rsid w:val="00881DC9"/>
    <w:rsid w:val="008835AA"/>
    <w:rsid w:val="00884FD9"/>
    <w:rsid w:val="00886E2B"/>
    <w:rsid w:val="00887AD1"/>
    <w:rsid w:val="0089105C"/>
    <w:rsid w:val="008941A3"/>
    <w:rsid w:val="0089599B"/>
    <w:rsid w:val="008A03BD"/>
    <w:rsid w:val="008A1B1F"/>
    <w:rsid w:val="008A213C"/>
    <w:rsid w:val="008A244E"/>
    <w:rsid w:val="008A2482"/>
    <w:rsid w:val="008A301D"/>
    <w:rsid w:val="008A3024"/>
    <w:rsid w:val="008A586A"/>
    <w:rsid w:val="008A6A1A"/>
    <w:rsid w:val="008A720E"/>
    <w:rsid w:val="008B008E"/>
    <w:rsid w:val="008B44F3"/>
    <w:rsid w:val="008C040C"/>
    <w:rsid w:val="008C3906"/>
    <w:rsid w:val="008C4109"/>
    <w:rsid w:val="008C43B4"/>
    <w:rsid w:val="008C5EBA"/>
    <w:rsid w:val="008C6E88"/>
    <w:rsid w:val="008C7070"/>
    <w:rsid w:val="008D22FD"/>
    <w:rsid w:val="008D4B90"/>
    <w:rsid w:val="008D6C8F"/>
    <w:rsid w:val="008E2EA5"/>
    <w:rsid w:val="008E2ED9"/>
    <w:rsid w:val="008E36E6"/>
    <w:rsid w:val="008E5139"/>
    <w:rsid w:val="008E68DB"/>
    <w:rsid w:val="008E7FBD"/>
    <w:rsid w:val="008F0CC5"/>
    <w:rsid w:val="008F1E2C"/>
    <w:rsid w:val="008F29D9"/>
    <w:rsid w:val="008F454E"/>
    <w:rsid w:val="008F47A2"/>
    <w:rsid w:val="008F5CB5"/>
    <w:rsid w:val="008F68E2"/>
    <w:rsid w:val="008F6B84"/>
    <w:rsid w:val="008F7D55"/>
    <w:rsid w:val="00900AC9"/>
    <w:rsid w:val="00901CB0"/>
    <w:rsid w:val="00903511"/>
    <w:rsid w:val="00906A54"/>
    <w:rsid w:val="00906EA1"/>
    <w:rsid w:val="009112D2"/>
    <w:rsid w:val="00911D11"/>
    <w:rsid w:val="009122A7"/>
    <w:rsid w:val="00912618"/>
    <w:rsid w:val="009148B5"/>
    <w:rsid w:val="00915981"/>
    <w:rsid w:val="00916928"/>
    <w:rsid w:val="0091792B"/>
    <w:rsid w:val="00920582"/>
    <w:rsid w:val="00921295"/>
    <w:rsid w:val="00924E43"/>
    <w:rsid w:val="00927E3E"/>
    <w:rsid w:val="00927FF7"/>
    <w:rsid w:val="00932E9A"/>
    <w:rsid w:val="009342F1"/>
    <w:rsid w:val="00936C0B"/>
    <w:rsid w:val="009375DA"/>
    <w:rsid w:val="00937B47"/>
    <w:rsid w:val="009443AC"/>
    <w:rsid w:val="0094494E"/>
    <w:rsid w:val="0094574F"/>
    <w:rsid w:val="00946BF5"/>
    <w:rsid w:val="009470F4"/>
    <w:rsid w:val="00950945"/>
    <w:rsid w:val="00950ABF"/>
    <w:rsid w:val="00952C24"/>
    <w:rsid w:val="00954915"/>
    <w:rsid w:val="00954CA7"/>
    <w:rsid w:val="009558A7"/>
    <w:rsid w:val="0095721B"/>
    <w:rsid w:val="00957600"/>
    <w:rsid w:val="0095797F"/>
    <w:rsid w:val="0096138F"/>
    <w:rsid w:val="00961484"/>
    <w:rsid w:val="00963612"/>
    <w:rsid w:val="009670FB"/>
    <w:rsid w:val="00967BB7"/>
    <w:rsid w:val="00971342"/>
    <w:rsid w:val="009721C9"/>
    <w:rsid w:val="00972B89"/>
    <w:rsid w:val="00972C37"/>
    <w:rsid w:val="00974F80"/>
    <w:rsid w:val="00975AF8"/>
    <w:rsid w:val="00977585"/>
    <w:rsid w:val="00977B2E"/>
    <w:rsid w:val="00981712"/>
    <w:rsid w:val="00982327"/>
    <w:rsid w:val="009834A6"/>
    <w:rsid w:val="00983865"/>
    <w:rsid w:val="0098627B"/>
    <w:rsid w:val="009913AF"/>
    <w:rsid w:val="00993228"/>
    <w:rsid w:val="00993DA7"/>
    <w:rsid w:val="0099454F"/>
    <w:rsid w:val="00996528"/>
    <w:rsid w:val="009A0156"/>
    <w:rsid w:val="009A1556"/>
    <w:rsid w:val="009A5BE8"/>
    <w:rsid w:val="009B086C"/>
    <w:rsid w:val="009B094B"/>
    <w:rsid w:val="009B1674"/>
    <w:rsid w:val="009B1A36"/>
    <w:rsid w:val="009B2AB8"/>
    <w:rsid w:val="009B2BE9"/>
    <w:rsid w:val="009B2CD8"/>
    <w:rsid w:val="009B7324"/>
    <w:rsid w:val="009B757F"/>
    <w:rsid w:val="009C0A1F"/>
    <w:rsid w:val="009C3AF0"/>
    <w:rsid w:val="009C435A"/>
    <w:rsid w:val="009C5B53"/>
    <w:rsid w:val="009C699B"/>
    <w:rsid w:val="009D0B8A"/>
    <w:rsid w:val="009D0DC2"/>
    <w:rsid w:val="009D17DA"/>
    <w:rsid w:val="009D1DAC"/>
    <w:rsid w:val="009D3973"/>
    <w:rsid w:val="009D4512"/>
    <w:rsid w:val="009D629F"/>
    <w:rsid w:val="009D6CF3"/>
    <w:rsid w:val="009E28E5"/>
    <w:rsid w:val="009E2BF6"/>
    <w:rsid w:val="009E3D14"/>
    <w:rsid w:val="009E7BB5"/>
    <w:rsid w:val="009F2ACD"/>
    <w:rsid w:val="009F6469"/>
    <w:rsid w:val="00A00F50"/>
    <w:rsid w:val="00A00F8C"/>
    <w:rsid w:val="00A030DC"/>
    <w:rsid w:val="00A035E7"/>
    <w:rsid w:val="00A039E3"/>
    <w:rsid w:val="00A04C42"/>
    <w:rsid w:val="00A06397"/>
    <w:rsid w:val="00A0664A"/>
    <w:rsid w:val="00A12821"/>
    <w:rsid w:val="00A14AC8"/>
    <w:rsid w:val="00A14D53"/>
    <w:rsid w:val="00A14E41"/>
    <w:rsid w:val="00A15202"/>
    <w:rsid w:val="00A1611D"/>
    <w:rsid w:val="00A17B52"/>
    <w:rsid w:val="00A201DB"/>
    <w:rsid w:val="00A22595"/>
    <w:rsid w:val="00A23609"/>
    <w:rsid w:val="00A241C8"/>
    <w:rsid w:val="00A25321"/>
    <w:rsid w:val="00A2646E"/>
    <w:rsid w:val="00A26A1F"/>
    <w:rsid w:val="00A26F3B"/>
    <w:rsid w:val="00A304A0"/>
    <w:rsid w:val="00A304D9"/>
    <w:rsid w:val="00A304ED"/>
    <w:rsid w:val="00A338B1"/>
    <w:rsid w:val="00A33A14"/>
    <w:rsid w:val="00A35CD9"/>
    <w:rsid w:val="00A36D45"/>
    <w:rsid w:val="00A37500"/>
    <w:rsid w:val="00A41EFB"/>
    <w:rsid w:val="00A421B6"/>
    <w:rsid w:val="00A435EC"/>
    <w:rsid w:val="00A4492E"/>
    <w:rsid w:val="00A44A09"/>
    <w:rsid w:val="00A46A7A"/>
    <w:rsid w:val="00A5069C"/>
    <w:rsid w:val="00A5145E"/>
    <w:rsid w:val="00A514F2"/>
    <w:rsid w:val="00A53D15"/>
    <w:rsid w:val="00A5539D"/>
    <w:rsid w:val="00A56428"/>
    <w:rsid w:val="00A57FC5"/>
    <w:rsid w:val="00A61432"/>
    <w:rsid w:val="00A61EF6"/>
    <w:rsid w:val="00A62721"/>
    <w:rsid w:val="00A633B1"/>
    <w:rsid w:val="00A63D5E"/>
    <w:rsid w:val="00A6496D"/>
    <w:rsid w:val="00A65B12"/>
    <w:rsid w:val="00A65E3F"/>
    <w:rsid w:val="00A67815"/>
    <w:rsid w:val="00A67E4C"/>
    <w:rsid w:val="00A710A6"/>
    <w:rsid w:val="00A73AF1"/>
    <w:rsid w:val="00A741E8"/>
    <w:rsid w:val="00A8035F"/>
    <w:rsid w:val="00A81C7D"/>
    <w:rsid w:val="00A83AAA"/>
    <w:rsid w:val="00A84258"/>
    <w:rsid w:val="00A87302"/>
    <w:rsid w:val="00A93914"/>
    <w:rsid w:val="00A955C2"/>
    <w:rsid w:val="00A96258"/>
    <w:rsid w:val="00A96262"/>
    <w:rsid w:val="00A96F36"/>
    <w:rsid w:val="00A978B1"/>
    <w:rsid w:val="00A97B9A"/>
    <w:rsid w:val="00A97E1F"/>
    <w:rsid w:val="00AA2836"/>
    <w:rsid w:val="00AA301E"/>
    <w:rsid w:val="00AA40DF"/>
    <w:rsid w:val="00AA443F"/>
    <w:rsid w:val="00AA6AC0"/>
    <w:rsid w:val="00AA7345"/>
    <w:rsid w:val="00AB19D9"/>
    <w:rsid w:val="00AB26A4"/>
    <w:rsid w:val="00AB35F1"/>
    <w:rsid w:val="00AB4260"/>
    <w:rsid w:val="00AB5B5E"/>
    <w:rsid w:val="00AB6517"/>
    <w:rsid w:val="00AB67F7"/>
    <w:rsid w:val="00AB7207"/>
    <w:rsid w:val="00AC050D"/>
    <w:rsid w:val="00AC1014"/>
    <w:rsid w:val="00AC156A"/>
    <w:rsid w:val="00AC1996"/>
    <w:rsid w:val="00AC2460"/>
    <w:rsid w:val="00AC27AC"/>
    <w:rsid w:val="00AC2D20"/>
    <w:rsid w:val="00AC4B95"/>
    <w:rsid w:val="00AC5B94"/>
    <w:rsid w:val="00AC5C8E"/>
    <w:rsid w:val="00AC725F"/>
    <w:rsid w:val="00AC7C5E"/>
    <w:rsid w:val="00AD0AA0"/>
    <w:rsid w:val="00AD25CF"/>
    <w:rsid w:val="00AD3DB6"/>
    <w:rsid w:val="00AD4347"/>
    <w:rsid w:val="00AE1B07"/>
    <w:rsid w:val="00AE22F9"/>
    <w:rsid w:val="00AE2A30"/>
    <w:rsid w:val="00AE2B6C"/>
    <w:rsid w:val="00AE5FBD"/>
    <w:rsid w:val="00AE60EA"/>
    <w:rsid w:val="00AE7157"/>
    <w:rsid w:val="00AE718D"/>
    <w:rsid w:val="00AF0C66"/>
    <w:rsid w:val="00AF1020"/>
    <w:rsid w:val="00AF2322"/>
    <w:rsid w:val="00AF309F"/>
    <w:rsid w:val="00AF36DF"/>
    <w:rsid w:val="00AF7C2D"/>
    <w:rsid w:val="00B0040A"/>
    <w:rsid w:val="00B0131E"/>
    <w:rsid w:val="00B019AA"/>
    <w:rsid w:val="00B032C4"/>
    <w:rsid w:val="00B05BAB"/>
    <w:rsid w:val="00B0622B"/>
    <w:rsid w:val="00B0643E"/>
    <w:rsid w:val="00B067BF"/>
    <w:rsid w:val="00B06B4B"/>
    <w:rsid w:val="00B10202"/>
    <w:rsid w:val="00B1062E"/>
    <w:rsid w:val="00B107CA"/>
    <w:rsid w:val="00B11212"/>
    <w:rsid w:val="00B14B5C"/>
    <w:rsid w:val="00B14D4F"/>
    <w:rsid w:val="00B161E9"/>
    <w:rsid w:val="00B216DD"/>
    <w:rsid w:val="00B24DA6"/>
    <w:rsid w:val="00B257B0"/>
    <w:rsid w:val="00B2668E"/>
    <w:rsid w:val="00B3135C"/>
    <w:rsid w:val="00B31D93"/>
    <w:rsid w:val="00B3204E"/>
    <w:rsid w:val="00B33DE6"/>
    <w:rsid w:val="00B33EC7"/>
    <w:rsid w:val="00B35BAF"/>
    <w:rsid w:val="00B35CAF"/>
    <w:rsid w:val="00B3654B"/>
    <w:rsid w:val="00B371A6"/>
    <w:rsid w:val="00B37EA5"/>
    <w:rsid w:val="00B401A5"/>
    <w:rsid w:val="00B40324"/>
    <w:rsid w:val="00B40DA9"/>
    <w:rsid w:val="00B41EE2"/>
    <w:rsid w:val="00B43A02"/>
    <w:rsid w:val="00B449AD"/>
    <w:rsid w:val="00B457F3"/>
    <w:rsid w:val="00B47694"/>
    <w:rsid w:val="00B507CC"/>
    <w:rsid w:val="00B5485B"/>
    <w:rsid w:val="00B54B83"/>
    <w:rsid w:val="00B5587C"/>
    <w:rsid w:val="00B55E0C"/>
    <w:rsid w:val="00B5676A"/>
    <w:rsid w:val="00B57667"/>
    <w:rsid w:val="00B61490"/>
    <w:rsid w:val="00B62754"/>
    <w:rsid w:val="00B62B4F"/>
    <w:rsid w:val="00B64D1B"/>
    <w:rsid w:val="00B6790E"/>
    <w:rsid w:val="00B67BE1"/>
    <w:rsid w:val="00B71382"/>
    <w:rsid w:val="00B71EE5"/>
    <w:rsid w:val="00B72067"/>
    <w:rsid w:val="00B72664"/>
    <w:rsid w:val="00B7476F"/>
    <w:rsid w:val="00B7500D"/>
    <w:rsid w:val="00B77372"/>
    <w:rsid w:val="00B776FA"/>
    <w:rsid w:val="00B77B54"/>
    <w:rsid w:val="00B8073B"/>
    <w:rsid w:val="00B81300"/>
    <w:rsid w:val="00B81770"/>
    <w:rsid w:val="00B820D8"/>
    <w:rsid w:val="00B83637"/>
    <w:rsid w:val="00B8389A"/>
    <w:rsid w:val="00B8530C"/>
    <w:rsid w:val="00B85458"/>
    <w:rsid w:val="00B858C9"/>
    <w:rsid w:val="00B8657D"/>
    <w:rsid w:val="00B87E3D"/>
    <w:rsid w:val="00B87E4A"/>
    <w:rsid w:val="00B902EB"/>
    <w:rsid w:val="00B91D5A"/>
    <w:rsid w:val="00B93A24"/>
    <w:rsid w:val="00B94B59"/>
    <w:rsid w:val="00B9505F"/>
    <w:rsid w:val="00B959CF"/>
    <w:rsid w:val="00B9703E"/>
    <w:rsid w:val="00B97C8B"/>
    <w:rsid w:val="00BA02AA"/>
    <w:rsid w:val="00BA0BC1"/>
    <w:rsid w:val="00BA12D5"/>
    <w:rsid w:val="00BA2942"/>
    <w:rsid w:val="00BA3DB0"/>
    <w:rsid w:val="00BA4B3C"/>
    <w:rsid w:val="00BA6A91"/>
    <w:rsid w:val="00BA738D"/>
    <w:rsid w:val="00BA73D6"/>
    <w:rsid w:val="00BA7C3B"/>
    <w:rsid w:val="00BB01AD"/>
    <w:rsid w:val="00BB14BD"/>
    <w:rsid w:val="00BB42B5"/>
    <w:rsid w:val="00BB598A"/>
    <w:rsid w:val="00BB5DF1"/>
    <w:rsid w:val="00BB6B53"/>
    <w:rsid w:val="00BB734F"/>
    <w:rsid w:val="00BC12C6"/>
    <w:rsid w:val="00BC277C"/>
    <w:rsid w:val="00BD2E97"/>
    <w:rsid w:val="00BD309C"/>
    <w:rsid w:val="00BD3F20"/>
    <w:rsid w:val="00BD5554"/>
    <w:rsid w:val="00BD64F2"/>
    <w:rsid w:val="00BD7007"/>
    <w:rsid w:val="00BE4454"/>
    <w:rsid w:val="00BE63C2"/>
    <w:rsid w:val="00BE6967"/>
    <w:rsid w:val="00BE6F17"/>
    <w:rsid w:val="00BE721E"/>
    <w:rsid w:val="00BF00A7"/>
    <w:rsid w:val="00BF0CD0"/>
    <w:rsid w:val="00BF0EF9"/>
    <w:rsid w:val="00BF31FB"/>
    <w:rsid w:val="00BF361C"/>
    <w:rsid w:val="00BF5625"/>
    <w:rsid w:val="00BF5CEA"/>
    <w:rsid w:val="00BF664F"/>
    <w:rsid w:val="00BF6D04"/>
    <w:rsid w:val="00C002EA"/>
    <w:rsid w:val="00C00EA7"/>
    <w:rsid w:val="00C01C7F"/>
    <w:rsid w:val="00C03DC1"/>
    <w:rsid w:val="00C05120"/>
    <w:rsid w:val="00C058FE"/>
    <w:rsid w:val="00C064DB"/>
    <w:rsid w:val="00C1096C"/>
    <w:rsid w:val="00C12746"/>
    <w:rsid w:val="00C13330"/>
    <w:rsid w:val="00C14780"/>
    <w:rsid w:val="00C16206"/>
    <w:rsid w:val="00C1648E"/>
    <w:rsid w:val="00C1655A"/>
    <w:rsid w:val="00C2140F"/>
    <w:rsid w:val="00C221C1"/>
    <w:rsid w:val="00C22450"/>
    <w:rsid w:val="00C2361E"/>
    <w:rsid w:val="00C24DC2"/>
    <w:rsid w:val="00C26E0C"/>
    <w:rsid w:val="00C27223"/>
    <w:rsid w:val="00C27BBE"/>
    <w:rsid w:val="00C31692"/>
    <w:rsid w:val="00C326EC"/>
    <w:rsid w:val="00C336D9"/>
    <w:rsid w:val="00C363E2"/>
    <w:rsid w:val="00C36956"/>
    <w:rsid w:val="00C36A81"/>
    <w:rsid w:val="00C37A36"/>
    <w:rsid w:val="00C40EDB"/>
    <w:rsid w:val="00C40F57"/>
    <w:rsid w:val="00C41BA6"/>
    <w:rsid w:val="00C4409B"/>
    <w:rsid w:val="00C445A1"/>
    <w:rsid w:val="00C456B2"/>
    <w:rsid w:val="00C45DA7"/>
    <w:rsid w:val="00C51497"/>
    <w:rsid w:val="00C5317D"/>
    <w:rsid w:val="00C54D75"/>
    <w:rsid w:val="00C579FE"/>
    <w:rsid w:val="00C57D8A"/>
    <w:rsid w:val="00C60AFA"/>
    <w:rsid w:val="00C6132D"/>
    <w:rsid w:val="00C61782"/>
    <w:rsid w:val="00C62BA7"/>
    <w:rsid w:val="00C63468"/>
    <w:rsid w:val="00C64493"/>
    <w:rsid w:val="00C6602B"/>
    <w:rsid w:val="00C6617B"/>
    <w:rsid w:val="00C66A65"/>
    <w:rsid w:val="00C70803"/>
    <w:rsid w:val="00C711B8"/>
    <w:rsid w:val="00C7125F"/>
    <w:rsid w:val="00C7245D"/>
    <w:rsid w:val="00C725E7"/>
    <w:rsid w:val="00C72D25"/>
    <w:rsid w:val="00C73279"/>
    <w:rsid w:val="00C73B6C"/>
    <w:rsid w:val="00C73EB9"/>
    <w:rsid w:val="00C73FB3"/>
    <w:rsid w:val="00C766C4"/>
    <w:rsid w:val="00C80916"/>
    <w:rsid w:val="00C824D1"/>
    <w:rsid w:val="00C847BA"/>
    <w:rsid w:val="00C84BE7"/>
    <w:rsid w:val="00C8550F"/>
    <w:rsid w:val="00C857A2"/>
    <w:rsid w:val="00C857EA"/>
    <w:rsid w:val="00C857F5"/>
    <w:rsid w:val="00C86F6E"/>
    <w:rsid w:val="00C90DE6"/>
    <w:rsid w:val="00C9143E"/>
    <w:rsid w:val="00C91518"/>
    <w:rsid w:val="00C92F33"/>
    <w:rsid w:val="00C93B80"/>
    <w:rsid w:val="00C944DF"/>
    <w:rsid w:val="00C94683"/>
    <w:rsid w:val="00C96FB6"/>
    <w:rsid w:val="00C97153"/>
    <w:rsid w:val="00CA0E2D"/>
    <w:rsid w:val="00CA2391"/>
    <w:rsid w:val="00CA2BB4"/>
    <w:rsid w:val="00CA3440"/>
    <w:rsid w:val="00CA39F0"/>
    <w:rsid w:val="00CA60AF"/>
    <w:rsid w:val="00CA6ED4"/>
    <w:rsid w:val="00CB00FD"/>
    <w:rsid w:val="00CB08D9"/>
    <w:rsid w:val="00CB14F2"/>
    <w:rsid w:val="00CB23EF"/>
    <w:rsid w:val="00CB352E"/>
    <w:rsid w:val="00CB3C06"/>
    <w:rsid w:val="00CB49AC"/>
    <w:rsid w:val="00CB63A2"/>
    <w:rsid w:val="00CB67EC"/>
    <w:rsid w:val="00CB7F04"/>
    <w:rsid w:val="00CC111C"/>
    <w:rsid w:val="00CC1A54"/>
    <w:rsid w:val="00CC1EC9"/>
    <w:rsid w:val="00CC2D64"/>
    <w:rsid w:val="00CC3D87"/>
    <w:rsid w:val="00CC4635"/>
    <w:rsid w:val="00CC5DA3"/>
    <w:rsid w:val="00CC74C4"/>
    <w:rsid w:val="00CD16A4"/>
    <w:rsid w:val="00CD2DC3"/>
    <w:rsid w:val="00CD4D83"/>
    <w:rsid w:val="00CD539F"/>
    <w:rsid w:val="00CD554A"/>
    <w:rsid w:val="00CD6B27"/>
    <w:rsid w:val="00CE1940"/>
    <w:rsid w:val="00CE4222"/>
    <w:rsid w:val="00CE433C"/>
    <w:rsid w:val="00CE47D0"/>
    <w:rsid w:val="00CE6958"/>
    <w:rsid w:val="00CE6BAB"/>
    <w:rsid w:val="00CE726E"/>
    <w:rsid w:val="00CE740B"/>
    <w:rsid w:val="00CF25DA"/>
    <w:rsid w:val="00CF28EF"/>
    <w:rsid w:val="00CF2F45"/>
    <w:rsid w:val="00CF3CD0"/>
    <w:rsid w:val="00CF3F24"/>
    <w:rsid w:val="00CF40EC"/>
    <w:rsid w:val="00CF6DA6"/>
    <w:rsid w:val="00CF72A4"/>
    <w:rsid w:val="00D00399"/>
    <w:rsid w:val="00D0047B"/>
    <w:rsid w:val="00D01FB1"/>
    <w:rsid w:val="00D03796"/>
    <w:rsid w:val="00D03E3E"/>
    <w:rsid w:val="00D04923"/>
    <w:rsid w:val="00D049B1"/>
    <w:rsid w:val="00D059DA"/>
    <w:rsid w:val="00D06B8F"/>
    <w:rsid w:val="00D077DB"/>
    <w:rsid w:val="00D07863"/>
    <w:rsid w:val="00D078F5"/>
    <w:rsid w:val="00D10859"/>
    <w:rsid w:val="00D11371"/>
    <w:rsid w:val="00D12080"/>
    <w:rsid w:val="00D1256C"/>
    <w:rsid w:val="00D147E0"/>
    <w:rsid w:val="00D2039F"/>
    <w:rsid w:val="00D206AC"/>
    <w:rsid w:val="00D2176C"/>
    <w:rsid w:val="00D21D68"/>
    <w:rsid w:val="00D24133"/>
    <w:rsid w:val="00D26644"/>
    <w:rsid w:val="00D268D5"/>
    <w:rsid w:val="00D30405"/>
    <w:rsid w:val="00D3101B"/>
    <w:rsid w:val="00D317C1"/>
    <w:rsid w:val="00D32D2D"/>
    <w:rsid w:val="00D33DEF"/>
    <w:rsid w:val="00D3488B"/>
    <w:rsid w:val="00D35B1D"/>
    <w:rsid w:val="00D35F9F"/>
    <w:rsid w:val="00D360E7"/>
    <w:rsid w:val="00D3618E"/>
    <w:rsid w:val="00D3668A"/>
    <w:rsid w:val="00D36A59"/>
    <w:rsid w:val="00D42D8B"/>
    <w:rsid w:val="00D43F92"/>
    <w:rsid w:val="00D45118"/>
    <w:rsid w:val="00D453F0"/>
    <w:rsid w:val="00D45C0D"/>
    <w:rsid w:val="00D4610A"/>
    <w:rsid w:val="00D50853"/>
    <w:rsid w:val="00D521D7"/>
    <w:rsid w:val="00D54034"/>
    <w:rsid w:val="00D5573B"/>
    <w:rsid w:val="00D558E3"/>
    <w:rsid w:val="00D55FF5"/>
    <w:rsid w:val="00D56CB3"/>
    <w:rsid w:val="00D57D0B"/>
    <w:rsid w:val="00D61480"/>
    <w:rsid w:val="00D6160B"/>
    <w:rsid w:val="00D6315E"/>
    <w:rsid w:val="00D639C3"/>
    <w:rsid w:val="00D67008"/>
    <w:rsid w:val="00D674D6"/>
    <w:rsid w:val="00D70C55"/>
    <w:rsid w:val="00D71049"/>
    <w:rsid w:val="00D71720"/>
    <w:rsid w:val="00D73F4D"/>
    <w:rsid w:val="00D74B14"/>
    <w:rsid w:val="00D751A5"/>
    <w:rsid w:val="00D75C50"/>
    <w:rsid w:val="00D76885"/>
    <w:rsid w:val="00D8020C"/>
    <w:rsid w:val="00D82673"/>
    <w:rsid w:val="00D84814"/>
    <w:rsid w:val="00D84C9B"/>
    <w:rsid w:val="00D85658"/>
    <w:rsid w:val="00D8792C"/>
    <w:rsid w:val="00D90B3A"/>
    <w:rsid w:val="00D92FED"/>
    <w:rsid w:val="00D9458B"/>
    <w:rsid w:val="00D94C19"/>
    <w:rsid w:val="00D97AD2"/>
    <w:rsid w:val="00D97FBC"/>
    <w:rsid w:val="00DA29C9"/>
    <w:rsid w:val="00DA3CC3"/>
    <w:rsid w:val="00DA619B"/>
    <w:rsid w:val="00DA676C"/>
    <w:rsid w:val="00DA7992"/>
    <w:rsid w:val="00DA7C66"/>
    <w:rsid w:val="00DB08FC"/>
    <w:rsid w:val="00DB1D99"/>
    <w:rsid w:val="00DB38A0"/>
    <w:rsid w:val="00DB4C1E"/>
    <w:rsid w:val="00DB4C79"/>
    <w:rsid w:val="00DB62AE"/>
    <w:rsid w:val="00DC0202"/>
    <w:rsid w:val="00DC52AD"/>
    <w:rsid w:val="00DC5DFF"/>
    <w:rsid w:val="00DC6442"/>
    <w:rsid w:val="00DC72FE"/>
    <w:rsid w:val="00DC7351"/>
    <w:rsid w:val="00DD1294"/>
    <w:rsid w:val="00DD2C3C"/>
    <w:rsid w:val="00DD3740"/>
    <w:rsid w:val="00DD40D0"/>
    <w:rsid w:val="00DD608B"/>
    <w:rsid w:val="00DD7CE6"/>
    <w:rsid w:val="00DD7F4B"/>
    <w:rsid w:val="00DD7FB5"/>
    <w:rsid w:val="00DE120D"/>
    <w:rsid w:val="00DE2FF4"/>
    <w:rsid w:val="00DE342D"/>
    <w:rsid w:val="00DE426C"/>
    <w:rsid w:val="00DE4B50"/>
    <w:rsid w:val="00DE5076"/>
    <w:rsid w:val="00DE5B69"/>
    <w:rsid w:val="00DE7868"/>
    <w:rsid w:val="00DF2552"/>
    <w:rsid w:val="00DF296A"/>
    <w:rsid w:val="00DF3DD7"/>
    <w:rsid w:val="00DF548C"/>
    <w:rsid w:val="00DF5857"/>
    <w:rsid w:val="00DF5C1B"/>
    <w:rsid w:val="00E0034A"/>
    <w:rsid w:val="00E007AB"/>
    <w:rsid w:val="00E01892"/>
    <w:rsid w:val="00E01E99"/>
    <w:rsid w:val="00E05DA0"/>
    <w:rsid w:val="00E05E94"/>
    <w:rsid w:val="00E067AC"/>
    <w:rsid w:val="00E069A0"/>
    <w:rsid w:val="00E07E49"/>
    <w:rsid w:val="00E11370"/>
    <w:rsid w:val="00E12485"/>
    <w:rsid w:val="00E125F5"/>
    <w:rsid w:val="00E14FF9"/>
    <w:rsid w:val="00E1566E"/>
    <w:rsid w:val="00E1699D"/>
    <w:rsid w:val="00E20363"/>
    <w:rsid w:val="00E216BB"/>
    <w:rsid w:val="00E2195B"/>
    <w:rsid w:val="00E21D46"/>
    <w:rsid w:val="00E25356"/>
    <w:rsid w:val="00E2550F"/>
    <w:rsid w:val="00E265C3"/>
    <w:rsid w:val="00E31DD5"/>
    <w:rsid w:val="00E31E0E"/>
    <w:rsid w:val="00E31ED3"/>
    <w:rsid w:val="00E32701"/>
    <w:rsid w:val="00E35B1D"/>
    <w:rsid w:val="00E362D7"/>
    <w:rsid w:val="00E40547"/>
    <w:rsid w:val="00E411BB"/>
    <w:rsid w:val="00E418F8"/>
    <w:rsid w:val="00E444CD"/>
    <w:rsid w:val="00E44506"/>
    <w:rsid w:val="00E4468B"/>
    <w:rsid w:val="00E456FA"/>
    <w:rsid w:val="00E46078"/>
    <w:rsid w:val="00E47486"/>
    <w:rsid w:val="00E510AD"/>
    <w:rsid w:val="00E511E8"/>
    <w:rsid w:val="00E512E2"/>
    <w:rsid w:val="00E52078"/>
    <w:rsid w:val="00E53ACB"/>
    <w:rsid w:val="00E53E2B"/>
    <w:rsid w:val="00E55619"/>
    <w:rsid w:val="00E55A80"/>
    <w:rsid w:val="00E56543"/>
    <w:rsid w:val="00E57075"/>
    <w:rsid w:val="00E57E7F"/>
    <w:rsid w:val="00E60394"/>
    <w:rsid w:val="00E62583"/>
    <w:rsid w:val="00E6329A"/>
    <w:rsid w:val="00E647C7"/>
    <w:rsid w:val="00E667D9"/>
    <w:rsid w:val="00E6703B"/>
    <w:rsid w:val="00E7008A"/>
    <w:rsid w:val="00E72310"/>
    <w:rsid w:val="00E7255A"/>
    <w:rsid w:val="00E730CB"/>
    <w:rsid w:val="00E73917"/>
    <w:rsid w:val="00E73D8B"/>
    <w:rsid w:val="00E74E0E"/>
    <w:rsid w:val="00E779DA"/>
    <w:rsid w:val="00E77A0E"/>
    <w:rsid w:val="00E81009"/>
    <w:rsid w:val="00E82822"/>
    <w:rsid w:val="00E85986"/>
    <w:rsid w:val="00E8603D"/>
    <w:rsid w:val="00E864F6"/>
    <w:rsid w:val="00E901CF"/>
    <w:rsid w:val="00E910B6"/>
    <w:rsid w:val="00E9268F"/>
    <w:rsid w:val="00E92F0A"/>
    <w:rsid w:val="00E94397"/>
    <w:rsid w:val="00E953DE"/>
    <w:rsid w:val="00E95757"/>
    <w:rsid w:val="00E961A0"/>
    <w:rsid w:val="00E97476"/>
    <w:rsid w:val="00E97A11"/>
    <w:rsid w:val="00EA6B7B"/>
    <w:rsid w:val="00EB1C9A"/>
    <w:rsid w:val="00EB1EAE"/>
    <w:rsid w:val="00EB1F54"/>
    <w:rsid w:val="00EB2390"/>
    <w:rsid w:val="00EB2C80"/>
    <w:rsid w:val="00EB30CC"/>
    <w:rsid w:val="00EB3777"/>
    <w:rsid w:val="00EB4554"/>
    <w:rsid w:val="00EC2C87"/>
    <w:rsid w:val="00EC3936"/>
    <w:rsid w:val="00EC3B63"/>
    <w:rsid w:val="00EC5C08"/>
    <w:rsid w:val="00ED0B48"/>
    <w:rsid w:val="00ED1D5B"/>
    <w:rsid w:val="00ED3205"/>
    <w:rsid w:val="00ED3CAD"/>
    <w:rsid w:val="00ED580F"/>
    <w:rsid w:val="00ED5D02"/>
    <w:rsid w:val="00ED659F"/>
    <w:rsid w:val="00ED69F3"/>
    <w:rsid w:val="00EE0CE0"/>
    <w:rsid w:val="00EE4605"/>
    <w:rsid w:val="00EE55AB"/>
    <w:rsid w:val="00EE594A"/>
    <w:rsid w:val="00EE64B1"/>
    <w:rsid w:val="00EF0EDC"/>
    <w:rsid w:val="00EF2895"/>
    <w:rsid w:val="00EF2BE6"/>
    <w:rsid w:val="00EF466B"/>
    <w:rsid w:val="00F027DB"/>
    <w:rsid w:val="00F04375"/>
    <w:rsid w:val="00F04A05"/>
    <w:rsid w:val="00F063D5"/>
    <w:rsid w:val="00F0777B"/>
    <w:rsid w:val="00F07F4F"/>
    <w:rsid w:val="00F13EA4"/>
    <w:rsid w:val="00F1647F"/>
    <w:rsid w:val="00F200A4"/>
    <w:rsid w:val="00F22FFC"/>
    <w:rsid w:val="00F23287"/>
    <w:rsid w:val="00F24D72"/>
    <w:rsid w:val="00F26150"/>
    <w:rsid w:val="00F26B79"/>
    <w:rsid w:val="00F276A0"/>
    <w:rsid w:val="00F278D6"/>
    <w:rsid w:val="00F3272D"/>
    <w:rsid w:val="00F32BE5"/>
    <w:rsid w:val="00F32BFA"/>
    <w:rsid w:val="00F37F2E"/>
    <w:rsid w:val="00F40EC5"/>
    <w:rsid w:val="00F42114"/>
    <w:rsid w:val="00F424EA"/>
    <w:rsid w:val="00F44AE4"/>
    <w:rsid w:val="00F45DA3"/>
    <w:rsid w:val="00F4675F"/>
    <w:rsid w:val="00F47D27"/>
    <w:rsid w:val="00F51940"/>
    <w:rsid w:val="00F5421E"/>
    <w:rsid w:val="00F544BA"/>
    <w:rsid w:val="00F54A50"/>
    <w:rsid w:val="00F57997"/>
    <w:rsid w:val="00F61B49"/>
    <w:rsid w:val="00F624CE"/>
    <w:rsid w:val="00F63985"/>
    <w:rsid w:val="00F65DC9"/>
    <w:rsid w:val="00F665A1"/>
    <w:rsid w:val="00F67EBD"/>
    <w:rsid w:val="00F70BFF"/>
    <w:rsid w:val="00F71B02"/>
    <w:rsid w:val="00F72982"/>
    <w:rsid w:val="00F7505A"/>
    <w:rsid w:val="00F76274"/>
    <w:rsid w:val="00F76653"/>
    <w:rsid w:val="00F76EE8"/>
    <w:rsid w:val="00F80B3E"/>
    <w:rsid w:val="00F823C8"/>
    <w:rsid w:val="00F82520"/>
    <w:rsid w:val="00F83149"/>
    <w:rsid w:val="00F835EC"/>
    <w:rsid w:val="00F8369F"/>
    <w:rsid w:val="00F83C31"/>
    <w:rsid w:val="00F85556"/>
    <w:rsid w:val="00F86A32"/>
    <w:rsid w:val="00F87D0B"/>
    <w:rsid w:val="00F87F57"/>
    <w:rsid w:val="00F91EB0"/>
    <w:rsid w:val="00F921E7"/>
    <w:rsid w:val="00F93576"/>
    <w:rsid w:val="00F94393"/>
    <w:rsid w:val="00F94FF7"/>
    <w:rsid w:val="00F97E68"/>
    <w:rsid w:val="00FA011A"/>
    <w:rsid w:val="00FA1206"/>
    <w:rsid w:val="00FA1844"/>
    <w:rsid w:val="00FA3648"/>
    <w:rsid w:val="00FA3EFC"/>
    <w:rsid w:val="00FA450D"/>
    <w:rsid w:val="00FA587E"/>
    <w:rsid w:val="00FA7EBD"/>
    <w:rsid w:val="00FB1EDF"/>
    <w:rsid w:val="00FB235E"/>
    <w:rsid w:val="00FB418D"/>
    <w:rsid w:val="00FB434E"/>
    <w:rsid w:val="00FB55C2"/>
    <w:rsid w:val="00FB5772"/>
    <w:rsid w:val="00FB61AE"/>
    <w:rsid w:val="00FC0AD1"/>
    <w:rsid w:val="00FC0ECF"/>
    <w:rsid w:val="00FC1A47"/>
    <w:rsid w:val="00FC2971"/>
    <w:rsid w:val="00FC2EA5"/>
    <w:rsid w:val="00FC325F"/>
    <w:rsid w:val="00FC3889"/>
    <w:rsid w:val="00FC462E"/>
    <w:rsid w:val="00FC723F"/>
    <w:rsid w:val="00FC75B1"/>
    <w:rsid w:val="00FD3977"/>
    <w:rsid w:val="00FD7B98"/>
    <w:rsid w:val="00FE0436"/>
    <w:rsid w:val="00FE2E0C"/>
    <w:rsid w:val="00FE3CB3"/>
    <w:rsid w:val="00FE3E5F"/>
    <w:rsid w:val="00FE4FC6"/>
    <w:rsid w:val="00FE6A6B"/>
    <w:rsid w:val="00FF1AFC"/>
    <w:rsid w:val="00FF339A"/>
    <w:rsid w:val="00FF5238"/>
    <w:rsid w:val="00FF5EC9"/>
    <w:rsid w:val="00FF7D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53834F"/>
  <w15:docId w15:val="{580417DA-552B-4E2A-B98F-6F26EFFC9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FD9"/>
    <w:pPr>
      <w:jc w:val="both"/>
    </w:pPr>
    <w:rPr>
      <w:rFonts w:ascii="Arial Narrow" w:hAnsi="Arial Narrow" w:cs="Arial"/>
      <w:sz w:val="24"/>
      <w:szCs w:val="24"/>
    </w:rPr>
  </w:style>
  <w:style w:type="paragraph" w:styleId="Ttulo1">
    <w:name w:val="heading 1"/>
    <w:basedOn w:val="Normal"/>
    <w:next w:val="Normal"/>
    <w:link w:val="Ttulo1Car"/>
    <w:qFormat/>
    <w:rsid w:val="00255EAC"/>
    <w:pPr>
      <w:keepNext/>
      <w:outlineLvl w:val="0"/>
    </w:pPr>
    <w:rPr>
      <w:rFonts w:ascii="Arial" w:hAnsi="Arial"/>
      <w:b/>
      <w:bCs/>
    </w:rPr>
  </w:style>
  <w:style w:type="paragraph" w:styleId="Ttulo2">
    <w:name w:val="heading 2"/>
    <w:aliases w:val="Attribute Heading 2,h2,2,Header 2,l2,Level 2 Head,heading 2,Titolo 2.gf,Titre 2,Level 2,w2,sub-sect,Arial 12 Fett Kursiv,Abschnitt,H2,CAPITOLO,Paragrafo,Func Header,S Heading,S Heading 2,rlhead2,t2,l21,l22,l23,l24,l25,l211,l221,l231,l Caratter"/>
    <w:basedOn w:val="Normal"/>
    <w:next w:val="Normal"/>
    <w:link w:val="Ttulo2Car"/>
    <w:qFormat/>
    <w:rsid w:val="00255EAC"/>
    <w:pPr>
      <w:keepNext/>
      <w:ind w:right="-1395"/>
      <w:jc w:val="center"/>
      <w:outlineLvl w:val="1"/>
    </w:pPr>
    <w:rPr>
      <w:b/>
      <w:bCs/>
    </w:rPr>
  </w:style>
  <w:style w:type="paragraph" w:styleId="Ttulo3">
    <w:name w:val="heading 3"/>
    <w:aliases w:val="H3,Org Heading 1,h1,§,§§,3,l3,Level 3 Head,heading 3,h3,Titolo 3.gf,sub-sub,Titre 3,MR liv. 2,Heading 3 - Logicasiel,HHHeading,HHHeading1,HHHeading2,HHHeading3,HHHeading4,HHHeading5,HHHeading6,HHHeading7,HHHeading8,HHHeading9,subhead,1.,sotto§"/>
    <w:basedOn w:val="Normal"/>
    <w:next w:val="Normal"/>
    <w:link w:val="Ttulo3Car"/>
    <w:qFormat/>
    <w:rsid w:val="00255EAC"/>
    <w:pPr>
      <w:keepNext/>
      <w:ind w:right="-1395"/>
      <w:jc w:val="center"/>
      <w:outlineLvl w:val="2"/>
    </w:pPr>
    <w:rPr>
      <w:rFonts w:ascii="Arial" w:hAnsi="Arial"/>
      <w:b/>
      <w:bCs/>
      <w:sz w:val="52"/>
    </w:rPr>
  </w:style>
  <w:style w:type="paragraph" w:styleId="Ttulo4">
    <w:name w:val="heading 4"/>
    <w:basedOn w:val="Normal"/>
    <w:next w:val="Normal"/>
    <w:link w:val="Ttulo4Car"/>
    <w:unhideWhenUsed/>
    <w:qFormat/>
    <w:rsid w:val="00ED3CAD"/>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qFormat/>
    <w:rsid w:val="00ED3CAD"/>
    <w:pPr>
      <w:keepNext/>
      <w:tabs>
        <w:tab w:val="num" w:pos="1008"/>
      </w:tabs>
      <w:spacing w:before="120" w:after="120" w:line="360" w:lineRule="auto"/>
      <w:ind w:left="1008" w:hanging="1008"/>
      <w:jc w:val="center"/>
      <w:outlineLvl w:val="4"/>
    </w:pPr>
    <w:rPr>
      <w:rFonts w:ascii="Arial" w:hAnsi="Arial"/>
      <w:bCs/>
      <w:i/>
      <w:iCs/>
      <w:sz w:val="16"/>
    </w:rPr>
  </w:style>
  <w:style w:type="paragraph" w:styleId="Ttulo6">
    <w:name w:val="heading 6"/>
    <w:basedOn w:val="Normal"/>
    <w:next w:val="Normal"/>
    <w:link w:val="Ttulo6Car"/>
    <w:uiPriority w:val="9"/>
    <w:qFormat/>
    <w:rsid w:val="00ED3CAD"/>
    <w:pPr>
      <w:keepNext/>
      <w:tabs>
        <w:tab w:val="num" w:pos="1152"/>
      </w:tabs>
      <w:spacing w:before="120" w:after="120" w:line="360" w:lineRule="auto"/>
      <w:ind w:left="1152" w:hanging="1152"/>
      <w:jc w:val="center"/>
      <w:outlineLvl w:val="5"/>
    </w:pPr>
    <w:rPr>
      <w:rFonts w:ascii="Arial" w:hAnsi="Arial"/>
      <w:b/>
      <w:bCs/>
      <w:sz w:val="32"/>
    </w:rPr>
  </w:style>
  <w:style w:type="paragraph" w:styleId="Ttulo7">
    <w:name w:val="heading 7"/>
    <w:basedOn w:val="Normal"/>
    <w:next w:val="Normal"/>
    <w:link w:val="Ttulo7Car"/>
    <w:uiPriority w:val="9"/>
    <w:qFormat/>
    <w:rsid w:val="00ED3CAD"/>
    <w:pPr>
      <w:widowControl w:val="0"/>
      <w:tabs>
        <w:tab w:val="num" w:pos="1296"/>
      </w:tabs>
      <w:spacing w:before="240" w:after="60" w:line="360" w:lineRule="auto"/>
      <w:ind w:left="1296" w:hanging="1296"/>
      <w:outlineLvl w:val="6"/>
    </w:pPr>
    <w:rPr>
      <w:rFonts w:ascii="Arial" w:hAnsi="Arial" w:cs="Times New Roman"/>
      <w:snapToGrid w:val="0"/>
      <w:sz w:val="20"/>
      <w:szCs w:val="20"/>
    </w:rPr>
  </w:style>
  <w:style w:type="paragraph" w:styleId="Ttulo8">
    <w:name w:val="heading 8"/>
    <w:basedOn w:val="Normal"/>
    <w:next w:val="Normal"/>
    <w:link w:val="Ttulo8Car"/>
    <w:uiPriority w:val="9"/>
    <w:qFormat/>
    <w:rsid w:val="00ED3CAD"/>
    <w:pPr>
      <w:widowControl w:val="0"/>
      <w:tabs>
        <w:tab w:val="num" w:pos="1440"/>
      </w:tabs>
      <w:spacing w:before="240" w:after="60" w:line="360" w:lineRule="auto"/>
      <w:ind w:left="1440" w:hanging="1440"/>
      <w:outlineLvl w:val="7"/>
    </w:pPr>
    <w:rPr>
      <w:rFonts w:ascii="Arial" w:hAnsi="Arial" w:cs="Times New Roman"/>
      <w:i/>
      <w:snapToGrid w:val="0"/>
      <w:sz w:val="20"/>
      <w:szCs w:val="20"/>
    </w:rPr>
  </w:style>
  <w:style w:type="paragraph" w:styleId="Ttulo9">
    <w:name w:val="heading 9"/>
    <w:basedOn w:val="Normal"/>
    <w:next w:val="Normal"/>
    <w:link w:val="Ttulo9Car"/>
    <w:uiPriority w:val="9"/>
    <w:qFormat/>
    <w:rsid w:val="00ED3CAD"/>
    <w:pPr>
      <w:widowControl w:val="0"/>
      <w:tabs>
        <w:tab w:val="num" w:pos="1584"/>
      </w:tabs>
      <w:spacing w:before="240" w:after="60" w:line="360" w:lineRule="auto"/>
      <w:ind w:left="1584" w:hanging="1584"/>
      <w:outlineLvl w:val="8"/>
    </w:pPr>
    <w:rPr>
      <w:rFonts w:ascii="Arial" w:hAnsi="Arial" w:cs="Times New Roman"/>
      <w:b/>
      <w:i/>
      <w:snapToGrid w:val="0"/>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55EAC"/>
    <w:pPr>
      <w:tabs>
        <w:tab w:val="center" w:pos="4252"/>
        <w:tab w:val="right" w:pos="8504"/>
      </w:tabs>
    </w:pPr>
  </w:style>
  <w:style w:type="paragraph" w:styleId="Piedepgina">
    <w:name w:val="footer"/>
    <w:basedOn w:val="Normal"/>
    <w:link w:val="PiedepginaCar"/>
    <w:uiPriority w:val="99"/>
    <w:rsid w:val="00255EAC"/>
    <w:pPr>
      <w:tabs>
        <w:tab w:val="center" w:pos="4252"/>
        <w:tab w:val="right" w:pos="8504"/>
      </w:tabs>
    </w:pPr>
  </w:style>
  <w:style w:type="character" w:styleId="Hipervnculo">
    <w:name w:val="Hyperlink"/>
    <w:basedOn w:val="Fuentedeprrafopredeter"/>
    <w:uiPriority w:val="99"/>
    <w:rsid w:val="00255EAC"/>
    <w:rPr>
      <w:color w:val="0000FF"/>
      <w:u w:val="single"/>
    </w:rPr>
  </w:style>
  <w:style w:type="character" w:styleId="Refdecomentario">
    <w:name w:val="annotation reference"/>
    <w:basedOn w:val="Fuentedeprrafopredeter"/>
    <w:uiPriority w:val="99"/>
    <w:rsid w:val="00255EAC"/>
    <w:rPr>
      <w:sz w:val="16"/>
      <w:szCs w:val="16"/>
    </w:rPr>
  </w:style>
  <w:style w:type="paragraph" w:styleId="Textocomentario">
    <w:name w:val="annotation text"/>
    <w:basedOn w:val="Normal"/>
    <w:link w:val="TextocomentarioCar"/>
    <w:uiPriority w:val="99"/>
    <w:rsid w:val="00255EAC"/>
    <w:rPr>
      <w:sz w:val="20"/>
      <w:szCs w:val="20"/>
    </w:rPr>
  </w:style>
  <w:style w:type="character" w:styleId="Hipervnculovisitado">
    <w:name w:val="FollowedHyperlink"/>
    <w:basedOn w:val="Fuentedeprrafopredeter"/>
    <w:rsid w:val="00255EAC"/>
    <w:rPr>
      <w:color w:val="800080"/>
      <w:u w:val="single"/>
    </w:rPr>
  </w:style>
  <w:style w:type="paragraph" w:styleId="Textoindependiente">
    <w:name w:val="Body Text"/>
    <w:basedOn w:val="Normal"/>
    <w:link w:val="TextoindependienteCar"/>
    <w:rsid w:val="00255EAC"/>
    <w:pPr>
      <w:autoSpaceDE w:val="0"/>
      <w:autoSpaceDN w:val="0"/>
      <w:adjustRightInd w:val="0"/>
    </w:pPr>
    <w:rPr>
      <w:rFonts w:ascii="Arial" w:hAnsi="Arial"/>
      <w:color w:val="0000FF"/>
      <w:sz w:val="20"/>
      <w:szCs w:val="20"/>
    </w:rPr>
  </w:style>
  <w:style w:type="paragraph" w:styleId="Textoindependiente2">
    <w:name w:val="Body Text 2"/>
    <w:basedOn w:val="Normal"/>
    <w:semiHidden/>
    <w:rsid w:val="00255EAC"/>
    <w:pPr>
      <w:autoSpaceDE w:val="0"/>
      <w:autoSpaceDN w:val="0"/>
      <w:adjustRightInd w:val="0"/>
    </w:pPr>
    <w:rPr>
      <w:rFonts w:ascii="Arial" w:hAnsi="Arial"/>
      <w:color w:val="0000FF"/>
      <w:sz w:val="20"/>
      <w:szCs w:val="20"/>
    </w:rPr>
  </w:style>
  <w:style w:type="paragraph" w:styleId="Textoindependiente3">
    <w:name w:val="Body Text 3"/>
    <w:basedOn w:val="Normal"/>
    <w:semiHidden/>
    <w:rsid w:val="00255EAC"/>
    <w:rPr>
      <w:rFonts w:ascii="Arial" w:hAnsi="Arial"/>
    </w:rPr>
  </w:style>
  <w:style w:type="paragraph" w:styleId="Sangradetextonormal">
    <w:name w:val="Body Text Indent"/>
    <w:basedOn w:val="Normal"/>
    <w:link w:val="SangradetextonormalCar1"/>
    <w:uiPriority w:val="99"/>
    <w:semiHidden/>
    <w:rsid w:val="00255EAC"/>
    <w:pPr>
      <w:tabs>
        <w:tab w:val="left" w:pos="1080"/>
      </w:tabs>
      <w:ind w:left="1080" w:hanging="1080"/>
    </w:pPr>
    <w:rPr>
      <w:rFonts w:ascii="Arial" w:hAnsi="Arial"/>
      <w:b/>
      <w:bCs/>
    </w:rPr>
  </w:style>
  <w:style w:type="paragraph" w:styleId="Asuntodelcomentario">
    <w:name w:val="annotation subject"/>
    <w:basedOn w:val="Textocomentario"/>
    <w:next w:val="Textocomentario"/>
    <w:link w:val="AsuntodelcomentarioCar"/>
    <w:rsid w:val="00812C16"/>
    <w:rPr>
      <w:b/>
      <w:bCs/>
    </w:rPr>
  </w:style>
  <w:style w:type="paragraph" w:styleId="Textodeglobo">
    <w:name w:val="Balloon Text"/>
    <w:basedOn w:val="Normal"/>
    <w:link w:val="TextodegloboCar"/>
    <w:uiPriority w:val="99"/>
    <w:rsid w:val="00812C16"/>
    <w:rPr>
      <w:rFonts w:ascii="Tahoma" w:hAnsi="Tahoma" w:cs="Tahoma"/>
      <w:sz w:val="16"/>
      <w:szCs w:val="16"/>
    </w:rPr>
  </w:style>
  <w:style w:type="paragraph" w:customStyle="1" w:styleId="CharCharCarCarCar">
    <w:name w:val="Char Char Car Car Car"/>
    <w:basedOn w:val="Normal"/>
    <w:rsid w:val="00CF72A4"/>
    <w:pPr>
      <w:spacing w:after="160" w:line="240" w:lineRule="exact"/>
      <w:jc w:val="left"/>
    </w:pPr>
    <w:rPr>
      <w:rFonts w:ascii="Verdana" w:hAnsi="Verdana" w:cs="Times New Roman"/>
      <w:sz w:val="20"/>
      <w:szCs w:val="20"/>
      <w:lang w:val="en-US" w:eastAsia="en-US"/>
    </w:rPr>
  </w:style>
  <w:style w:type="paragraph" w:styleId="Prrafodelista">
    <w:name w:val="List Paragraph"/>
    <w:aliases w:val="Normal bold,Lista_Bolitas,Titulo 3,viñeta,parrafo,Párrafo de lista3,Lista HD,Segunda viñeta,Viñeta,HOJA,List Paragraph1,Betulia Título 1,T_3,Bolita,Segundo nivel de viñetas,List Paragraph,titulo 3,Lista vistosa - Énfasis 11,List1"/>
    <w:basedOn w:val="Normal"/>
    <w:link w:val="PrrafodelistaCar"/>
    <w:uiPriority w:val="34"/>
    <w:qFormat/>
    <w:rsid w:val="001876C0"/>
    <w:pPr>
      <w:ind w:left="720"/>
      <w:contextualSpacing/>
    </w:pPr>
  </w:style>
  <w:style w:type="character" w:customStyle="1" w:styleId="TextocomentarioCar">
    <w:name w:val="Texto comentario Car"/>
    <w:basedOn w:val="Fuentedeprrafopredeter"/>
    <w:link w:val="Textocomentario"/>
    <w:uiPriority w:val="99"/>
    <w:rsid w:val="003C1A1D"/>
    <w:rPr>
      <w:rFonts w:ascii="Arial Narrow" w:hAnsi="Arial Narrow" w:cs="Arial"/>
    </w:rPr>
  </w:style>
  <w:style w:type="paragraph" w:styleId="Revisin">
    <w:name w:val="Revision"/>
    <w:hidden/>
    <w:uiPriority w:val="99"/>
    <w:semiHidden/>
    <w:rsid w:val="00E01E99"/>
    <w:rPr>
      <w:rFonts w:ascii="Arial Narrow" w:hAnsi="Arial Narrow" w:cs="Arial"/>
      <w:sz w:val="24"/>
      <w:szCs w:val="24"/>
    </w:rPr>
  </w:style>
  <w:style w:type="paragraph" w:customStyle="1" w:styleId="Default">
    <w:name w:val="Default"/>
    <w:rsid w:val="001B66AF"/>
    <w:pPr>
      <w:autoSpaceDE w:val="0"/>
      <w:autoSpaceDN w:val="0"/>
      <w:adjustRightInd w:val="0"/>
    </w:pPr>
    <w:rPr>
      <w:rFonts w:ascii="Verdana" w:hAnsi="Verdana" w:cs="Verdana"/>
      <w:color w:val="000000"/>
      <w:sz w:val="24"/>
      <w:szCs w:val="24"/>
    </w:rPr>
  </w:style>
  <w:style w:type="character" w:customStyle="1" w:styleId="output1">
    <w:name w:val="output1"/>
    <w:basedOn w:val="Fuentedeprrafopredeter"/>
    <w:rsid w:val="00487A03"/>
    <w:rPr>
      <w:rFonts w:ascii="Verdana" w:hAnsi="Verdana" w:hint="default"/>
      <w:b/>
      <w:bCs/>
      <w:color w:val="666666"/>
      <w:sz w:val="10"/>
      <w:szCs w:val="10"/>
    </w:rPr>
  </w:style>
  <w:style w:type="character" w:customStyle="1" w:styleId="Ttulo4Car">
    <w:name w:val="Título 4 Car"/>
    <w:basedOn w:val="Fuentedeprrafopredeter"/>
    <w:link w:val="Ttulo4"/>
    <w:rsid w:val="00ED3CAD"/>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rsid w:val="00ED3CAD"/>
    <w:rPr>
      <w:rFonts w:ascii="Arial" w:hAnsi="Arial" w:cs="Arial"/>
      <w:bCs/>
      <w:i/>
      <w:iCs/>
      <w:sz w:val="16"/>
      <w:szCs w:val="24"/>
    </w:rPr>
  </w:style>
  <w:style w:type="character" w:customStyle="1" w:styleId="Ttulo6Car">
    <w:name w:val="Título 6 Car"/>
    <w:basedOn w:val="Fuentedeprrafopredeter"/>
    <w:link w:val="Ttulo6"/>
    <w:uiPriority w:val="9"/>
    <w:rsid w:val="00ED3CAD"/>
    <w:rPr>
      <w:rFonts w:ascii="Arial" w:hAnsi="Arial" w:cs="Arial"/>
      <w:b/>
      <w:bCs/>
      <w:sz w:val="32"/>
      <w:szCs w:val="24"/>
    </w:rPr>
  </w:style>
  <w:style w:type="character" w:customStyle="1" w:styleId="Ttulo7Car">
    <w:name w:val="Título 7 Car"/>
    <w:basedOn w:val="Fuentedeprrafopredeter"/>
    <w:link w:val="Ttulo7"/>
    <w:uiPriority w:val="9"/>
    <w:rsid w:val="00ED3CAD"/>
    <w:rPr>
      <w:rFonts w:ascii="Arial" w:hAnsi="Arial"/>
      <w:snapToGrid w:val="0"/>
    </w:rPr>
  </w:style>
  <w:style w:type="character" w:customStyle="1" w:styleId="Ttulo8Car">
    <w:name w:val="Título 8 Car"/>
    <w:basedOn w:val="Fuentedeprrafopredeter"/>
    <w:link w:val="Ttulo8"/>
    <w:uiPriority w:val="9"/>
    <w:rsid w:val="00ED3CAD"/>
    <w:rPr>
      <w:rFonts w:ascii="Arial" w:hAnsi="Arial"/>
      <w:i/>
      <w:snapToGrid w:val="0"/>
    </w:rPr>
  </w:style>
  <w:style w:type="character" w:customStyle="1" w:styleId="Ttulo9Car">
    <w:name w:val="Título 9 Car"/>
    <w:basedOn w:val="Fuentedeprrafopredeter"/>
    <w:link w:val="Ttulo9"/>
    <w:uiPriority w:val="9"/>
    <w:rsid w:val="00ED3CAD"/>
    <w:rPr>
      <w:rFonts w:ascii="Arial" w:hAnsi="Arial"/>
      <w:b/>
      <w:i/>
      <w:snapToGrid w:val="0"/>
      <w:sz w:val="18"/>
    </w:rPr>
  </w:style>
  <w:style w:type="character" w:customStyle="1" w:styleId="TextodegloboCar">
    <w:name w:val="Texto de globo Car"/>
    <w:basedOn w:val="Fuentedeprrafopredeter"/>
    <w:link w:val="Textodeglobo"/>
    <w:uiPriority w:val="99"/>
    <w:rsid w:val="00ED3CAD"/>
    <w:rPr>
      <w:rFonts w:ascii="Tahoma" w:hAnsi="Tahoma" w:cs="Tahoma"/>
      <w:sz w:val="16"/>
      <w:szCs w:val="16"/>
    </w:rPr>
  </w:style>
  <w:style w:type="table" w:styleId="Tablaconcuadrcula">
    <w:name w:val="Table Grid"/>
    <w:basedOn w:val="Tablanormal"/>
    <w:uiPriority w:val="39"/>
    <w:rsid w:val="00ED3CAD"/>
    <w:rPr>
      <w:rFonts w:ascii="Calibri" w:eastAsia="Calibri" w:hAnsi="Calibri"/>
      <w:lang w:val="en-U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suntodelcomentarioCar">
    <w:name w:val="Asunto del comentario Car"/>
    <w:basedOn w:val="TextocomentarioCar"/>
    <w:link w:val="Asuntodelcomentario"/>
    <w:rsid w:val="00ED3CAD"/>
    <w:rPr>
      <w:rFonts w:ascii="Arial Narrow" w:hAnsi="Arial Narrow" w:cs="Arial"/>
      <w:b/>
      <w:bCs/>
    </w:rPr>
  </w:style>
  <w:style w:type="character" w:customStyle="1" w:styleId="Ttulo1Car">
    <w:name w:val="Título 1 Car"/>
    <w:basedOn w:val="Fuentedeprrafopredeter"/>
    <w:link w:val="Ttulo1"/>
    <w:rsid w:val="00ED3CAD"/>
    <w:rPr>
      <w:rFonts w:ascii="Arial" w:hAnsi="Arial" w:cs="Arial"/>
      <w:b/>
      <w:bCs/>
      <w:sz w:val="24"/>
      <w:szCs w:val="24"/>
    </w:rPr>
  </w:style>
  <w:style w:type="character" w:customStyle="1" w:styleId="Ttulo2Car">
    <w:name w:val="Título 2 Car"/>
    <w:aliases w:val="Attribute Heading 2 Car,h2 Car,2 Car,Header 2 Car,l2 Car,Level 2 Head Car,heading 2 Car,Titolo 2.gf Car,Titre 2 Car,Level 2 Car,w2 Car,sub-sect Car,Arial 12 Fett Kursiv Car,Abschnitt Car,H2 Car,CAPITOLO Car,Paragrafo Car,Func Header Car"/>
    <w:basedOn w:val="Fuentedeprrafopredeter"/>
    <w:link w:val="Ttulo2"/>
    <w:rsid w:val="00ED3CAD"/>
    <w:rPr>
      <w:rFonts w:ascii="Arial Narrow" w:hAnsi="Arial Narrow" w:cs="Arial"/>
      <w:b/>
      <w:bCs/>
      <w:sz w:val="24"/>
      <w:szCs w:val="24"/>
    </w:rPr>
  </w:style>
  <w:style w:type="character" w:customStyle="1" w:styleId="Ttulo3Car">
    <w:name w:val="Título 3 Car"/>
    <w:aliases w:val="H3 Car,Org Heading 1 Car,h1 Car,§ Car,§§ Car,3 Car,l3 Car,Level 3 Head Car,heading 3 Car,h3 Car,Titolo 3.gf Car,sub-sub Car,Titre 3 Car,MR liv. 2 Car,Heading 3 - Logicasiel Car,HHHeading Car,HHHeading1 Car,HHHeading2 Car,HHHeading3 Car"/>
    <w:basedOn w:val="Fuentedeprrafopredeter"/>
    <w:link w:val="Ttulo3"/>
    <w:rsid w:val="00ED3CAD"/>
    <w:rPr>
      <w:rFonts w:ascii="Arial" w:hAnsi="Arial" w:cs="Arial"/>
      <w:b/>
      <w:bCs/>
      <w:sz w:val="52"/>
      <w:szCs w:val="24"/>
    </w:rPr>
  </w:style>
  <w:style w:type="character" w:customStyle="1" w:styleId="EncabezadoCar">
    <w:name w:val="Encabezado Car"/>
    <w:basedOn w:val="Fuentedeprrafopredeter"/>
    <w:link w:val="Encabezado"/>
    <w:uiPriority w:val="99"/>
    <w:rsid w:val="00ED3CAD"/>
    <w:rPr>
      <w:rFonts w:ascii="Arial Narrow" w:hAnsi="Arial Narrow" w:cs="Arial"/>
      <w:sz w:val="24"/>
      <w:szCs w:val="24"/>
    </w:rPr>
  </w:style>
  <w:style w:type="character" w:customStyle="1" w:styleId="TextoindependienteCar">
    <w:name w:val="Texto independiente Car"/>
    <w:basedOn w:val="Fuentedeprrafopredeter"/>
    <w:link w:val="Textoindependiente"/>
    <w:rsid w:val="00ED3CAD"/>
    <w:rPr>
      <w:rFonts w:ascii="Arial" w:hAnsi="Arial" w:cs="Arial"/>
      <w:color w:val="0000FF"/>
    </w:rPr>
  </w:style>
  <w:style w:type="paragraph" w:styleId="Lista2">
    <w:name w:val="List 2"/>
    <w:basedOn w:val="Normal"/>
    <w:rsid w:val="00ED3CAD"/>
    <w:pPr>
      <w:spacing w:before="120" w:after="120" w:line="360" w:lineRule="auto"/>
      <w:ind w:left="566" w:hanging="283"/>
      <w:contextualSpacing/>
    </w:pPr>
    <w:rPr>
      <w:rFonts w:ascii="Verdana" w:hAnsi="Verdana" w:cs="Times New Roman"/>
      <w:sz w:val="20"/>
    </w:rPr>
  </w:style>
  <w:style w:type="paragraph" w:styleId="Listaconvietas2">
    <w:name w:val="List Bullet 2"/>
    <w:basedOn w:val="Normal"/>
    <w:rsid w:val="00ED3CAD"/>
    <w:pPr>
      <w:numPr>
        <w:numId w:val="1"/>
      </w:numPr>
      <w:spacing w:before="120" w:after="120" w:line="360" w:lineRule="auto"/>
      <w:contextualSpacing/>
    </w:pPr>
    <w:rPr>
      <w:rFonts w:ascii="Verdana" w:hAnsi="Verdana" w:cs="Times New Roman"/>
      <w:sz w:val="20"/>
    </w:rPr>
  </w:style>
  <w:style w:type="character" w:customStyle="1" w:styleId="SangradetextonormalCar">
    <w:name w:val="Sangría de texto normal Car"/>
    <w:basedOn w:val="Fuentedeprrafopredeter"/>
    <w:uiPriority w:val="99"/>
    <w:semiHidden/>
    <w:rsid w:val="00ED3CAD"/>
    <w:rPr>
      <w:sz w:val="22"/>
      <w:szCs w:val="22"/>
    </w:rPr>
  </w:style>
  <w:style w:type="paragraph" w:styleId="Textoindependienteprimerasangra2">
    <w:name w:val="Body Text First Indent 2"/>
    <w:basedOn w:val="Sangradetextonormal"/>
    <w:link w:val="Textoindependienteprimerasangra2Car"/>
    <w:rsid w:val="00ED3CAD"/>
    <w:pPr>
      <w:tabs>
        <w:tab w:val="clear" w:pos="1080"/>
      </w:tabs>
      <w:spacing w:before="120" w:after="120" w:line="360" w:lineRule="auto"/>
      <w:ind w:left="283" w:firstLine="210"/>
      <w:jc w:val="left"/>
    </w:pPr>
    <w:rPr>
      <w:rFonts w:ascii="Times New Roman" w:hAnsi="Times New Roman" w:cs="Times New Roman"/>
      <w:b w:val="0"/>
      <w:bCs w:val="0"/>
      <w:sz w:val="20"/>
    </w:rPr>
  </w:style>
  <w:style w:type="character" w:customStyle="1" w:styleId="SangradetextonormalCar1">
    <w:name w:val="Sangría de texto normal Car1"/>
    <w:basedOn w:val="Fuentedeprrafopredeter"/>
    <w:link w:val="Sangradetextonormal"/>
    <w:uiPriority w:val="99"/>
    <w:semiHidden/>
    <w:rsid w:val="00ED3CAD"/>
    <w:rPr>
      <w:rFonts w:ascii="Arial" w:hAnsi="Arial" w:cs="Arial"/>
      <w:b/>
      <w:bCs/>
      <w:sz w:val="24"/>
      <w:szCs w:val="24"/>
    </w:rPr>
  </w:style>
  <w:style w:type="character" w:customStyle="1" w:styleId="Textoindependienteprimerasangra2Car">
    <w:name w:val="Texto independiente primera sangría 2 Car"/>
    <w:basedOn w:val="SangradetextonormalCar1"/>
    <w:link w:val="Textoindependienteprimerasangra2"/>
    <w:rsid w:val="00ED3CAD"/>
    <w:rPr>
      <w:rFonts w:ascii="Arial" w:hAnsi="Arial" w:cs="Arial"/>
      <w:b/>
      <w:bCs/>
      <w:sz w:val="24"/>
      <w:szCs w:val="24"/>
    </w:rPr>
  </w:style>
  <w:style w:type="paragraph" w:customStyle="1" w:styleId="6Bullet">
    <w:name w:val="6.Bullet"/>
    <w:basedOn w:val="Normal"/>
    <w:link w:val="6BulletCarattere"/>
    <w:qFormat/>
    <w:rsid w:val="00A8035F"/>
    <w:pPr>
      <w:numPr>
        <w:numId w:val="2"/>
      </w:numPr>
      <w:autoSpaceDE w:val="0"/>
      <w:autoSpaceDN w:val="0"/>
      <w:adjustRightInd w:val="0"/>
      <w:spacing w:after="240" w:line="240" w:lineRule="exact"/>
    </w:pPr>
    <w:rPr>
      <w:rFonts w:ascii="Arial" w:eastAsia="Calibri" w:hAnsi="Arial" w:cs="Times New Roman"/>
      <w:sz w:val="20"/>
      <w:szCs w:val="18"/>
      <w:lang w:val="en-US" w:eastAsia="en-US"/>
    </w:rPr>
  </w:style>
  <w:style w:type="character" w:customStyle="1" w:styleId="6BulletCarattere">
    <w:name w:val="6.Bullet Carattere"/>
    <w:basedOn w:val="Fuentedeprrafopredeter"/>
    <w:link w:val="6Bullet"/>
    <w:rsid w:val="00A8035F"/>
    <w:rPr>
      <w:rFonts w:ascii="Arial" w:eastAsia="Calibri" w:hAnsi="Arial"/>
      <w:szCs w:val="18"/>
      <w:lang w:val="en-US" w:eastAsia="en-US"/>
    </w:rPr>
  </w:style>
  <w:style w:type="paragraph" w:styleId="Sinespaciado">
    <w:name w:val="No Spacing"/>
    <w:uiPriority w:val="1"/>
    <w:qFormat/>
    <w:rsid w:val="00E1566E"/>
    <w:rPr>
      <w:sz w:val="24"/>
      <w:szCs w:val="24"/>
      <w:lang w:val="es-CO"/>
    </w:rPr>
  </w:style>
  <w:style w:type="paragraph" w:customStyle="1" w:styleId="TITOLETTO">
    <w:name w:val="TITOLETTO"/>
    <w:basedOn w:val="Normal"/>
    <w:rsid w:val="008427F2"/>
    <w:pPr>
      <w:spacing w:after="200"/>
      <w:jc w:val="left"/>
    </w:pPr>
    <w:rPr>
      <w:rFonts w:ascii="Verdana" w:hAnsi="Verdana" w:cs="Times New Roman"/>
      <w:b/>
      <w:caps/>
      <w:sz w:val="22"/>
      <w:szCs w:val="22"/>
      <w:lang w:val="it-IT" w:eastAsia="en-US"/>
    </w:rPr>
  </w:style>
  <w:style w:type="paragraph" w:styleId="TDC1">
    <w:name w:val="toc 1"/>
    <w:basedOn w:val="Normal"/>
    <w:next w:val="Normal"/>
    <w:uiPriority w:val="39"/>
    <w:rsid w:val="008427F2"/>
    <w:pPr>
      <w:spacing w:before="200" w:after="120" w:line="240" w:lineRule="exact"/>
      <w:jc w:val="left"/>
    </w:pPr>
    <w:rPr>
      <w:rFonts w:ascii="Arial" w:eastAsia="Calibri" w:hAnsi="Arial" w:cstheme="minorHAnsi"/>
      <w:bCs/>
      <w:caps/>
      <w:sz w:val="20"/>
      <w:szCs w:val="20"/>
      <w:lang w:val="it-IT" w:eastAsia="en-US"/>
    </w:rPr>
  </w:style>
  <w:style w:type="paragraph" w:styleId="TDC2">
    <w:name w:val="toc 2"/>
    <w:basedOn w:val="Normal"/>
    <w:next w:val="Normal"/>
    <w:uiPriority w:val="39"/>
    <w:rsid w:val="008427F2"/>
    <w:pPr>
      <w:spacing w:before="60" w:line="240" w:lineRule="exact"/>
      <w:ind w:left="221"/>
      <w:jc w:val="left"/>
    </w:pPr>
    <w:rPr>
      <w:rFonts w:ascii="Arial" w:eastAsia="Calibri" w:hAnsi="Arial" w:cstheme="minorHAnsi"/>
      <w:sz w:val="20"/>
      <w:szCs w:val="20"/>
      <w:lang w:val="it-IT" w:eastAsia="en-US"/>
    </w:rPr>
  </w:style>
  <w:style w:type="paragraph" w:styleId="TDC3">
    <w:name w:val="toc 3"/>
    <w:basedOn w:val="Normal"/>
    <w:next w:val="Normal"/>
    <w:autoRedefine/>
    <w:uiPriority w:val="39"/>
    <w:rsid w:val="008427F2"/>
    <w:pPr>
      <w:spacing w:line="276" w:lineRule="auto"/>
      <w:ind w:left="440"/>
      <w:jc w:val="left"/>
    </w:pPr>
    <w:rPr>
      <w:rFonts w:asciiTheme="minorHAnsi" w:eastAsia="Calibri" w:hAnsiTheme="minorHAnsi" w:cstheme="minorHAnsi"/>
      <w:i/>
      <w:iCs/>
      <w:sz w:val="20"/>
      <w:szCs w:val="20"/>
      <w:lang w:val="it-IT" w:eastAsia="en-US"/>
    </w:rPr>
  </w:style>
  <w:style w:type="paragraph" w:customStyle="1" w:styleId="1Title1">
    <w:name w:val="1. Title1"/>
    <w:basedOn w:val="Enelcorpodeltesto"/>
    <w:next w:val="Enelcorpodeltesto"/>
    <w:link w:val="1Title1Carattere"/>
    <w:qFormat/>
    <w:rsid w:val="008427F2"/>
    <w:pPr>
      <w:numPr>
        <w:numId w:val="10"/>
      </w:numPr>
      <w:spacing w:before="480" w:after="120"/>
    </w:pPr>
    <w:rPr>
      <w:rFonts w:ascii="Arial" w:hAnsi="Arial"/>
      <w:b/>
      <w:caps/>
      <w:sz w:val="22"/>
      <w:szCs w:val="18"/>
      <w:lang w:val="en-US"/>
    </w:rPr>
  </w:style>
  <w:style w:type="paragraph" w:customStyle="1" w:styleId="Enelcorpodeltesto">
    <w:name w:val="Enel_corpo del testo"/>
    <w:link w:val="EnelcorpodeltestoCarattere"/>
    <w:uiPriority w:val="99"/>
    <w:rsid w:val="008427F2"/>
    <w:pPr>
      <w:jc w:val="both"/>
    </w:pPr>
    <w:rPr>
      <w:rFonts w:ascii="Verdana" w:hAnsi="Verdana"/>
      <w:sz w:val="18"/>
      <w:szCs w:val="16"/>
      <w:lang w:val="it-IT" w:eastAsia="en-US"/>
    </w:rPr>
  </w:style>
  <w:style w:type="character" w:customStyle="1" w:styleId="EnelcorpodeltestoCarattere">
    <w:name w:val="Enel_corpo del testo Carattere"/>
    <w:link w:val="Enelcorpodeltesto"/>
    <w:uiPriority w:val="99"/>
    <w:rsid w:val="008427F2"/>
    <w:rPr>
      <w:rFonts w:ascii="Verdana" w:hAnsi="Verdana"/>
      <w:sz w:val="18"/>
      <w:szCs w:val="16"/>
      <w:lang w:val="it-IT" w:eastAsia="en-US"/>
    </w:rPr>
  </w:style>
  <w:style w:type="paragraph" w:customStyle="1" w:styleId="2Title2">
    <w:name w:val="2. Title2"/>
    <w:basedOn w:val="Enelcorpodeltesto"/>
    <w:next w:val="Enelcorpodeltesto"/>
    <w:qFormat/>
    <w:rsid w:val="008427F2"/>
    <w:pPr>
      <w:numPr>
        <w:ilvl w:val="1"/>
        <w:numId w:val="10"/>
      </w:numPr>
      <w:tabs>
        <w:tab w:val="left" w:pos="57"/>
      </w:tabs>
      <w:spacing w:before="240" w:after="180"/>
      <w:ind w:left="1440" w:hanging="360"/>
    </w:pPr>
    <w:rPr>
      <w:rFonts w:ascii="Arial" w:hAnsi="Arial"/>
      <w:b/>
      <w:sz w:val="20"/>
      <w:szCs w:val="18"/>
      <w:lang w:val="en-US"/>
    </w:rPr>
  </w:style>
  <w:style w:type="paragraph" w:customStyle="1" w:styleId="3Title3">
    <w:name w:val="3. Title3"/>
    <w:basedOn w:val="Enelcorpodeltesto"/>
    <w:next w:val="Enelcorpodeltesto"/>
    <w:link w:val="3Title3Carattere"/>
    <w:qFormat/>
    <w:rsid w:val="008427F2"/>
    <w:pPr>
      <w:spacing w:before="240" w:after="60"/>
      <w:ind w:left="993"/>
    </w:pPr>
    <w:rPr>
      <w:rFonts w:ascii="Arial" w:hAnsi="Arial" w:cs="Arial"/>
      <w:b/>
      <w:sz w:val="20"/>
      <w:szCs w:val="20"/>
      <w:lang w:val="en-US"/>
    </w:rPr>
  </w:style>
  <w:style w:type="character" w:customStyle="1" w:styleId="3Title3Carattere">
    <w:name w:val="3. Title3 Carattere"/>
    <w:link w:val="3Title3"/>
    <w:rsid w:val="008427F2"/>
    <w:rPr>
      <w:rFonts w:ascii="Arial" w:hAnsi="Arial" w:cs="Arial"/>
      <w:b/>
      <w:lang w:val="en-US" w:eastAsia="en-US"/>
    </w:rPr>
  </w:style>
  <w:style w:type="paragraph" w:customStyle="1" w:styleId="Elencoenel">
    <w:name w:val="Elenco enel"/>
    <w:basedOn w:val="Enelcorpodeltesto"/>
    <w:next w:val="Enelcorpodeltesto"/>
    <w:uiPriority w:val="99"/>
    <w:rsid w:val="008427F2"/>
    <w:pPr>
      <w:numPr>
        <w:numId w:val="3"/>
      </w:numPr>
      <w:spacing w:line="360" w:lineRule="auto"/>
    </w:pPr>
  </w:style>
  <w:style w:type="paragraph" w:customStyle="1" w:styleId="Enelintestazione">
    <w:name w:val="Enel_intestazione"/>
    <w:basedOn w:val="Normal"/>
    <w:rsid w:val="008427F2"/>
    <w:pPr>
      <w:tabs>
        <w:tab w:val="right" w:pos="6521"/>
      </w:tabs>
      <w:jc w:val="left"/>
    </w:pPr>
    <w:rPr>
      <w:rFonts w:ascii="Verdana" w:hAnsi="Verdana" w:cs="Times New Roman"/>
      <w:b/>
      <w:caps/>
      <w:color w:val="003399"/>
      <w:sz w:val="12"/>
      <w:lang w:val="it-IT" w:eastAsia="it-IT"/>
    </w:rPr>
  </w:style>
  <w:style w:type="paragraph" w:customStyle="1" w:styleId="Enelcorpointestazione">
    <w:name w:val="Enel_corpo intestazione"/>
    <w:basedOn w:val="Elencoenel"/>
    <w:rsid w:val="008427F2"/>
    <w:pPr>
      <w:numPr>
        <w:numId w:val="0"/>
      </w:numPr>
    </w:pPr>
    <w:rPr>
      <w:sz w:val="16"/>
    </w:rPr>
  </w:style>
  <w:style w:type="character" w:customStyle="1" w:styleId="PiedepginaCar">
    <w:name w:val="Pie de página Car"/>
    <w:basedOn w:val="Fuentedeprrafopredeter"/>
    <w:link w:val="Piedepgina"/>
    <w:uiPriority w:val="99"/>
    <w:rsid w:val="008427F2"/>
    <w:rPr>
      <w:rFonts w:ascii="Arial Narrow" w:hAnsi="Arial Narrow" w:cs="Arial"/>
      <w:sz w:val="24"/>
      <w:szCs w:val="24"/>
    </w:rPr>
  </w:style>
  <w:style w:type="character" w:customStyle="1" w:styleId="EnelnproceduraChar">
    <w:name w:val="Enel_n_procedura Char"/>
    <w:locked/>
    <w:rsid w:val="008427F2"/>
    <w:rPr>
      <w:rFonts w:ascii="Verdana" w:eastAsia="Times New Roman" w:hAnsi="Verdana"/>
      <w:b/>
      <w:smallCaps/>
      <w:sz w:val="16"/>
      <w:lang w:val="it-IT" w:eastAsia="en-US"/>
    </w:rPr>
  </w:style>
  <w:style w:type="character" w:styleId="Nmerodepgina">
    <w:name w:val="page number"/>
    <w:basedOn w:val="Fuentedeprrafopredeter"/>
    <w:uiPriority w:val="99"/>
    <w:rsid w:val="008427F2"/>
    <w:rPr>
      <w:rFonts w:cs="Times New Roman"/>
    </w:rPr>
  </w:style>
  <w:style w:type="paragraph" w:styleId="NormalWeb">
    <w:name w:val="Normal (Web)"/>
    <w:basedOn w:val="Normal"/>
    <w:uiPriority w:val="99"/>
    <w:unhideWhenUsed/>
    <w:rsid w:val="008427F2"/>
    <w:pPr>
      <w:spacing w:after="200" w:line="276" w:lineRule="auto"/>
      <w:jc w:val="left"/>
    </w:pPr>
    <w:rPr>
      <w:rFonts w:ascii="Times New Roman" w:eastAsia="Calibri" w:hAnsi="Times New Roman" w:cs="Times New Roman"/>
      <w:lang w:val="it-IT" w:eastAsia="en-US"/>
    </w:rPr>
  </w:style>
  <w:style w:type="paragraph" w:styleId="Textonotapie">
    <w:name w:val="footnote text"/>
    <w:basedOn w:val="Normal"/>
    <w:link w:val="TextonotapieCar"/>
    <w:uiPriority w:val="99"/>
    <w:unhideWhenUsed/>
    <w:rsid w:val="008427F2"/>
    <w:pPr>
      <w:jc w:val="left"/>
    </w:pPr>
    <w:rPr>
      <w:rFonts w:ascii="Calibri" w:eastAsia="Calibri" w:hAnsi="Calibri" w:cs="Times New Roman"/>
      <w:sz w:val="20"/>
      <w:szCs w:val="20"/>
      <w:lang w:val="it-IT" w:eastAsia="en-US"/>
    </w:rPr>
  </w:style>
  <w:style w:type="character" w:customStyle="1" w:styleId="TextonotapieCar">
    <w:name w:val="Texto nota pie Car"/>
    <w:basedOn w:val="Fuentedeprrafopredeter"/>
    <w:link w:val="Textonotapie"/>
    <w:uiPriority w:val="99"/>
    <w:rsid w:val="008427F2"/>
    <w:rPr>
      <w:rFonts w:ascii="Calibri" w:eastAsia="Calibri" w:hAnsi="Calibri"/>
      <w:lang w:val="it-IT" w:eastAsia="en-US"/>
    </w:rPr>
  </w:style>
  <w:style w:type="character" w:styleId="Refdenotaalpie">
    <w:name w:val="footnote reference"/>
    <w:basedOn w:val="Fuentedeprrafopredeter"/>
    <w:uiPriority w:val="99"/>
    <w:unhideWhenUsed/>
    <w:rsid w:val="008427F2"/>
    <w:rPr>
      <w:vertAlign w:val="superscript"/>
    </w:rPr>
  </w:style>
  <w:style w:type="paragraph" w:customStyle="1" w:styleId="CM1">
    <w:name w:val="CM1"/>
    <w:basedOn w:val="Normal"/>
    <w:next w:val="Normal"/>
    <w:uiPriority w:val="99"/>
    <w:rsid w:val="008427F2"/>
    <w:pPr>
      <w:autoSpaceDE w:val="0"/>
      <w:autoSpaceDN w:val="0"/>
      <w:adjustRightInd w:val="0"/>
      <w:jc w:val="left"/>
    </w:pPr>
    <w:rPr>
      <w:rFonts w:ascii="EUAlbertina" w:eastAsia="Calibri" w:hAnsi="EUAlbertina" w:cs="Times New Roman"/>
      <w:lang w:val="it-IT" w:eastAsia="it-IT"/>
    </w:rPr>
  </w:style>
  <w:style w:type="paragraph" w:customStyle="1" w:styleId="CM3">
    <w:name w:val="CM3"/>
    <w:basedOn w:val="Normal"/>
    <w:next w:val="Normal"/>
    <w:uiPriority w:val="99"/>
    <w:rsid w:val="008427F2"/>
    <w:pPr>
      <w:autoSpaceDE w:val="0"/>
      <w:autoSpaceDN w:val="0"/>
      <w:adjustRightInd w:val="0"/>
      <w:jc w:val="left"/>
    </w:pPr>
    <w:rPr>
      <w:rFonts w:ascii="EUAlbertina" w:eastAsia="Calibri" w:hAnsi="EUAlbertina" w:cs="Times New Roman"/>
      <w:lang w:val="it-IT" w:eastAsia="it-IT"/>
    </w:rPr>
  </w:style>
  <w:style w:type="paragraph" w:customStyle="1" w:styleId="handbook">
    <w:name w:val="handbook"/>
    <w:basedOn w:val="3Title3"/>
    <w:link w:val="handbookCarattere"/>
    <w:rsid w:val="008427F2"/>
    <w:pPr>
      <w:ind w:left="284"/>
    </w:pPr>
    <w:rPr>
      <w:rFonts w:eastAsia="Calibri"/>
      <w:b w:val="0"/>
      <w:szCs w:val="16"/>
      <w:lang w:val="en-GB"/>
    </w:rPr>
  </w:style>
  <w:style w:type="character" w:customStyle="1" w:styleId="handbookCarattere">
    <w:name w:val="handbook Carattere"/>
    <w:link w:val="handbook"/>
    <w:rsid w:val="008427F2"/>
    <w:rPr>
      <w:rFonts w:ascii="Arial" w:eastAsia="Calibri" w:hAnsi="Arial" w:cs="Arial"/>
      <w:szCs w:val="16"/>
      <w:lang w:val="en-GB" w:eastAsia="en-US"/>
    </w:rPr>
  </w:style>
  <w:style w:type="table" w:customStyle="1" w:styleId="LightGrid-Accent12">
    <w:name w:val="Light Grid - Accent 12"/>
    <w:basedOn w:val="Tablanormal"/>
    <w:uiPriority w:val="62"/>
    <w:rsid w:val="008427F2"/>
    <w:rPr>
      <w:rFonts w:ascii="Calibri" w:eastAsia="Calibri" w:hAnsi="Calibri"/>
      <w:lang w:val="it-IT" w:eastAsia="it-IT"/>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ps">
    <w:name w:val="hps"/>
    <w:basedOn w:val="Fuentedeprrafopredeter"/>
    <w:rsid w:val="008427F2"/>
  </w:style>
  <w:style w:type="paragraph" w:styleId="TtuloTDC">
    <w:name w:val="TOC Heading"/>
    <w:basedOn w:val="Ttulo1"/>
    <w:next w:val="Normal"/>
    <w:uiPriority w:val="39"/>
    <w:semiHidden/>
    <w:unhideWhenUsed/>
    <w:qFormat/>
    <w:rsid w:val="008427F2"/>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val="it-IT" w:eastAsia="en-US"/>
    </w:rPr>
  </w:style>
  <w:style w:type="paragraph" w:customStyle="1" w:styleId="2Copertina">
    <w:name w:val="2Copertina"/>
    <w:basedOn w:val="Normal"/>
    <w:next w:val="Normal"/>
    <w:autoRedefine/>
    <w:rsid w:val="008427F2"/>
    <w:pPr>
      <w:spacing w:after="120"/>
    </w:pPr>
    <w:rPr>
      <w:rFonts w:ascii="Arial" w:hAnsi="Arial" w:cs="Times New Roman"/>
      <w:b/>
      <w:sz w:val="28"/>
      <w:szCs w:val="20"/>
      <w:lang w:val="it-IT" w:eastAsia="it-IT"/>
    </w:rPr>
  </w:style>
  <w:style w:type="paragraph" w:styleId="TDC4">
    <w:name w:val="toc 4"/>
    <w:basedOn w:val="Normal"/>
    <w:next w:val="Normal"/>
    <w:autoRedefine/>
    <w:uiPriority w:val="39"/>
    <w:unhideWhenUsed/>
    <w:rsid w:val="008427F2"/>
    <w:pPr>
      <w:spacing w:line="276" w:lineRule="auto"/>
      <w:ind w:left="660"/>
      <w:jc w:val="left"/>
    </w:pPr>
    <w:rPr>
      <w:rFonts w:asciiTheme="minorHAnsi" w:eastAsia="Calibri" w:hAnsiTheme="minorHAnsi" w:cstheme="minorHAnsi"/>
      <w:sz w:val="18"/>
      <w:szCs w:val="18"/>
      <w:lang w:val="it-IT" w:eastAsia="en-US"/>
    </w:rPr>
  </w:style>
  <w:style w:type="paragraph" w:styleId="TDC5">
    <w:name w:val="toc 5"/>
    <w:basedOn w:val="Normal"/>
    <w:next w:val="Normal"/>
    <w:autoRedefine/>
    <w:uiPriority w:val="39"/>
    <w:unhideWhenUsed/>
    <w:rsid w:val="008427F2"/>
    <w:pPr>
      <w:spacing w:line="276" w:lineRule="auto"/>
      <w:ind w:left="880"/>
      <w:jc w:val="left"/>
    </w:pPr>
    <w:rPr>
      <w:rFonts w:asciiTheme="minorHAnsi" w:eastAsia="Calibri" w:hAnsiTheme="minorHAnsi" w:cstheme="minorHAnsi"/>
      <w:sz w:val="18"/>
      <w:szCs w:val="18"/>
      <w:lang w:val="it-IT" w:eastAsia="en-US"/>
    </w:rPr>
  </w:style>
  <w:style w:type="paragraph" w:styleId="TDC6">
    <w:name w:val="toc 6"/>
    <w:basedOn w:val="Normal"/>
    <w:next w:val="Normal"/>
    <w:autoRedefine/>
    <w:uiPriority w:val="39"/>
    <w:unhideWhenUsed/>
    <w:rsid w:val="008427F2"/>
    <w:pPr>
      <w:spacing w:line="276" w:lineRule="auto"/>
      <w:ind w:left="1100"/>
      <w:jc w:val="left"/>
    </w:pPr>
    <w:rPr>
      <w:rFonts w:asciiTheme="minorHAnsi" w:eastAsia="Calibri" w:hAnsiTheme="minorHAnsi" w:cstheme="minorHAnsi"/>
      <w:sz w:val="18"/>
      <w:szCs w:val="18"/>
      <w:lang w:val="it-IT" w:eastAsia="en-US"/>
    </w:rPr>
  </w:style>
  <w:style w:type="paragraph" w:styleId="TDC7">
    <w:name w:val="toc 7"/>
    <w:basedOn w:val="Normal"/>
    <w:next w:val="Normal"/>
    <w:autoRedefine/>
    <w:uiPriority w:val="39"/>
    <w:unhideWhenUsed/>
    <w:rsid w:val="008427F2"/>
    <w:pPr>
      <w:spacing w:line="276" w:lineRule="auto"/>
      <w:ind w:left="1320"/>
      <w:jc w:val="left"/>
    </w:pPr>
    <w:rPr>
      <w:rFonts w:asciiTheme="minorHAnsi" w:eastAsia="Calibri" w:hAnsiTheme="minorHAnsi" w:cstheme="minorHAnsi"/>
      <w:sz w:val="18"/>
      <w:szCs w:val="18"/>
      <w:lang w:val="it-IT" w:eastAsia="en-US"/>
    </w:rPr>
  </w:style>
  <w:style w:type="paragraph" w:styleId="TDC8">
    <w:name w:val="toc 8"/>
    <w:basedOn w:val="Normal"/>
    <w:next w:val="Normal"/>
    <w:autoRedefine/>
    <w:uiPriority w:val="39"/>
    <w:unhideWhenUsed/>
    <w:rsid w:val="008427F2"/>
    <w:pPr>
      <w:spacing w:line="276" w:lineRule="auto"/>
      <w:ind w:left="1540"/>
      <w:jc w:val="left"/>
    </w:pPr>
    <w:rPr>
      <w:rFonts w:asciiTheme="minorHAnsi" w:eastAsia="Calibri" w:hAnsiTheme="minorHAnsi" w:cstheme="minorHAnsi"/>
      <w:sz w:val="18"/>
      <w:szCs w:val="18"/>
      <w:lang w:val="it-IT" w:eastAsia="en-US"/>
    </w:rPr>
  </w:style>
  <w:style w:type="paragraph" w:styleId="TDC9">
    <w:name w:val="toc 9"/>
    <w:basedOn w:val="Normal"/>
    <w:next w:val="Normal"/>
    <w:autoRedefine/>
    <w:uiPriority w:val="39"/>
    <w:unhideWhenUsed/>
    <w:rsid w:val="008427F2"/>
    <w:pPr>
      <w:spacing w:line="276" w:lineRule="auto"/>
      <w:ind w:left="1760"/>
      <w:jc w:val="left"/>
    </w:pPr>
    <w:rPr>
      <w:rFonts w:asciiTheme="minorHAnsi" w:eastAsia="Calibri" w:hAnsiTheme="minorHAnsi" w:cstheme="minorHAnsi"/>
      <w:sz w:val="18"/>
      <w:szCs w:val="18"/>
      <w:lang w:val="it-IT" w:eastAsia="en-US"/>
    </w:rPr>
  </w:style>
  <w:style w:type="paragraph" w:customStyle="1" w:styleId="Annex1">
    <w:name w:val="Annex_1"/>
    <w:basedOn w:val="1Title1"/>
    <w:link w:val="Annex1Carattere"/>
    <w:rsid w:val="008427F2"/>
  </w:style>
  <w:style w:type="numbering" w:customStyle="1" w:styleId="Annex">
    <w:name w:val="Annex"/>
    <w:uiPriority w:val="99"/>
    <w:rsid w:val="008427F2"/>
    <w:pPr>
      <w:numPr>
        <w:numId w:val="4"/>
      </w:numPr>
    </w:pPr>
  </w:style>
  <w:style w:type="character" w:customStyle="1" w:styleId="1Title1Carattere">
    <w:name w:val="1. Title1 Carattere"/>
    <w:basedOn w:val="EnelcorpodeltestoCarattere"/>
    <w:link w:val="1Title1"/>
    <w:rsid w:val="008427F2"/>
    <w:rPr>
      <w:rFonts w:ascii="Arial" w:hAnsi="Arial"/>
      <w:b/>
      <w:caps/>
      <w:sz w:val="22"/>
      <w:szCs w:val="18"/>
      <w:lang w:val="en-US" w:eastAsia="en-US"/>
    </w:rPr>
  </w:style>
  <w:style w:type="character" w:customStyle="1" w:styleId="Annex1Carattere">
    <w:name w:val="Annex_1 Carattere"/>
    <w:basedOn w:val="1Title1Carattere"/>
    <w:link w:val="Annex1"/>
    <w:rsid w:val="008427F2"/>
    <w:rPr>
      <w:rFonts w:ascii="Arial" w:hAnsi="Arial"/>
      <w:b/>
      <w:caps/>
      <w:sz w:val="22"/>
      <w:szCs w:val="18"/>
      <w:lang w:val="en-US" w:eastAsia="en-US"/>
    </w:rPr>
  </w:style>
  <w:style w:type="paragraph" w:styleId="Listaconnmeros2">
    <w:name w:val="List Number 2"/>
    <w:basedOn w:val="Normal"/>
    <w:semiHidden/>
    <w:unhideWhenUsed/>
    <w:rsid w:val="008427F2"/>
    <w:pPr>
      <w:numPr>
        <w:numId w:val="5"/>
      </w:numPr>
      <w:tabs>
        <w:tab w:val="clear" w:pos="643"/>
      </w:tabs>
      <w:spacing w:after="200"/>
      <w:ind w:left="0" w:firstLine="0"/>
      <w:contextualSpacing/>
      <w:jc w:val="left"/>
    </w:pPr>
    <w:rPr>
      <w:rFonts w:ascii="Verdana" w:eastAsia="Calibri" w:hAnsi="Verdana" w:cs="Times New Roman"/>
      <w:sz w:val="18"/>
      <w:szCs w:val="22"/>
      <w:lang w:val="it-IT" w:eastAsia="en-US"/>
    </w:rPr>
  </w:style>
  <w:style w:type="table" w:customStyle="1" w:styleId="Sfondomedio1-Colore11">
    <w:name w:val="Sfondo medio 1 - Colore 11"/>
    <w:basedOn w:val="Tablanormal"/>
    <w:uiPriority w:val="63"/>
    <w:rsid w:val="008427F2"/>
    <w:rPr>
      <w:lang w:val="it-IT" w:eastAsia="it-IT"/>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harChar1">
    <w:name w:val="Char Char1"/>
    <w:locked/>
    <w:rsid w:val="008427F2"/>
    <w:rPr>
      <w:rFonts w:ascii="Verdana" w:hAnsi="Verdana" w:cs="Verdana"/>
      <w:b/>
      <w:bCs/>
      <w:caps/>
      <w:kern w:val="32"/>
      <w:sz w:val="22"/>
      <w:szCs w:val="22"/>
      <w:lang w:val="it-IT" w:eastAsia="en-US" w:bidi="ar-SA"/>
    </w:rPr>
  </w:style>
  <w:style w:type="character" w:customStyle="1" w:styleId="CharChar">
    <w:name w:val="Char Char"/>
    <w:locked/>
    <w:rsid w:val="008427F2"/>
    <w:rPr>
      <w:rFonts w:ascii="Verdana" w:hAnsi="Verdana" w:cs="Verdana"/>
      <w:caps/>
      <w:lang w:val="it-IT" w:eastAsia="en-US" w:bidi="ar-SA"/>
    </w:rPr>
  </w:style>
  <w:style w:type="paragraph" w:customStyle="1" w:styleId="Nessunaspaziatura1">
    <w:name w:val="Nessuna spaziatura1"/>
    <w:rsid w:val="008427F2"/>
    <w:rPr>
      <w:rFonts w:ascii="Verdana" w:eastAsia="Calibri" w:hAnsi="Verdana"/>
      <w:sz w:val="18"/>
      <w:szCs w:val="22"/>
      <w:lang w:val="it-IT" w:eastAsia="en-US"/>
    </w:rPr>
  </w:style>
  <w:style w:type="paragraph" w:styleId="Listaconnmeros">
    <w:name w:val="List Number"/>
    <w:basedOn w:val="Normal"/>
    <w:semiHidden/>
    <w:unhideWhenUsed/>
    <w:rsid w:val="008427F2"/>
    <w:pPr>
      <w:numPr>
        <w:numId w:val="6"/>
      </w:numPr>
      <w:tabs>
        <w:tab w:val="clear" w:pos="360"/>
      </w:tabs>
      <w:spacing w:after="200"/>
      <w:ind w:left="357" w:hanging="357"/>
      <w:contextualSpacing/>
      <w:jc w:val="left"/>
    </w:pPr>
    <w:rPr>
      <w:rFonts w:ascii="Verdana" w:eastAsia="Calibri" w:hAnsi="Verdana" w:cs="Times New Roman"/>
      <w:sz w:val="18"/>
      <w:szCs w:val="22"/>
      <w:lang w:val="it-IT" w:eastAsia="en-US"/>
    </w:rPr>
  </w:style>
  <w:style w:type="paragraph" w:styleId="Listaconnmeros3">
    <w:name w:val="List Number 3"/>
    <w:basedOn w:val="Normal"/>
    <w:semiHidden/>
    <w:unhideWhenUsed/>
    <w:rsid w:val="008427F2"/>
    <w:pPr>
      <w:numPr>
        <w:numId w:val="7"/>
      </w:numPr>
      <w:tabs>
        <w:tab w:val="clear" w:pos="926"/>
      </w:tabs>
      <w:spacing w:after="200"/>
      <w:contextualSpacing/>
      <w:jc w:val="left"/>
    </w:pPr>
    <w:rPr>
      <w:rFonts w:ascii="Verdana" w:eastAsia="Calibri" w:hAnsi="Verdana" w:cs="Times New Roman"/>
      <w:sz w:val="18"/>
      <w:szCs w:val="22"/>
      <w:lang w:val="it-IT" w:eastAsia="en-US"/>
    </w:rPr>
  </w:style>
  <w:style w:type="paragraph" w:customStyle="1" w:styleId="Enelnprocedura">
    <w:name w:val="Enel_n_procedura"/>
    <w:basedOn w:val="Elencoenel"/>
    <w:rsid w:val="008427F2"/>
    <w:pPr>
      <w:numPr>
        <w:numId w:val="0"/>
      </w:numPr>
    </w:pPr>
    <w:rPr>
      <w:rFonts w:eastAsia="Calibri"/>
      <w:b/>
      <w:smallCaps/>
      <w:sz w:val="16"/>
    </w:rPr>
  </w:style>
  <w:style w:type="paragraph" w:customStyle="1" w:styleId="Enelcorpodeltestograssetto">
    <w:name w:val="Enel_corpo del testo grassetto"/>
    <w:basedOn w:val="Elencoenel"/>
    <w:rsid w:val="008427F2"/>
    <w:pPr>
      <w:numPr>
        <w:numId w:val="0"/>
      </w:numPr>
    </w:pPr>
    <w:rPr>
      <w:rFonts w:eastAsia="Calibri"/>
      <w:b/>
    </w:rPr>
  </w:style>
  <w:style w:type="paragraph" w:customStyle="1" w:styleId="TitolettoBold">
    <w:name w:val="Titoletto Bold"/>
    <w:basedOn w:val="Normal"/>
    <w:rsid w:val="008427F2"/>
    <w:pPr>
      <w:spacing w:after="200"/>
      <w:jc w:val="center"/>
    </w:pPr>
    <w:rPr>
      <w:rFonts w:ascii="Verdana" w:eastAsia="Calibri" w:hAnsi="Verdana" w:cs="Times New Roman"/>
      <w:b/>
      <w:caps/>
      <w:szCs w:val="22"/>
      <w:lang w:val="it-IT" w:eastAsia="en-US"/>
    </w:rPr>
  </w:style>
  <w:style w:type="paragraph" w:customStyle="1" w:styleId="ICFRTabellaNormale">
    <w:name w:val="ICFR Tabella Normale"/>
    <w:basedOn w:val="Enelcorpodeltesto"/>
    <w:rsid w:val="008427F2"/>
    <w:pPr>
      <w:jc w:val="left"/>
    </w:pPr>
    <w:rPr>
      <w:rFonts w:eastAsia="Calibri"/>
    </w:rPr>
  </w:style>
  <w:style w:type="paragraph" w:customStyle="1" w:styleId="INTESTAZIONEUSOINTERNO">
    <w:name w:val="INTESTAZIONE_USO_INTERNO"/>
    <w:basedOn w:val="Normal"/>
    <w:rsid w:val="008427F2"/>
    <w:pPr>
      <w:jc w:val="left"/>
    </w:pPr>
    <w:rPr>
      <w:rFonts w:ascii="Verdana" w:eastAsia="Calibri" w:hAnsi="Verdana" w:cs="Times New Roman"/>
      <w:smallCaps/>
      <w:sz w:val="18"/>
      <w:szCs w:val="22"/>
      <w:lang w:val="it-IT" w:eastAsia="en-US"/>
    </w:rPr>
  </w:style>
  <w:style w:type="paragraph" w:customStyle="1" w:styleId="Nessunaspaziatura2">
    <w:name w:val="Nessuna spaziatura2"/>
    <w:next w:val="INTESTAZIONEUSOINTERNO"/>
    <w:rsid w:val="008427F2"/>
    <w:rPr>
      <w:rFonts w:ascii="Verdana" w:hAnsi="Verdana" w:cs="Verdana"/>
      <w:sz w:val="18"/>
      <w:szCs w:val="18"/>
      <w:lang w:val="it-IT" w:eastAsia="en-US"/>
    </w:rPr>
  </w:style>
  <w:style w:type="paragraph" w:styleId="ndice1">
    <w:name w:val="index 1"/>
    <w:basedOn w:val="Normal"/>
    <w:next w:val="Normal"/>
    <w:autoRedefine/>
    <w:rsid w:val="008427F2"/>
    <w:pPr>
      <w:ind w:left="180" w:hanging="180"/>
      <w:jc w:val="left"/>
    </w:pPr>
    <w:rPr>
      <w:rFonts w:ascii="Verdana" w:eastAsia="Calibri" w:hAnsi="Verdana" w:cs="Times New Roman"/>
      <w:sz w:val="18"/>
      <w:szCs w:val="22"/>
      <w:lang w:val="it-IT" w:eastAsia="en-US"/>
    </w:rPr>
  </w:style>
  <w:style w:type="table" w:styleId="Tablaclsica3">
    <w:name w:val="Table Classic 3"/>
    <w:basedOn w:val="Tablanormal"/>
    <w:rsid w:val="008427F2"/>
    <w:pPr>
      <w:spacing w:after="200"/>
    </w:pPr>
    <w:rPr>
      <w:color w:val="000080"/>
      <w:lang w:val="it-IT" w:eastAsia="it-IT"/>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Sfondomedio11">
    <w:name w:val="Sfondo medio 11"/>
    <w:basedOn w:val="Tablanormal"/>
    <w:uiPriority w:val="63"/>
    <w:rsid w:val="008427F2"/>
    <w:rPr>
      <w:lang w:val="it-IT" w:eastAsia="it-IT"/>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Textodelmarcadordeposicin">
    <w:name w:val="Placeholder Text"/>
    <w:basedOn w:val="Fuentedeprrafopredeter"/>
    <w:uiPriority w:val="99"/>
    <w:semiHidden/>
    <w:rsid w:val="008427F2"/>
    <w:rPr>
      <w:color w:val="808080"/>
    </w:rPr>
  </w:style>
  <w:style w:type="paragraph" w:styleId="Mapadeldocumento">
    <w:name w:val="Document Map"/>
    <w:basedOn w:val="Normal"/>
    <w:link w:val="MapadeldocumentoCar"/>
    <w:rsid w:val="008427F2"/>
    <w:pPr>
      <w:jc w:val="left"/>
    </w:pPr>
    <w:rPr>
      <w:rFonts w:ascii="Tahoma" w:eastAsia="Calibri" w:hAnsi="Tahoma" w:cs="Tahoma"/>
      <w:sz w:val="16"/>
      <w:szCs w:val="16"/>
      <w:lang w:val="it-IT" w:eastAsia="en-US"/>
    </w:rPr>
  </w:style>
  <w:style w:type="character" w:customStyle="1" w:styleId="MapadeldocumentoCar">
    <w:name w:val="Mapa del documento Car"/>
    <w:basedOn w:val="Fuentedeprrafopredeter"/>
    <w:link w:val="Mapadeldocumento"/>
    <w:rsid w:val="008427F2"/>
    <w:rPr>
      <w:rFonts w:ascii="Tahoma" w:eastAsia="Calibri" w:hAnsi="Tahoma" w:cs="Tahoma"/>
      <w:sz w:val="16"/>
      <w:szCs w:val="16"/>
      <w:lang w:val="it-IT" w:eastAsia="en-US"/>
    </w:rPr>
  </w:style>
  <w:style w:type="paragraph" w:customStyle="1" w:styleId="AONormal">
    <w:name w:val="AONormal"/>
    <w:link w:val="AONormalChar"/>
    <w:rsid w:val="008427F2"/>
    <w:pPr>
      <w:spacing w:line="260" w:lineRule="atLeast"/>
    </w:pPr>
    <w:rPr>
      <w:rFonts w:eastAsia="SimSun"/>
      <w:sz w:val="22"/>
      <w:szCs w:val="22"/>
      <w:lang w:val="en-GB" w:eastAsia="en-US"/>
    </w:rPr>
  </w:style>
  <w:style w:type="paragraph" w:customStyle="1" w:styleId="AO1">
    <w:name w:val="AO(1)"/>
    <w:basedOn w:val="Normal"/>
    <w:next w:val="AODocTxt"/>
    <w:rsid w:val="008427F2"/>
    <w:pPr>
      <w:numPr>
        <w:numId w:val="8"/>
      </w:numPr>
      <w:tabs>
        <w:tab w:val="clear" w:pos="720"/>
      </w:tabs>
      <w:spacing w:before="240" w:line="260" w:lineRule="atLeast"/>
    </w:pPr>
    <w:rPr>
      <w:rFonts w:ascii="Times New Roman" w:eastAsia="SimSun" w:hAnsi="Times New Roman" w:cs="Times New Roman"/>
      <w:sz w:val="22"/>
      <w:szCs w:val="22"/>
      <w:lang w:val="en-GB" w:eastAsia="en-US"/>
    </w:rPr>
  </w:style>
  <w:style w:type="paragraph" w:customStyle="1" w:styleId="AODocTxt">
    <w:name w:val="AODocTxt"/>
    <w:basedOn w:val="Normal"/>
    <w:rsid w:val="008427F2"/>
    <w:pPr>
      <w:numPr>
        <w:numId w:val="9"/>
      </w:numPr>
      <w:spacing w:before="240" w:line="260" w:lineRule="atLeast"/>
    </w:pPr>
    <w:rPr>
      <w:rFonts w:ascii="Times New Roman" w:eastAsia="SimSun" w:hAnsi="Times New Roman" w:cs="Times New Roman"/>
      <w:sz w:val="22"/>
      <w:szCs w:val="22"/>
      <w:lang w:val="en-GB" w:eastAsia="en-US"/>
    </w:rPr>
  </w:style>
  <w:style w:type="paragraph" w:customStyle="1" w:styleId="AODocTxtL1">
    <w:name w:val="AODocTxtL1"/>
    <w:basedOn w:val="AODocTxt"/>
    <w:rsid w:val="008427F2"/>
    <w:pPr>
      <w:numPr>
        <w:ilvl w:val="1"/>
      </w:numPr>
    </w:pPr>
  </w:style>
  <w:style w:type="paragraph" w:customStyle="1" w:styleId="AODocTxtL2">
    <w:name w:val="AODocTxtL2"/>
    <w:basedOn w:val="AODocTxt"/>
    <w:rsid w:val="008427F2"/>
    <w:pPr>
      <w:numPr>
        <w:ilvl w:val="2"/>
      </w:numPr>
    </w:pPr>
  </w:style>
  <w:style w:type="paragraph" w:customStyle="1" w:styleId="AODocTxtL3">
    <w:name w:val="AODocTxtL3"/>
    <w:basedOn w:val="AODocTxt"/>
    <w:rsid w:val="008427F2"/>
    <w:pPr>
      <w:numPr>
        <w:ilvl w:val="3"/>
      </w:numPr>
    </w:pPr>
  </w:style>
  <w:style w:type="paragraph" w:customStyle="1" w:styleId="AODocTxtL4">
    <w:name w:val="AODocTxtL4"/>
    <w:basedOn w:val="AODocTxt"/>
    <w:rsid w:val="008427F2"/>
    <w:pPr>
      <w:numPr>
        <w:ilvl w:val="4"/>
      </w:numPr>
    </w:pPr>
  </w:style>
  <w:style w:type="paragraph" w:customStyle="1" w:styleId="AODocTxtL5">
    <w:name w:val="AODocTxtL5"/>
    <w:basedOn w:val="AODocTxt"/>
    <w:rsid w:val="008427F2"/>
    <w:pPr>
      <w:numPr>
        <w:ilvl w:val="5"/>
      </w:numPr>
    </w:pPr>
  </w:style>
  <w:style w:type="paragraph" w:customStyle="1" w:styleId="AODocTxtL6">
    <w:name w:val="AODocTxtL6"/>
    <w:basedOn w:val="AODocTxt"/>
    <w:rsid w:val="008427F2"/>
    <w:pPr>
      <w:numPr>
        <w:ilvl w:val="6"/>
      </w:numPr>
    </w:pPr>
  </w:style>
  <w:style w:type="paragraph" w:customStyle="1" w:styleId="AODocTxtL7">
    <w:name w:val="AODocTxtL7"/>
    <w:basedOn w:val="AODocTxt"/>
    <w:rsid w:val="008427F2"/>
    <w:pPr>
      <w:numPr>
        <w:ilvl w:val="7"/>
      </w:numPr>
    </w:pPr>
  </w:style>
  <w:style w:type="paragraph" w:customStyle="1" w:styleId="AODocTxtL8">
    <w:name w:val="AODocTxtL8"/>
    <w:basedOn w:val="AODocTxt"/>
    <w:rsid w:val="008427F2"/>
    <w:pPr>
      <w:numPr>
        <w:ilvl w:val="8"/>
      </w:numPr>
    </w:pPr>
  </w:style>
  <w:style w:type="character" w:customStyle="1" w:styleId="AONormalChar">
    <w:name w:val="AONormal Char"/>
    <w:link w:val="AONormal"/>
    <w:rsid w:val="008427F2"/>
    <w:rPr>
      <w:rFonts w:eastAsia="SimSun"/>
      <w:sz w:val="22"/>
      <w:szCs w:val="22"/>
      <w:lang w:val="en-GB" w:eastAsia="en-US"/>
    </w:rPr>
  </w:style>
  <w:style w:type="paragraph" w:customStyle="1" w:styleId="Titolocopertina">
    <w:name w:val="Titolo copertina"/>
    <w:basedOn w:val="Ttulo1"/>
    <w:rsid w:val="008427F2"/>
    <w:pPr>
      <w:keepNext w:val="0"/>
      <w:tabs>
        <w:tab w:val="num" w:pos="432"/>
      </w:tabs>
      <w:spacing w:after="120"/>
      <w:jc w:val="center"/>
      <w:outlineLvl w:val="9"/>
    </w:pPr>
    <w:rPr>
      <w:rFonts w:cs="Times New Roman"/>
      <w:bCs w:val="0"/>
      <w:sz w:val="36"/>
      <w:szCs w:val="20"/>
      <w:lang w:val="it-IT" w:eastAsia="it-IT"/>
    </w:rPr>
  </w:style>
  <w:style w:type="paragraph" w:customStyle="1" w:styleId="Intestazione3">
    <w:name w:val="Intestazione 3"/>
    <w:basedOn w:val="Normal"/>
    <w:next w:val="Normal"/>
    <w:rsid w:val="008427F2"/>
    <w:pPr>
      <w:tabs>
        <w:tab w:val="left" w:pos="7428"/>
      </w:tabs>
      <w:spacing w:before="300"/>
      <w:jc w:val="right"/>
    </w:pPr>
    <w:rPr>
      <w:rFonts w:ascii="Frutiger 45 Light" w:hAnsi="Frutiger 45 Light" w:cs="Times New Roman"/>
      <w:b/>
      <w:sz w:val="16"/>
      <w:szCs w:val="20"/>
      <w:lang w:val="it-IT" w:eastAsia="it-IT"/>
    </w:rPr>
  </w:style>
  <w:style w:type="paragraph" w:customStyle="1" w:styleId="Titulo2">
    <w:name w:val="Titulo 2"/>
    <w:basedOn w:val="Normal"/>
    <w:next w:val="Normal"/>
    <w:rsid w:val="008427F2"/>
    <w:pPr>
      <w:tabs>
        <w:tab w:val="num" w:pos="57"/>
      </w:tabs>
      <w:spacing w:after="120"/>
      <w:outlineLvl w:val="1"/>
    </w:pPr>
    <w:rPr>
      <w:rFonts w:ascii="Verdana" w:hAnsi="Verdana" w:cs="Times New Roman"/>
      <w:b/>
      <w:sz w:val="20"/>
      <w:szCs w:val="20"/>
      <w:lang w:val="it-IT" w:eastAsia="it-IT"/>
    </w:rPr>
  </w:style>
  <w:style w:type="paragraph" w:customStyle="1" w:styleId="4Text">
    <w:name w:val="4. Text"/>
    <w:basedOn w:val="Normal"/>
    <w:link w:val="4TextCarattere"/>
    <w:qFormat/>
    <w:rsid w:val="008427F2"/>
    <w:pPr>
      <w:autoSpaceDE w:val="0"/>
      <w:autoSpaceDN w:val="0"/>
      <w:adjustRightInd w:val="0"/>
      <w:spacing w:after="300" w:line="240" w:lineRule="exact"/>
    </w:pPr>
    <w:rPr>
      <w:rFonts w:ascii="Arial" w:hAnsi="Arial"/>
      <w:sz w:val="20"/>
      <w:szCs w:val="20"/>
      <w:lang w:val="en-US" w:eastAsia="it-IT"/>
    </w:rPr>
  </w:style>
  <w:style w:type="character" w:customStyle="1" w:styleId="TestogrigioBold">
    <w:name w:val="Testo grigio Bold"/>
    <w:basedOn w:val="Fuentedeprrafopredeter"/>
    <w:uiPriority w:val="1"/>
    <w:rsid w:val="008427F2"/>
    <w:rPr>
      <w:rFonts w:ascii="Arial" w:eastAsia="PMingLiU" w:hAnsi="Arial" w:cs="Arial"/>
      <w:b/>
      <w:color w:val="50535A"/>
      <w:sz w:val="22"/>
      <w:lang w:eastAsia="zh-TW"/>
    </w:rPr>
  </w:style>
  <w:style w:type="paragraph" w:styleId="Descripcin">
    <w:name w:val="caption"/>
    <w:aliases w:val="Epígrafe,EpiTabla,Epígrafe3,Figuras,Epígrafe Car Car Car,Epígrafe Car Car,Título figura y tabla,T,Epígrafe Car2,Epígrafe Car3,Epígrafe Car4,Epígrafe Car5,Epígrafe Car6,Epígrafe Car7,Epígrafe Car8,Epígrafe Car9,Epígrafe Car11,Epígrafe Car21"/>
    <w:basedOn w:val="Normal"/>
    <w:next w:val="Normal"/>
    <w:link w:val="DescripcinCar"/>
    <w:uiPriority w:val="35"/>
    <w:unhideWhenUsed/>
    <w:qFormat/>
    <w:rsid w:val="008427F2"/>
    <w:pPr>
      <w:spacing w:after="200"/>
      <w:jc w:val="left"/>
    </w:pPr>
    <w:rPr>
      <w:rFonts w:ascii="Calibri" w:eastAsia="Calibri" w:hAnsi="Calibri" w:cs="Times New Roman"/>
      <w:b/>
      <w:bCs/>
      <w:color w:val="4F81BD" w:themeColor="accent1"/>
      <w:sz w:val="18"/>
      <w:szCs w:val="18"/>
      <w:lang w:val="it-IT" w:eastAsia="en-US"/>
    </w:rPr>
  </w:style>
  <w:style w:type="paragraph" w:customStyle="1" w:styleId="8Signature">
    <w:name w:val="8. Signature"/>
    <w:basedOn w:val="Normal"/>
    <w:next w:val="Normal"/>
    <w:link w:val="8SignatureCarattere"/>
    <w:qFormat/>
    <w:rsid w:val="008427F2"/>
    <w:pPr>
      <w:spacing w:before="1080" w:line="240" w:lineRule="exact"/>
      <w:contextualSpacing/>
      <w:jc w:val="right"/>
      <w:outlineLvl w:val="0"/>
    </w:pPr>
    <w:rPr>
      <w:rFonts w:ascii="Arial" w:hAnsi="Arial" w:cs="Verdana"/>
      <w:caps/>
      <w:sz w:val="20"/>
      <w:szCs w:val="18"/>
      <w:lang w:val="en-US" w:eastAsia="it-IT"/>
    </w:rPr>
  </w:style>
  <w:style w:type="character" w:customStyle="1" w:styleId="8SignatureCarattere">
    <w:name w:val="8. Signature Carattere"/>
    <w:basedOn w:val="Fuentedeprrafopredeter"/>
    <w:link w:val="8Signature"/>
    <w:rsid w:val="008427F2"/>
    <w:rPr>
      <w:rFonts w:ascii="Arial" w:hAnsi="Arial" w:cs="Verdana"/>
      <w:caps/>
      <w:szCs w:val="18"/>
      <w:lang w:val="en-US" w:eastAsia="it-IT"/>
    </w:rPr>
  </w:style>
  <w:style w:type="paragraph" w:customStyle="1" w:styleId="9Signer">
    <w:name w:val="9. Signer"/>
    <w:basedOn w:val="Normal"/>
    <w:link w:val="9SignerCarattere"/>
    <w:qFormat/>
    <w:rsid w:val="008427F2"/>
    <w:pPr>
      <w:tabs>
        <w:tab w:val="left" w:pos="5103"/>
      </w:tabs>
      <w:spacing w:line="240" w:lineRule="exact"/>
      <w:ind w:left="5103"/>
      <w:jc w:val="right"/>
      <w:outlineLvl w:val="0"/>
    </w:pPr>
    <w:rPr>
      <w:rFonts w:ascii="Arial" w:hAnsi="Arial" w:cs="Verdana"/>
      <w:b/>
      <w:sz w:val="20"/>
      <w:szCs w:val="18"/>
      <w:lang w:val="en-US" w:eastAsia="it-IT"/>
    </w:rPr>
  </w:style>
  <w:style w:type="character" w:customStyle="1" w:styleId="9SignerCarattere">
    <w:name w:val="9. Signer Carattere"/>
    <w:basedOn w:val="Fuentedeprrafopredeter"/>
    <w:link w:val="9Signer"/>
    <w:rsid w:val="008427F2"/>
    <w:rPr>
      <w:rFonts w:ascii="Arial" w:hAnsi="Arial" w:cs="Verdana"/>
      <w:b/>
      <w:szCs w:val="18"/>
      <w:lang w:val="en-US" w:eastAsia="it-IT"/>
    </w:rPr>
  </w:style>
  <w:style w:type="paragraph" w:customStyle="1" w:styleId="6Bullet0">
    <w:name w:val="6. Bullet"/>
    <w:basedOn w:val="Normal"/>
    <w:link w:val="6BulletCarattere0"/>
    <w:qFormat/>
    <w:rsid w:val="008427F2"/>
    <w:pPr>
      <w:tabs>
        <w:tab w:val="num" w:pos="851"/>
      </w:tabs>
      <w:autoSpaceDE w:val="0"/>
      <w:autoSpaceDN w:val="0"/>
      <w:adjustRightInd w:val="0"/>
      <w:spacing w:after="240" w:line="240" w:lineRule="exact"/>
      <w:ind w:left="851" w:hanging="284"/>
    </w:pPr>
    <w:rPr>
      <w:rFonts w:ascii="Arial" w:eastAsia="Calibri" w:hAnsi="Arial" w:cs="Times New Roman"/>
      <w:sz w:val="20"/>
      <w:szCs w:val="18"/>
      <w:lang w:val="en-US" w:eastAsia="en-US"/>
    </w:rPr>
  </w:style>
  <w:style w:type="character" w:customStyle="1" w:styleId="6BulletCarattere0">
    <w:name w:val="6. Bullet Carattere"/>
    <w:basedOn w:val="Fuentedeprrafopredeter"/>
    <w:link w:val="6Bullet0"/>
    <w:rsid w:val="008427F2"/>
    <w:rPr>
      <w:rFonts w:ascii="Arial" w:eastAsia="Calibri" w:hAnsi="Arial"/>
      <w:szCs w:val="18"/>
      <w:lang w:val="en-US" w:eastAsia="en-US"/>
    </w:rPr>
  </w:style>
  <w:style w:type="numbering" w:customStyle="1" w:styleId="Stile1">
    <w:name w:val="Stile1"/>
    <w:uiPriority w:val="99"/>
    <w:rsid w:val="008427F2"/>
    <w:pPr>
      <w:numPr>
        <w:numId w:val="11"/>
      </w:numPr>
    </w:pPr>
  </w:style>
  <w:style w:type="paragraph" w:customStyle="1" w:styleId="5Textnospace">
    <w:name w:val="5. Text (no space)"/>
    <w:basedOn w:val="4Text"/>
    <w:link w:val="5TextnospaceCarattere"/>
    <w:qFormat/>
    <w:rsid w:val="008427F2"/>
    <w:pPr>
      <w:spacing w:after="120"/>
    </w:pPr>
  </w:style>
  <w:style w:type="paragraph" w:customStyle="1" w:styleId="7Bulletnospace">
    <w:name w:val="7. Bullet (no space)"/>
    <w:basedOn w:val="6Bullet0"/>
    <w:link w:val="7BulletnospaceCarattere"/>
    <w:qFormat/>
    <w:rsid w:val="008427F2"/>
    <w:pPr>
      <w:spacing w:after="120"/>
    </w:pPr>
  </w:style>
  <w:style w:type="character" w:customStyle="1" w:styleId="4TextCarattere">
    <w:name w:val="4. Text Carattere"/>
    <w:basedOn w:val="Fuentedeprrafopredeter"/>
    <w:link w:val="4Text"/>
    <w:rsid w:val="008427F2"/>
    <w:rPr>
      <w:rFonts w:ascii="Arial" w:hAnsi="Arial" w:cs="Arial"/>
      <w:lang w:val="en-US" w:eastAsia="it-IT"/>
    </w:rPr>
  </w:style>
  <w:style w:type="character" w:customStyle="1" w:styleId="5TextnospaceCarattere">
    <w:name w:val="5. Text (no space) Carattere"/>
    <w:basedOn w:val="4TextCarattere"/>
    <w:link w:val="5Textnospace"/>
    <w:rsid w:val="008427F2"/>
    <w:rPr>
      <w:rFonts w:ascii="Arial" w:hAnsi="Arial" w:cs="Arial"/>
      <w:lang w:val="en-US" w:eastAsia="it-IT"/>
    </w:rPr>
  </w:style>
  <w:style w:type="character" w:customStyle="1" w:styleId="7BulletnospaceCarattere">
    <w:name w:val="7. Bullet (no space) Carattere"/>
    <w:basedOn w:val="6BulletCarattere0"/>
    <w:link w:val="7Bulletnospace"/>
    <w:rsid w:val="008427F2"/>
    <w:rPr>
      <w:rFonts w:ascii="Arial" w:eastAsia="Calibri" w:hAnsi="Arial"/>
      <w:szCs w:val="18"/>
      <w:lang w:val="en-US" w:eastAsia="en-US"/>
    </w:rPr>
  </w:style>
  <w:style w:type="paragraph" w:customStyle="1" w:styleId="asdasd">
    <w:name w:val="asdasd"/>
    <w:basedOn w:val="Enelcorpodeltesto"/>
    <w:link w:val="asdasdCarattere"/>
    <w:rsid w:val="008427F2"/>
    <w:pPr>
      <w:pageBreakBefore/>
    </w:pPr>
    <w:rPr>
      <w:lang w:val="en-US"/>
    </w:rPr>
  </w:style>
  <w:style w:type="character" w:customStyle="1" w:styleId="asdasdCarattere">
    <w:name w:val="asdasd Carattere"/>
    <w:basedOn w:val="EnelcorpodeltestoCarattere"/>
    <w:link w:val="asdasd"/>
    <w:rsid w:val="008427F2"/>
    <w:rPr>
      <w:rFonts w:ascii="Verdana" w:hAnsi="Verdana"/>
      <w:sz w:val="18"/>
      <w:szCs w:val="16"/>
      <w:lang w:val="en-US" w:eastAsia="en-US"/>
    </w:rPr>
  </w:style>
  <w:style w:type="paragraph" w:customStyle="1" w:styleId="Title1">
    <w:name w:val=".Title1"/>
    <w:basedOn w:val="Enelcorpodeltesto"/>
    <w:next w:val="Enelcorpodeltesto"/>
    <w:rsid w:val="008427F2"/>
    <w:pPr>
      <w:spacing w:before="480" w:after="120" w:line="276" w:lineRule="auto"/>
      <w:ind w:left="397" w:hanging="397"/>
      <w:contextualSpacing/>
    </w:pPr>
    <w:rPr>
      <w:rFonts w:ascii="Arial" w:hAnsi="Arial"/>
      <w:b/>
      <w:caps/>
      <w:sz w:val="22"/>
      <w:szCs w:val="18"/>
      <w:lang w:val="en-US"/>
    </w:rPr>
  </w:style>
  <w:style w:type="paragraph" w:customStyle="1" w:styleId="Title2">
    <w:name w:val=".Title2"/>
    <w:basedOn w:val="Enelcorpodeltesto"/>
    <w:next w:val="Enelcorpodeltesto"/>
    <w:rsid w:val="008427F2"/>
    <w:pPr>
      <w:tabs>
        <w:tab w:val="left" w:pos="57"/>
      </w:tabs>
      <w:spacing w:before="360" w:after="180" w:line="276" w:lineRule="auto"/>
      <w:ind w:left="788" w:hanging="431"/>
    </w:pPr>
    <w:rPr>
      <w:rFonts w:ascii="Arial" w:hAnsi="Arial"/>
      <w:b/>
      <w:sz w:val="20"/>
      <w:szCs w:val="18"/>
      <w:lang w:val="en-US"/>
    </w:rPr>
  </w:style>
  <w:style w:type="paragraph" w:customStyle="1" w:styleId="Bullet">
    <w:name w:val=".Bullet"/>
    <w:basedOn w:val="Normal"/>
    <w:rsid w:val="008427F2"/>
    <w:pPr>
      <w:tabs>
        <w:tab w:val="num" w:pos="851"/>
      </w:tabs>
      <w:autoSpaceDE w:val="0"/>
      <w:autoSpaceDN w:val="0"/>
      <w:adjustRightInd w:val="0"/>
      <w:spacing w:after="240" w:line="276" w:lineRule="auto"/>
      <w:ind w:left="851" w:hanging="284"/>
      <w:contextualSpacing/>
    </w:pPr>
    <w:rPr>
      <w:rFonts w:ascii="Arial" w:eastAsia="Calibri" w:hAnsi="Arial" w:cs="Times New Roman"/>
      <w:sz w:val="20"/>
      <w:szCs w:val="18"/>
      <w:lang w:val="en-US" w:eastAsia="en-US"/>
    </w:rPr>
  </w:style>
  <w:style w:type="paragraph" w:customStyle="1" w:styleId="Textnospace">
    <w:name w:val=".Text (no space)"/>
    <w:basedOn w:val="Normal"/>
    <w:link w:val="TextnospaceCarattere"/>
    <w:rsid w:val="008427F2"/>
    <w:pPr>
      <w:autoSpaceDE w:val="0"/>
      <w:autoSpaceDN w:val="0"/>
      <w:adjustRightInd w:val="0"/>
      <w:spacing w:line="276" w:lineRule="auto"/>
    </w:pPr>
    <w:rPr>
      <w:rFonts w:ascii="Arial" w:eastAsia="MS PGothic" w:hAnsi="Arial"/>
      <w:sz w:val="20"/>
      <w:szCs w:val="20"/>
      <w:lang w:val="en-US" w:eastAsia="it-IT"/>
    </w:rPr>
  </w:style>
  <w:style w:type="paragraph" w:customStyle="1" w:styleId="Bulletnospace">
    <w:name w:val=".Bullet (no space)"/>
    <w:basedOn w:val="Bullet"/>
    <w:link w:val="BulletnospaceCarattere"/>
    <w:rsid w:val="008427F2"/>
    <w:pPr>
      <w:spacing w:after="0"/>
    </w:pPr>
  </w:style>
  <w:style w:type="character" w:customStyle="1" w:styleId="TextnospaceCarattere">
    <w:name w:val=".Text (no space) Carattere"/>
    <w:basedOn w:val="Fuentedeprrafopredeter"/>
    <w:link w:val="Textnospace"/>
    <w:rsid w:val="008427F2"/>
    <w:rPr>
      <w:rFonts w:ascii="Arial" w:eastAsia="MS PGothic" w:hAnsi="Arial" w:cs="Arial"/>
      <w:lang w:val="en-US" w:eastAsia="it-IT"/>
    </w:rPr>
  </w:style>
  <w:style w:type="character" w:customStyle="1" w:styleId="BulletnospaceCarattere">
    <w:name w:val=".Bullet (no space) Carattere"/>
    <w:basedOn w:val="Fuentedeprrafopredeter"/>
    <w:link w:val="Bulletnospace"/>
    <w:rsid w:val="008427F2"/>
    <w:rPr>
      <w:rFonts w:ascii="Arial" w:eastAsia="Calibri" w:hAnsi="Arial"/>
      <w:szCs w:val="18"/>
      <w:lang w:val="en-US" w:eastAsia="en-US"/>
    </w:rPr>
  </w:style>
  <w:style w:type="paragraph" w:customStyle="1" w:styleId="Heading">
    <w:name w:val="Heading"/>
    <w:basedOn w:val="Normal"/>
    <w:link w:val="HeadingCarattere"/>
    <w:qFormat/>
    <w:rsid w:val="008427F2"/>
    <w:pPr>
      <w:jc w:val="left"/>
    </w:pPr>
    <w:rPr>
      <w:rFonts w:ascii="Arial" w:hAnsi="Arial"/>
      <w:color w:val="17365D" w:themeColor="text2" w:themeShade="BF"/>
      <w:sz w:val="20"/>
      <w:lang w:val="en-US" w:eastAsia="it-IT"/>
    </w:rPr>
  </w:style>
  <w:style w:type="character" w:customStyle="1" w:styleId="HeadingCarattere">
    <w:name w:val="Heading Carattere"/>
    <w:basedOn w:val="Fuentedeprrafopredeter"/>
    <w:link w:val="Heading"/>
    <w:rsid w:val="008427F2"/>
    <w:rPr>
      <w:rFonts w:ascii="Arial" w:hAnsi="Arial" w:cs="Arial"/>
      <w:color w:val="17365D" w:themeColor="text2" w:themeShade="BF"/>
      <w:szCs w:val="24"/>
      <w:lang w:val="en-US" w:eastAsia="it-IT"/>
    </w:rPr>
  </w:style>
  <w:style w:type="paragraph" w:customStyle="1" w:styleId="Signature">
    <w:name w:val=".Signature"/>
    <w:basedOn w:val="Normal"/>
    <w:next w:val="Signer"/>
    <w:link w:val="SignatureCarattere"/>
    <w:qFormat/>
    <w:rsid w:val="008427F2"/>
    <w:pPr>
      <w:spacing w:before="1080" w:line="240" w:lineRule="exact"/>
      <w:contextualSpacing/>
      <w:jc w:val="right"/>
      <w:outlineLvl w:val="0"/>
    </w:pPr>
    <w:rPr>
      <w:rFonts w:ascii="Arial" w:hAnsi="Arial" w:cs="Verdana"/>
      <w:caps/>
      <w:sz w:val="20"/>
      <w:szCs w:val="18"/>
      <w:lang w:val="en-US" w:eastAsia="it-IT"/>
    </w:rPr>
  </w:style>
  <w:style w:type="paragraph" w:customStyle="1" w:styleId="Signer">
    <w:name w:val=".Signer"/>
    <w:basedOn w:val="Normal"/>
    <w:link w:val="SignerCarattere"/>
    <w:qFormat/>
    <w:rsid w:val="008427F2"/>
    <w:pPr>
      <w:tabs>
        <w:tab w:val="left" w:pos="5103"/>
      </w:tabs>
      <w:spacing w:line="240" w:lineRule="exact"/>
      <w:ind w:left="5103"/>
      <w:jc w:val="right"/>
      <w:outlineLvl w:val="0"/>
    </w:pPr>
    <w:rPr>
      <w:rFonts w:ascii="Arial" w:hAnsi="Arial" w:cs="Verdana"/>
      <w:b/>
      <w:sz w:val="20"/>
      <w:szCs w:val="18"/>
      <w:lang w:val="en-US" w:eastAsia="it-IT"/>
    </w:rPr>
  </w:style>
  <w:style w:type="character" w:customStyle="1" w:styleId="SignerCarattere">
    <w:name w:val=".Signer Carattere"/>
    <w:basedOn w:val="Fuentedeprrafopredeter"/>
    <w:link w:val="Signer"/>
    <w:rsid w:val="008427F2"/>
    <w:rPr>
      <w:rFonts w:ascii="Arial" w:hAnsi="Arial" w:cs="Verdana"/>
      <w:b/>
      <w:szCs w:val="18"/>
      <w:lang w:val="en-US" w:eastAsia="it-IT"/>
    </w:rPr>
  </w:style>
  <w:style w:type="character" w:customStyle="1" w:styleId="SignatureCarattere">
    <w:name w:val=".Signature Carattere"/>
    <w:basedOn w:val="Fuentedeprrafopredeter"/>
    <w:link w:val="Signature"/>
    <w:rsid w:val="008427F2"/>
    <w:rPr>
      <w:rFonts w:ascii="Arial" w:hAnsi="Arial" w:cs="Verdana"/>
      <w:caps/>
      <w:szCs w:val="18"/>
      <w:lang w:val="en-US" w:eastAsia="it-IT"/>
    </w:rPr>
  </w:style>
  <w:style w:type="character" w:customStyle="1" w:styleId="apple-converted-space">
    <w:name w:val="apple-converted-space"/>
    <w:basedOn w:val="Fuentedeprrafopredeter"/>
    <w:rsid w:val="008427F2"/>
  </w:style>
  <w:style w:type="paragraph" w:styleId="Textonotaalfinal">
    <w:name w:val="endnote text"/>
    <w:basedOn w:val="Normal"/>
    <w:link w:val="TextonotaalfinalCar"/>
    <w:uiPriority w:val="99"/>
    <w:semiHidden/>
    <w:unhideWhenUsed/>
    <w:rsid w:val="008427F2"/>
    <w:pPr>
      <w:jc w:val="left"/>
    </w:pPr>
    <w:rPr>
      <w:rFonts w:asciiTheme="minorHAnsi" w:eastAsiaTheme="minorHAnsi" w:hAnsiTheme="minorHAnsi" w:cstheme="minorBidi"/>
      <w:sz w:val="20"/>
      <w:szCs w:val="20"/>
      <w:lang w:val="es-MX" w:eastAsia="en-US"/>
    </w:rPr>
  </w:style>
  <w:style w:type="character" w:customStyle="1" w:styleId="TextonotaalfinalCar">
    <w:name w:val="Texto nota al final Car"/>
    <w:basedOn w:val="Fuentedeprrafopredeter"/>
    <w:link w:val="Textonotaalfinal"/>
    <w:uiPriority w:val="99"/>
    <w:semiHidden/>
    <w:rsid w:val="008427F2"/>
    <w:rPr>
      <w:rFonts w:asciiTheme="minorHAnsi" w:eastAsiaTheme="minorHAnsi" w:hAnsiTheme="minorHAnsi" w:cstheme="minorBidi"/>
      <w:lang w:val="es-MX" w:eastAsia="en-US"/>
    </w:rPr>
  </w:style>
  <w:style w:type="character" w:styleId="Refdenotaalfinal">
    <w:name w:val="endnote reference"/>
    <w:basedOn w:val="Fuentedeprrafopredeter"/>
    <w:uiPriority w:val="99"/>
    <w:semiHidden/>
    <w:unhideWhenUsed/>
    <w:rsid w:val="008427F2"/>
    <w:rPr>
      <w:vertAlign w:val="superscript"/>
    </w:rPr>
  </w:style>
  <w:style w:type="table" w:customStyle="1" w:styleId="TableNormal">
    <w:name w:val="Table Normal"/>
    <w:uiPriority w:val="2"/>
    <w:semiHidden/>
    <w:unhideWhenUsed/>
    <w:qFormat/>
    <w:rsid w:val="008427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7F2"/>
    <w:pPr>
      <w:widowControl w:val="0"/>
      <w:jc w:val="left"/>
    </w:pPr>
    <w:rPr>
      <w:rFonts w:asciiTheme="minorHAnsi" w:eastAsiaTheme="minorHAnsi" w:hAnsiTheme="minorHAnsi" w:cstheme="minorBidi"/>
      <w:sz w:val="22"/>
      <w:szCs w:val="22"/>
      <w:lang w:val="en-US" w:eastAsia="en-US"/>
    </w:rPr>
  </w:style>
  <w:style w:type="paragraph" w:styleId="ndice8">
    <w:name w:val="index 8"/>
    <w:basedOn w:val="Normal"/>
    <w:next w:val="Normal"/>
    <w:autoRedefine/>
    <w:semiHidden/>
    <w:rsid w:val="005B7DF9"/>
    <w:pPr>
      <w:ind w:left="1920" w:hanging="240"/>
      <w:jc w:val="left"/>
    </w:pPr>
    <w:rPr>
      <w:rFonts w:ascii="Times New Roman" w:hAnsi="Times New Roman" w:cs="Times New Roman"/>
      <w:szCs w:val="20"/>
      <w:lang w:val="es-ES_tradnl"/>
    </w:rPr>
  </w:style>
  <w:style w:type="character" w:customStyle="1" w:styleId="PrrafodelistaCar">
    <w:name w:val="Párrafo de lista Car"/>
    <w:aliases w:val="Normal bold Car,Lista_Bolitas Car,Titulo 3 Car,viñeta Car,parrafo Car,Párrafo de lista3 Car,Lista HD Car,Segunda viñeta Car,Viñeta Car,HOJA Car,List Paragraph1 Car,Betulia Título 1 Car,T_3 Car,Bolita Car,Segundo nivel de viñetas Car"/>
    <w:link w:val="Prrafodelista"/>
    <w:uiPriority w:val="34"/>
    <w:rsid w:val="00B64D1B"/>
    <w:rPr>
      <w:rFonts w:ascii="Arial Narrow" w:hAnsi="Arial Narrow" w:cs="Arial"/>
      <w:sz w:val="24"/>
      <w:szCs w:val="24"/>
    </w:rPr>
  </w:style>
  <w:style w:type="character" w:styleId="Mencinsinresolver">
    <w:name w:val="Unresolved Mention"/>
    <w:basedOn w:val="Fuentedeprrafopredeter"/>
    <w:uiPriority w:val="99"/>
    <w:semiHidden/>
    <w:unhideWhenUsed/>
    <w:rsid w:val="00B107CA"/>
    <w:rPr>
      <w:color w:val="605E5C"/>
      <w:shd w:val="clear" w:color="auto" w:fill="E1DFDD"/>
    </w:rPr>
  </w:style>
  <w:style w:type="character" w:customStyle="1" w:styleId="FiguraCar">
    <w:name w:val="Figura Car"/>
    <w:basedOn w:val="Fuentedeprrafopredeter"/>
    <w:link w:val="Figura"/>
    <w:locked/>
    <w:rsid w:val="00F544BA"/>
    <w:rPr>
      <w:rFonts w:ascii="Arial" w:eastAsiaTheme="minorEastAsia" w:hAnsi="Arial" w:cs="Arial"/>
      <w:bCs/>
      <w:color w:val="000000" w:themeColor="text1"/>
      <w:sz w:val="18"/>
      <w:szCs w:val="18"/>
    </w:rPr>
  </w:style>
  <w:style w:type="paragraph" w:customStyle="1" w:styleId="Figura">
    <w:name w:val="Figura"/>
    <w:basedOn w:val="Descripcin"/>
    <w:link w:val="FiguraCar"/>
    <w:qFormat/>
    <w:rsid w:val="00F544BA"/>
    <w:pPr>
      <w:spacing w:after="0"/>
      <w:jc w:val="center"/>
    </w:pPr>
    <w:rPr>
      <w:rFonts w:ascii="Arial" w:eastAsiaTheme="minorEastAsia" w:hAnsi="Arial" w:cs="Arial"/>
      <w:b w:val="0"/>
      <w:color w:val="000000" w:themeColor="text1"/>
      <w:lang w:val="es-ES" w:eastAsia="es-ES"/>
    </w:rPr>
  </w:style>
  <w:style w:type="character" w:customStyle="1" w:styleId="DescripcinCar">
    <w:name w:val="Descripción Car"/>
    <w:aliases w:val="Epígrafe Car,EpiTabla Car,Epígrafe3 Car,Figuras Car,Epígrafe Car Car Car Car,Epígrafe Car Car Car1,Título figura y tabla Car,T Car,Epígrafe Car2 Car,Epígrafe Car3 Car,Epígrafe Car4 Car,Epígrafe Car5 Car,Epígrafe Car6 Car"/>
    <w:basedOn w:val="Fuentedeprrafopredeter"/>
    <w:link w:val="Descripcin"/>
    <w:uiPriority w:val="35"/>
    <w:locked/>
    <w:rsid w:val="00496A09"/>
    <w:rPr>
      <w:rFonts w:ascii="Calibri" w:eastAsia="Calibri" w:hAnsi="Calibri"/>
      <w:b/>
      <w:bCs/>
      <w:color w:val="4F81BD" w:themeColor="accent1"/>
      <w:sz w:val="18"/>
      <w:szCs w:val="18"/>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257912">
      <w:bodyDiv w:val="1"/>
      <w:marLeft w:val="0"/>
      <w:marRight w:val="0"/>
      <w:marTop w:val="0"/>
      <w:marBottom w:val="0"/>
      <w:divBdr>
        <w:top w:val="none" w:sz="0" w:space="0" w:color="auto"/>
        <w:left w:val="none" w:sz="0" w:space="0" w:color="auto"/>
        <w:bottom w:val="none" w:sz="0" w:space="0" w:color="auto"/>
        <w:right w:val="none" w:sz="0" w:space="0" w:color="auto"/>
      </w:divBdr>
    </w:div>
    <w:div w:id="166019928">
      <w:bodyDiv w:val="1"/>
      <w:marLeft w:val="0"/>
      <w:marRight w:val="0"/>
      <w:marTop w:val="0"/>
      <w:marBottom w:val="0"/>
      <w:divBdr>
        <w:top w:val="none" w:sz="0" w:space="0" w:color="auto"/>
        <w:left w:val="none" w:sz="0" w:space="0" w:color="auto"/>
        <w:bottom w:val="none" w:sz="0" w:space="0" w:color="auto"/>
        <w:right w:val="none" w:sz="0" w:space="0" w:color="auto"/>
      </w:divBdr>
    </w:div>
    <w:div w:id="179200663">
      <w:bodyDiv w:val="1"/>
      <w:marLeft w:val="0"/>
      <w:marRight w:val="0"/>
      <w:marTop w:val="0"/>
      <w:marBottom w:val="0"/>
      <w:divBdr>
        <w:top w:val="none" w:sz="0" w:space="0" w:color="auto"/>
        <w:left w:val="none" w:sz="0" w:space="0" w:color="auto"/>
        <w:bottom w:val="none" w:sz="0" w:space="0" w:color="auto"/>
        <w:right w:val="none" w:sz="0" w:space="0" w:color="auto"/>
      </w:divBdr>
    </w:div>
    <w:div w:id="239562689">
      <w:bodyDiv w:val="1"/>
      <w:marLeft w:val="0"/>
      <w:marRight w:val="0"/>
      <w:marTop w:val="0"/>
      <w:marBottom w:val="0"/>
      <w:divBdr>
        <w:top w:val="none" w:sz="0" w:space="0" w:color="auto"/>
        <w:left w:val="none" w:sz="0" w:space="0" w:color="auto"/>
        <w:bottom w:val="none" w:sz="0" w:space="0" w:color="auto"/>
        <w:right w:val="none" w:sz="0" w:space="0" w:color="auto"/>
      </w:divBdr>
    </w:div>
    <w:div w:id="420225997">
      <w:bodyDiv w:val="1"/>
      <w:marLeft w:val="0"/>
      <w:marRight w:val="0"/>
      <w:marTop w:val="0"/>
      <w:marBottom w:val="0"/>
      <w:divBdr>
        <w:top w:val="none" w:sz="0" w:space="0" w:color="auto"/>
        <w:left w:val="none" w:sz="0" w:space="0" w:color="auto"/>
        <w:bottom w:val="none" w:sz="0" w:space="0" w:color="auto"/>
        <w:right w:val="none" w:sz="0" w:space="0" w:color="auto"/>
      </w:divBdr>
    </w:div>
    <w:div w:id="452941363">
      <w:bodyDiv w:val="1"/>
      <w:marLeft w:val="0"/>
      <w:marRight w:val="0"/>
      <w:marTop w:val="0"/>
      <w:marBottom w:val="0"/>
      <w:divBdr>
        <w:top w:val="none" w:sz="0" w:space="0" w:color="auto"/>
        <w:left w:val="none" w:sz="0" w:space="0" w:color="auto"/>
        <w:bottom w:val="none" w:sz="0" w:space="0" w:color="auto"/>
        <w:right w:val="none" w:sz="0" w:space="0" w:color="auto"/>
      </w:divBdr>
    </w:div>
    <w:div w:id="611983471">
      <w:bodyDiv w:val="1"/>
      <w:marLeft w:val="0"/>
      <w:marRight w:val="0"/>
      <w:marTop w:val="0"/>
      <w:marBottom w:val="0"/>
      <w:divBdr>
        <w:top w:val="none" w:sz="0" w:space="0" w:color="auto"/>
        <w:left w:val="none" w:sz="0" w:space="0" w:color="auto"/>
        <w:bottom w:val="none" w:sz="0" w:space="0" w:color="auto"/>
        <w:right w:val="none" w:sz="0" w:space="0" w:color="auto"/>
      </w:divBdr>
    </w:div>
    <w:div w:id="635187023">
      <w:bodyDiv w:val="1"/>
      <w:marLeft w:val="0"/>
      <w:marRight w:val="0"/>
      <w:marTop w:val="0"/>
      <w:marBottom w:val="0"/>
      <w:divBdr>
        <w:top w:val="none" w:sz="0" w:space="0" w:color="auto"/>
        <w:left w:val="none" w:sz="0" w:space="0" w:color="auto"/>
        <w:bottom w:val="none" w:sz="0" w:space="0" w:color="auto"/>
        <w:right w:val="none" w:sz="0" w:space="0" w:color="auto"/>
      </w:divBdr>
    </w:div>
    <w:div w:id="808670622">
      <w:bodyDiv w:val="1"/>
      <w:marLeft w:val="45"/>
      <w:marRight w:val="45"/>
      <w:marTop w:val="45"/>
      <w:marBottom w:val="45"/>
      <w:divBdr>
        <w:top w:val="none" w:sz="0" w:space="0" w:color="auto"/>
        <w:left w:val="none" w:sz="0" w:space="0" w:color="auto"/>
        <w:bottom w:val="none" w:sz="0" w:space="0" w:color="auto"/>
        <w:right w:val="none" w:sz="0" w:space="0" w:color="auto"/>
      </w:divBdr>
      <w:divsChild>
        <w:div w:id="1369064387">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104767281">
      <w:bodyDiv w:val="1"/>
      <w:marLeft w:val="0"/>
      <w:marRight w:val="0"/>
      <w:marTop w:val="0"/>
      <w:marBottom w:val="0"/>
      <w:divBdr>
        <w:top w:val="none" w:sz="0" w:space="0" w:color="auto"/>
        <w:left w:val="none" w:sz="0" w:space="0" w:color="auto"/>
        <w:bottom w:val="none" w:sz="0" w:space="0" w:color="auto"/>
        <w:right w:val="none" w:sz="0" w:space="0" w:color="auto"/>
      </w:divBdr>
    </w:div>
    <w:div w:id="1140196256">
      <w:bodyDiv w:val="1"/>
      <w:marLeft w:val="0"/>
      <w:marRight w:val="0"/>
      <w:marTop w:val="0"/>
      <w:marBottom w:val="0"/>
      <w:divBdr>
        <w:top w:val="none" w:sz="0" w:space="0" w:color="auto"/>
        <w:left w:val="none" w:sz="0" w:space="0" w:color="auto"/>
        <w:bottom w:val="none" w:sz="0" w:space="0" w:color="auto"/>
        <w:right w:val="none" w:sz="0" w:space="0" w:color="auto"/>
      </w:divBdr>
      <w:divsChild>
        <w:div w:id="1348214344">
          <w:marLeft w:val="1166"/>
          <w:marRight w:val="0"/>
          <w:marTop w:val="96"/>
          <w:marBottom w:val="0"/>
          <w:divBdr>
            <w:top w:val="none" w:sz="0" w:space="0" w:color="auto"/>
            <w:left w:val="none" w:sz="0" w:space="0" w:color="auto"/>
            <w:bottom w:val="none" w:sz="0" w:space="0" w:color="auto"/>
            <w:right w:val="none" w:sz="0" w:space="0" w:color="auto"/>
          </w:divBdr>
        </w:div>
      </w:divsChild>
    </w:div>
    <w:div w:id="1193572824">
      <w:bodyDiv w:val="1"/>
      <w:marLeft w:val="0"/>
      <w:marRight w:val="0"/>
      <w:marTop w:val="0"/>
      <w:marBottom w:val="0"/>
      <w:divBdr>
        <w:top w:val="none" w:sz="0" w:space="0" w:color="auto"/>
        <w:left w:val="none" w:sz="0" w:space="0" w:color="auto"/>
        <w:bottom w:val="none" w:sz="0" w:space="0" w:color="auto"/>
        <w:right w:val="none" w:sz="0" w:space="0" w:color="auto"/>
      </w:divBdr>
    </w:div>
    <w:div w:id="1303579992">
      <w:bodyDiv w:val="1"/>
      <w:marLeft w:val="0"/>
      <w:marRight w:val="0"/>
      <w:marTop w:val="0"/>
      <w:marBottom w:val="0"/>
      <w:divBdr>
        <w:top w:val="none" w:sz="0" w:space="0" w:color="auto"/>
        <w:left w:val="none" w:sz="0" w:space="0" w:color="auto"/>
        <w:bottom w:val="none" w:sz="0" w:space="0" w:color="auto"/>
        <w:right w:val="none" w:sz="0" w:space="0" w:color="auto"/>
      </w:divBdr>
    </w:div>
    <w:div w:id="1382439122">
      <w:bodyDiv w:val="1"/>
      <w:marLeft w:val="0"/>
      <w:marRight w:val="0"/>
      <w:marTop w:val="0"/>
      <w:marBottom w:val="0"/>
      <w:divBdr>
        <w:top w:val="none" w:sz="0" w:space="0" w:color="auto"/>
        <w:left w:val="none" w:sz="0" w:space="0" w:color="auto"/>
        <w:bottom w:val="none" w:sz="0" w:space="0" w:color="auto"/>
        <w:right w:val="none" w:sz="0" w:space="0" w:color="auto"/>
      </w:divBdr>
    </w:div>
    <w:div w:id="1456484746">
      <w:bodyDiv w:val="1"/>
      <w:marLeft w:val="0"/>
      <w:marRight w:val="0"/>
      <w:marTop w:val="0"/>
      <w:marBottom w:val="0"/>
      <w:divBdr>
        <w:top w:val="none" w:sz="0" w:space="0" w:color="auto"/>
        <w:left w:val="none" w:sz="0" w:space="0" w:color="auto"/>
        <w:bottom w:val="none" w:sz="0" w:space="0" w:color="auto"/>
        <w:right w:val="none" w:sz="0" w:space="0" w:color="auto"/>
      </w:divBdr>
    </w:div>
    <w:div w:id="1556697000">
      <w:bodyDiv w:val="1"/>
      <w:marLeft w:val="0"/>
      <w:marRight w:val="0"/>
      <w:marTop w:val="0"/>
      <w:marBottom w:val="0"/>
      <w:divBdr>
        <w:top w:val="none" w:sz="0" w:space="0" w:color="auto"/>
        <w:left w:val="none" w:sz="0" w:space="0" w:color="auto"/>
        <w:bottom w:val="none" w:sz="0" w:space="0" w:color="auto"/>
        <w:right w:val="none" w:sz="0" w:space="0" w:color="auto"/>
      </w:divBdr>
    </w:div>
    <w:div w:id="1570848716">
      <w:bodyDiv w:val="1"/>
      <w:marLeft w:val="0"/>
      <w:marRight w:val="0"/>
      <w:marTop w:val="0"/>
      <w:marBottom w:val="0"/>
      <w:divBdr>
        <w:top w:val="none" w:sz="0" w:space="0" w:color="auto"/>
        <w:left w:val="none" w:sz="0" w:space="0" w:color="auto"/>
        <w:bottom w:val="none" w:sz="0" w:space="0" w:color="auto"/>
        <w:right w:val="none" w:sz="0" w:space="0" w:color="auto"/>
      </w:divBdr>
    </w:div>
    <w:div w:id="1699156681">
      <w:bodyDiv w:val="1"/>
      <w:marLeft w:val="0"/>
      <w:marRight w:val="0"/>
      <w:marTop w:val="0"/>
      <w:marBottom w:val="0"/>
      <w:divBdr>
        <w:top w:val="none" w:sz="0" w:space="0" w:color="auto"/>
        <w:left w:val="none" w:sz="0" w:space="0" w:color="auto"/>
        <w:bottom w:val="none" w:sz="0" w:space="0" w:color="auto"/>
        <w:right w:val="none" w:sz="0" w:space="0" w:color="auto"/>
      </w:divBdr>
    </w:div>
    <w:div w:id="1918248640">
      <w:bodyDiv w:val="1"/>
      <w:marLeft w:val="0"/>
      <w:marRight w:val="0"/>
      <w:marTop w:val="0"/>
      <w:marBottom w:val="0"/>
      <w:divBdr>
        <w:top w:val="none" w:sz="0" w:space="0" w:color="auto"/>
        <w:left w:val="none" w:sz="0" w:space="0" w:color="auto"/>
        <w:bottom w:val="none" w:sz="0" w:space="0" w:color="auto"/>
        <w:right w:val="none" w:sz="0" w:space="0" w:color="auto"/>
      </w:divBdr>
    </w:div>
    <w:div w:id="1977952917">
      <w:bodyDiv w:val="1"/>
      <w:marLeft w:val="0"/>
      <w:marRight w:val="0"/>
      <w:marTop w:val="0"/>
      <w:marBottom w:val="0"/>
      <w:divBdr>
        <w:top w:val="none" w:sz="0" w:space="0" w:color="auto"/>
        <w:left w:val="none" w:sz="0" w:space="0" w:color="auto"/>
        <w:bottom w:val="none" w:sz="0" w:space="0" w:color="auto"/>
        <w:right w:val="none" w:sz="0" w:space="0" w:color="auto"/>
      </w:divBdr>
    </w:div>
    <w:div w:id="203040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sv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svg"/><Relationship Id="rId31" Type="http://schemas.openxmlformats.org/officeDocument/2006/relationships/image" Target="media/image23.emf"/><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hyperlink" Target="https://www.orkestra.deusto.es/images/investigacion/publicaciones/informes/cuadernos-orkestra/redes-inteligentes-energia-electrica.pdf"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image" Target="media/image17.sv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emf"/></Relationships>
</file>

<file path=word/_rels/header1.xml.rels><?xml version="1.0" encoding="UTF-8" standalone="yes"?>
<Relationships xmlns="http://schemas.openxmlformats.org/package/2006/relationships"><Relationship Id="rId2" Type="http://schemas.openxmlformats.org/officeDocument/2006/relationships/image" Target="cid:image003.jpg@01D3F68A.EC3E6C30" TargetMode="External"/><Relationship Id="rId1"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137C04-C8D6-4FC0-8A80-C551252D084C}">
  <ds:schemaRefs>
    <ds:schemaRef ds:uri="http://schemas.openxmlformats.org/officeDocument/2006/bibliography"/>
  </ds:schemaRefs>
</ds:datastoreItem>
</file>

<file path=customXml/itemProps2.xml><?xml version="1.0" encoding="utf-8"?>
<ds:datastoreItem xmlns:ds="http://schemas.openxmlformats.org/officeDocument/2006/customXml" ds:itemID="{852326D0-C52C-414B-BBC7-4D667673C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40</Pages>
  <Words>15728</Words>
  <Characters>86505</Characters>
  <Application>Microsoft Office Word</Application>
  <DocSecurity>0</DocSecurity>
  <Lines>720</Lines>
  <Paragraphs>204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Bogotá, D</vt:lpstr>
      <vt:lpstr>Bogotá, D</vt:lpstr>
    </vt:vector>
  </TitlesOfParts>
  <Company>CODENSA S.A. ESP</Company>
  <LinksUpToDate>false</LinksUpToDate>
  <CharactersWithSpaces>102029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D</dc:title>
  <dc:subject/>
  <dc:creator>co80088469</dc:creator>
  <cp:keywords/>
  <dc:description/>
  <cp:lastModifiedBy>Marco Caro</cp:lastModifiedBy>
  <cp:revision>570</cp:revision>
  <cp:lastPrinted>2018-07-03T13:50:00Z</cp:lastPrinted>
  <dcterms:created xsi:type="dcterms:W3CDTF">2020-08-11T19:34:00Z</dcterms:created>
  <dcterms:modified xsi:type="dcterms:W3CDTF">2020-10-13T18:10:00Z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1985507961</vt:i4>
  </property>
  <property fmtid="{D5CDD505-2E9C-101B-9397-08002B2CF9AE}" pid="3" name="_ReviewCycleID">
    <vt:i4>1985507961</vt:i4>
  </property>
  <property fmtid="{D5CDD505-2E9C-101B-9397-08002B2CF9AE}" pid="4" name="_NewReviewCycle">
    <vt:lpwstr/>
  </property>
  <property fmtid="{D5CDD505-2E9C-101B-9397-08002B2CF9AE}" pid="5" name="_EmailEntryID">
    <vt:lpwstr>0000000068BCBEDC5D32F141A005092FEF99512384AA2100</vt:lpwstr>
  </property>
  <property fmtid="{D5CDD505-2E9C-101B-9397-08002B2CF9AE}" pid="6" name="_EmailStoreID0">
    <vt:lpwstr>0000000038A1BB1005E5101AA1BB08002B2A56C200006D737073742E646C6C00000000004E495441F9BFB80100AA0037D96E0000000043003A005C00550073006500720073005C0063006F00380030003100360035003500310032005C0044006F00630075006D0065006E00740073005C0063006F007200720065006F005C0</vt:lpwstr>
  </property>
  <property fmtid="{D5CDD505-2E9C-101B-9397-08002B2CF9AE}" pid="7" name="_EmailStoreID1">
    <vt:lpwstr>032003000310034002E007000730074000000</vt:lpwstr>
  </property>
  <property fmtid="{D5CDD505-2E9C-101B-9397-08002B2CF9AE}" pid="8" name="_EmailStoreID2">
    <vt:lpwstr>006D006100720069006F002E007000730074000000</vt:lpwstr>
  </property>
  <property fmtid="{D5CDD505-2E9C-101B-9397-08002B2CF9AE}" pid="9" name="_EmailStoreID">
    <vt:lpwstr>0000000038A1BB1005E5101AA1BB08002B2A56C200006D737073742E646C6C00000000004E495441F9BFB80100AA0037D96E0000000043003A005C0044005C0043006F007200720065006F005C0041006E00640072006500730020005200650079002E007000730074000000</vt:lpwstr>
  </property>
  <property fmtid="{D5CDD505-2E9C-101B-9397-08002B2CF9AE}" pid="10" name="_ReviewingToolsShownOnce">
    <vt:lpwstr/>
  </property>
</Properties>
</file>