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7C6982B5" w:rsidR="002639A4" w:rsidRPr="00CB7F58" w:rsidRDefault="00DD5FEF">
      <w:pPr>
        <w:jc w:val="both"/>
        <w:outlineLvl w:val="0"/>
        <w:rPr>
          <w:rFonts w:ascii="Montserrat" w:hAnsi="Montserrat"/>
          <w:sz w:val="22"/>
          <w:szCs w:val="22"/>
          <w:lang w:val="pt-BR"/>
        </w:rPr>
      </w:pPr>
      <w:r w:rsidRPr="00CB7F58">
        <w:rPr>
          <w:rFonts w:ascii="Montserrat" w:hAnsi="Montserrat"/>
          <w:sz w:val="22"/>
          <w:szCs w:val="22"/>
          <w:lang w:val="pt-BR"/>
        </w:rPr>
        <w:t>Bogotá, D.C.,</w:t>
      </w:r>
      <w:r w:rsidR="005D1661" w:rsidRPr="00CB7F58">
        <w:rPr>
          <w:rFonts w:ascii="Montserrat" w:hAnsi="Montserrat"/>
          <w:sz w:val="22"/>
          <w:szCs w:val="22"/>
          <w:lang w:val="pt-BR"/>
        </w:rPr>
        <w:t xml:space="preserve"> </w:t>
      </w:r>
      <w:r w:rsidR="00DC1D93" w:rsidRPr="00CB7F58">
        <w:rPr>
          <w:rFonts w:ascii="Montserrat" w:hAnsi="Montserrat"/>
          <w:sz w:val="22"/>
          <w:szCs w:val="22"/>
          <w:lang w:val="pt-BR"/>
        </w:rPr>
        <w:t>1</w:t>
      </w:r>
      <w:r w:rsidR="00167186">
        <w:rPr>
          <w:rFonts w:ascii="Montserrat" w:hAnsi="Montserrat"/>
          <w:sz w:val="22"/>
          <w:szCs w:val="22"/>
          <w:lang w:val="pt-BR"/>
        </w:rPr>
        <w:t>8</w:t>
      </w:r>
      <w:r w:rsidR="00DC1D93" w:rsidRPr="00CB7F58">
        <w:rPr>
          <w:rFonts w:ascii="Montserrat" w:hAnsi="Montserrat"/>
          <w:sz w:val="22"/>
          <w:szCs w:val="22"/>
          <w:lang w:val="pt-BR"/>
        </w:rPr>
        <w:t xml:space="preserve"> de agosto </w:t>
      </w:r>
      <w:r w:rsidR="00E22AD3" w:rsidRPr="00CB7F58">
        <w:rPr>
          <w:rFonts w:ascii="Montserrat" w:hAnsi="Montserrat"/>
          <w:sz w:val="22"/>
          <w:szCs w:val="22"/>
          <w:lang w:val="pt-BR"/>
        </w:rPr>
        <w:t>de 2023</w:t>
      </w:r>
    </w:p>
    <w:p w14:paraId="03AC334C" w14:textId="77777777" w:rsidR="002639A4" w:rsidRPr="00CB7F58" w:rsidRDefault="002639A4">
      <w:pPr>
        <w:jc w:val="both"/>
        <w:outlineLvl w:val="0"/>
        <w:rPr>
          <w:rFonts w:ascii="Montserrat" w:hAnsi="Montserrat"/>
          <w:sz w:val="22"/>
          <w:szCs w:val="22"/>
          <w:lang w:val="pt-BR"/>
        </w:rPr>
      </w:pPr>
    </w:p>
    <w:p w14:paraId="19B90546" w14:textId="77777777" w:rsidR="002639A4" w:rsidRPr="00CB7F58" w:rsidRDefault="002639A4">
      <w:pPr>
        <w:jc w:val="both"/>
        <w:outlineLvl w:val="0"/>
        <w:rPr>
          <w:rFonts w:ascii="Montserrat" w:hAnsi="Montserrat"/>
          <w:sz w:val="22"/>
          <w:szCs w:val="22"/>
          <w:lang w:val="pt-BR"/>
        </w:rPr>
      </w:pPr>
    </w:p>
    <w:p w14:paraId="6A0C1E74" w14:textId="77777777" w:rsidR="002639A4" w:rsidRDefault="00DD5FEF">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DD5FEF">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DD5FEF">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DD5FEF">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DD5FEF">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672D52CF" w14:textId="24E11E89" w:rsidR="00CB7F58" w:rsidRDefault="00DD5FEF"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w:t>
      </w:r>
      <w:r w:rsidR="00E22AD3">
        <w:rPr>
          <w:rFonts w:ascii="Montserrat" w:hAnsi="Montserrat"/>
          <w:sz w:val="22"/>
          <w:szCs w:val="22"/>
          <w:lang w:val="es-ES_tradnl"/>
        </w:rPr>
        <w:t>7</w:t>
      </w:r>
      <w:r w:rsidR="000C734F">
        <w:rPr>
          <w:rFonts w:ascii="Montserrat" w:hAnsi="Montserrat"/>
          <w:sz w:val="22"/>
          <w:szCs w:val="22"/>
          <w:lang w:val="es-ES_tradnl"/>
        </w:rPr>
        <w:t>1</w:t>
      </w:r>
      <w:r w:rsidR="00167186">
        <w:rPr>
          <w:rFonts w:ascii="Montserrat" w:hAnsi="Montserrat"/>
          <w:sz w:val="22"/>
          <w:szCs w:val="22"/>
          <w:lang w:val="es-ES_tradnl"/>
        </w:rPr>
        <w:t>2</w:t>
      </w:r>
      <w:r>
        <w:rPr>
          <w:rFonts w:ascii="Montserrat" w:hAnsi="Montserrat"/>
          <w:sz w:val="22"/>
          <w:szCs w:val="22"/>
          <w:lang w:val="es-ES_tradnl"/>
        </w:rPr>
        <w:t xml:space="preserve"> del CONSEJO NACIONAL DE OPERACIÓN CNO, bajo la modalidad de reunión no presencial, de conformidad con lo autorizado en el artículo 41 del 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w:t>
      </w:r>
      <w:r>
        <w:rPr>
          <w:rFonts w:ascii="Montserrat" w:hAnsi="Montserrat"/>
          <w:sz w:val="22"/>
          <w:szCs w:val="22"/>
          <w:lang w:val="es-ES_tradnl"/>
        </w:rPr>
        <w:t xml:space="preserve"> 1995, pongo a su consideración </w:t>
      </w:r>
      <w:r w:rsidR="00167186">
        <w:rPr>
          <w:rFonts w:ascii="Montserrat" w:hAnsi="Montserrat"/>
          <w:sz w:val="22"/>
          <w:szCs w:val="22"/>
          <w:lang w:val="es-ES_tradnl"/>
        </w:rPr>
        <w:t>el siguiente Acuerdo:</w:t>
      </w:r>
      <w:bookmarkStart w:id="0" w:name="_Hlk141428330"/>
    </w:p>
    <w:p w14:paraId="718BC021" w14:textId="77777777" w:rsidR="00167186" w:rsidRDefault="00167186" w:rsidP="00167186">
      <w:pPr>
        <w:jc w:val="both"/>
        <w:outlineLvl w:val="0"/>
        <w:rPr>
          <w:rFonts w:ascii="Montserrat" w:hAnsi="Montserrat"/>
          <w:sz w:val="22"/>
          <w:szCs w:val="22"/>
          <w:lang w:val="es-ES_tradnl"/>
        </w:rPr>
      </w:pPr>
    </w:p>
    <w:p w14:paraId="55986DC0" w14:textId="1C8BA1F3" w:rsidR="00167186" w:rsidRPr="00167186" w:rsidRDefault="00167186" w:rsidP="00167186">
      <w:pPr>
        <w:jc w:val="center"/>
        <w:outlineLvl w:val="0"/>
        <w:rPr>
          <w:rFonts w:ascii="Montserrat" w:hAnsi="Montserrat"/>
          <w:bCs/>
          <w:sz w:val="22"/>
          <w:szCs w:val="22"/>
          <w:lang w:val="es-ES_tradnl"/>
        </w:rPr>
      </w:pPr>
      <w:r>
        <w:rPr>
          <w:rFonts w:ascii="Montserrat" w:hAnsi="Montserrat"/>
          <w:bCs/>
          <w:sz w:val="22"/>
          <w:szCs w:val="22"/>
          <w:lang w:val="es-ES_tradnl"/>
        </w:rPr>
        <w:t>“</w:t>
      </w:r>
      <w:r w:rsidRPr="00167186">
        <w:rPr>
          <w:rFonts w:ascii="Montserrat" w:hAnsi="Montserrat"/>
          <w:bCs/>
          <w:sz w:val="22"/>
          <w:szCs w:val="22"/>
          <w:lang w:val="es-ES_tradnl"/>
        </w:rPr>
        <w:t>Por el cual se aprueba la actualización de las series hidrológicas de los ríos del SIN</w:t>
      </w:r>
    </w:p>
    <w:p w14:paraId="3BB03B81" w14:textId="77777777" w:rsidR="00167186" w:rsidRPr="00167186" w:rsidRDefault="00167186" w:rsidP="00167186">
      <w:pPr>
        <w:jc w:val="both"/>
        <w:outlineLvl w:val="0"/>
        <w:rPr>
          <w:rFonts w:ascii="Montserrat" w:hAnsi="Montserrat"/>
          <w:bCs/>
          <w:sz w:val="22"/>
          <w:szCs w:val="22"/>
          <w:lang w:val="es-ES_tradnl"/>
        </w:rPr>
      </w:pPr>
    </w:p>
    <w:p w14:paraId="659126FD" w14:textId="77777777" w:rsidR="00167186" w:rsidRDefault="00167186" w:rsidP="00167186">
      <w:pPr>
        <w:jc w:val="both"/>
        <w:outlineLvl w:val="0"/>
        <w:rPr>
          <w:rFonts w:ascii="Montserrat" w:hAnsi="Montserrat"/>
          <w:bCs/>
          <w:sz w:val="22"/>
          <w:szCs w:val="22"/>
          <w:lang w:val="es-ES_tradnl"/>
        </w:rPr>
      </w:pPr>
    </w:p>
    <w:p w14:paraId="72E7A51E" w14:textId="33D09FD9" w:rsidR="00167186" w:rsidRPr="00167186" w:rsidRDefault="00167186" w:rsidP="00167186">
      <w:pPr>
        <w:jc w:val="both"/>
        <w:outlineLvl w:val="0"/>
        <w:rPr>
          <w:rFonts w:ascii="Montserrat" w:hAnsi="Montserrat"/>
          <w:bCs/>
          <w:sz w:val="22"/>
          <w:szCs w:val="22"/>
          <w:lang w:val="es-ES_tradnl"/>
        </w:rPr>
      </w:pPr>
      <w:r w:rsidRPr="00167186">
        <w:rPr>
          <w:rFonts w:ascii="Montserrat" w:hAnsi="Montserrat"/>
          <w:bCs/>
          <w:sz w:val="22"/>
          <w:szCs w:val="22"/>
          <w:lang w:val="es-ES_tradnl"/>
        </w:rPr>
        <w:t>El Consejo Nacional de Operación en uso de sus facultades legales, en especial las conferidas en el Artículo 36 de la Ley 143 de 1994, el Anexo general de la Resolución CREG 025 de 1995 y su Reglamento Interno y según lo aprobado en la reunión no presencial No. XXX del XX de XXX de 2023 y,</w:t>
      </w:r>
    </w:p>
    <w:p w14:paraId="3BB66743" w14:textId="77777777" w:rsidR="00167186" w:rsidRPr="00167186" w:rsidRDefault="00167186" w:rsidP="00167186">
      <w:pPr>
        <w:jc w:val="both"/>
        <w:outlineLvl w:val="0"/>
        <w:rPr>
          <w:rFonts w:ascii="Montserrat" w:hAnsi="Montserrat"/>
          <w:bCs/>
          <w:sz w:val="22"/>
          <w:szCs w:val="22"/>
          <w:lang w:val="es-ES_tradnl"/>
        </w:rPr>
      </w:pPr>
    </w:p>
    <w:p w14:paraId="5FA43673" w14:textId="77777777" w:rsidR="00167186" w:rsidRDefault="00167186" w:rsidP="00167186">
      <w:pPr>
        <w:jc w:val="center"/>
        <w:outlineLvl w:val="0"/>
        <w:rPr>
          <w:rFonts w:ascii="Montserrat" w:hAnsi="Montserrat"/>
          <w:bCs/>
          <w:sz w:val="22"/>
          <w:szCs w:val="22"/>
          <w:lang w:val="es-ES_tradnl"/>
        </w:rPr>
      </w:pPr>
      <w:r w:rsidRPr="00167186">
        <w:rPr>
          <w:rFonts w:ascii="Montserrat" w:hAnsi="Montserrat"/>
          <w:bCs/>
          <w:sz w:val="22"/>
          <w:szCs w:val="22"/>
          <w:lang w:val="es-ES_tradnl"/>
        </w:rPr>
        <w:t>CONSIDERANDO</w:t>
      </w:r>
    </w:p>
    <w:p w14:paraId="4B7F5728" w14:textId="77777777" w:rsidR="00167186" w:rsidRPr="00167186" w:rsidRDefault="00167186" w:rsidP="00167186">
      <w:pPr>
        <w:jc w:val="center"/>
        <w:outlineLvl w:val="0"/>
        <w:rPr>
          <w:rFonts w:ascii="Montserrat" w:hAnsi="Montserrat"/>
          <w:bCs/>
          <w:sz w:val="22"/>
          <w:szCs w:val="22"/>
          <w:lang w:val="es-ES_tradnl"/>
        </w:rPr>
      </w:pPr>
    </w:p>
    <w:p w14:paraId="39C9D410" w14:textId="1CB6FFC0"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1. </w:t>
      </w:r>
      <w:r w:rsidRPr="00167186">
        <w:rPr>
          <w:rFonts w:ascii="Montserrat" w:hAnsi="Montserrat"/>
          <w:bCs/>
          <w:sz w:val="22"/>
          <w:szCs w:val="22"/>
          <w:lang w:val="es-ES_tradnl"/>
        </w:rPr>
        <w:t>Que mediante el Acuerdo CNO 1420 de 2021 se aprobaron los procedimientos para la oficialización, modificación, actualización y reporte de la información hidrológica de los ríos del SIN y los plazos de envío de la información hidrológica de los agentes generadores hidráulicos del SIN.</w:t>
      </w:r>
    </w:p>
    <w:p w14:paraId="0ED92E13" w14:textId="77777777" w:rsidR="00167186" w:rsidRPr="00167186" w:rsidRDefault="00167186" w:rsidP="00167186">
      <w:pPr>
        <w:jc w:val="both"/>
        <w:outlineLvl w:val="0"/>
        <w:rPr>
          <w:rFonts w:ascii="Montserrat" w:hAnsi="Montserrat"/>
          <w:bCs/>
          <w:sz w:val="22"/>
          <w:szCs w:val="22"/>
          <w:lang w:val="es-ES_tradnl"/>
        </w:rPr>
      </w:pPr>
    </w:p>
    <w:p w14:paraId="12BED57D" w14:textId="6ED00EC2"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2. </w:t>
      </w:r>
      <w:r w:rsidRPr="00167186">
        <w:rPr>
          <w:rFonts w:ascii="Montserrat" w:hAnsi="Montserrat"/>
          <w:bCs/>
          <w:sz w:val="22"/>
          <w:szCs w:val="22"/>
          <w:lang w:val="es-ES_tradnl"/>
        </w:rPr>
        <w:t>Que el numeral 5.3 del Acuerdo 1420 prevé el procedimiento de actualización anual de la Información Hidrológica Inicial e Histórica.</w:t>
      </w:r>
    </w:p>
    <w:p w14:paraId="3E10CB77" w14:textId="77777777" w:rsidR="00167186" w:rsidRPr="00167186" w:rsidRDefault="00167186" w:rsidP="00167186">
      <w:pPr>
        <w:jc w:val="both"/>
        <w:outlineLvl w:val="0"/>
        <w:rPr>
          <w:rFonts w:ascii="Montserrat" w:hAnsi="Montserrat"/>
          <w:bCs/>
          <w:sz w:val="22"/>
          <w:szCs w:val="22"/>
          <w:lang w:val="es-ES_tradnl"/>
        </w:rPr>
      </w:pPr>
    </w:p>
    <w:p w14:paraId="19A4F58F" w14:textId="67B73A39"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3. </w:t>
      </w:r>
      <w:r w:rsidRPr="00167186">
        <w:rPr>
          <w:rFonts w:ascii="Montserrat" w:hAnsi="Montserrat"/>
          <w:bCs/>
          <w:sz w:val="22"/>
          <w:szCs w:val="22"/>
          <w:lang w:val="es-ES_tradnl"/>
        </w:rPr>
        <w:t xml:space="preserve">Que mediante el Acuerdo 1707 del 6 de julio de 2023 se aprobó la ampliación del plazo de entrega de la información hidrológica asociada a la central </w:t>
      </w:r>
      <w:proofErr w:type="spellStart"/>
      <w:r w:rsidRPr="00167186">
        <w:rPr>
          <w:rFonts w:ascii="Montserrat" w:hAnsi="Montserrat"/>
          <w:bCs/>
          <w:sz w:val="22"/>
          <w:szCs w:val="22"/>
          <w:lang w:val="es-ES_tradnl"/>
        </w:rPr>
        <w:t>Amoyá</w:t>
      </w:r>
      <w:proofErr w:type="spellEnd"/>
      <w:r w:rsidRPr="00167186">
        <w:rPr>
          <w:rFonts w:ascii="Montserrat" w:hAnsi="Montserrat"/>
          <w:bCs/>
          <w:sz w:val="22"/>
          <w:szCs w:val="22"/>
          <w:lang w:val="es-ES_tradnl"/>
        </w:rPr>
        <w:t xml:space="preserve"> La Esperanza, para el periodo 2022 - 2023, hasta el 31 de enero de 2024.</w:t>
      </w:r>
    </w:p>
    <w:p w14:paraId="686D2712" w14:textId="77777777" w:rsidR="00167186" w:rsidRPr="00167186" w:rsidRDefault="00167186" w:rsidP="00167186">
      <w:pPr>
        <w:jc w:val="both"/>
        <w:outlineLvl w:val="0"/>
        <w:rPr>
          <w:rFonts w:ascii="Montserrat" w:hAnsi="Montserrat"/>
          <w:bCs/>
          <w:sz w:val="22"/>
          <w:szCs w:val="22"/>
          <w:lang w:val="es-ES_tradnl"/>
        </w:rPr>
      </w:pPr>
    </w:p>
    <w:p w14:paraId="6B4FB2AD" w14:textId="66F78764"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4. </w:t>
      </w:r>
      <w:r w:rsidRPr="00167186">
        <w:rPr>
          <w:rFonts w:ascii="Montserrat" w:hAnsi="Montserrat"/>
          <w:bCs/>
          <w:sz w:val="22"/>
          <w:szCs w:val="22"/>
          <w:lang w:val="es-ES_tradnl"/>
        </w:rPr>
        <w:t>Que mediante el Acuerdo 1708 del 2023 se amplió el plazo para la entrega de la actualización de la serie de caudales medios de la planta Ituango, para el periodo 2022 - 2023, hasta el 30 de septiembre de 2023.</w:t>
      </w:r>
    </w:p>
    <w:p w14:paraId="6B867C4C" w14:textId="77777777" w:rsidR="00167186" w:rsidRPr="00167186" w:rsidRDefault="00167186" w:rsidP="00167186">
      <w:pPr>
        <w:jc w:val="both"/>
        <w:outlineLvl w:val="0"/>
        <w:rPr>
          <w:rFonts w:ascii="Montserrat" w:hAnsi="Montserrat"/>
          <w:bCs/>
          <w:sz w:val="22"/>
          <w:szCs w:val="22"/>
          <w:lang w:val="es-ES_tradnl"/>
        </w:rPr>
      </w:pPr>
    </w:p>
    <w:p w14:paraId="4B8CD3EE" w14:textId="072A67F5"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5. </w:t>
      </w:r>
      <w:r w:rsidRPr="00167186">
        <w:rPr>
          <w:rFonts w:ascii="Montserrat" w:hAnsi="Montserrat"/>
          <w:bCs/>
          <w:sz w:val="22"/>
          <w:szCs w:val="22"/>
          <w:lang w:val="es-ES_tradnl"/>
        </w:rPr>
        <w:t xml:space="preserve">Que en cumplimiento del Acuerdo 1420, las empresas EPM, ISAGEN, AES COLOMBIA, CELSIA, URRÁ, ENEL COLOMBIA e HIDRALPOR, entregaron al CND, al Subcomité de Recursos Energéticos Renovables (SURER) y al CNO, la información de caudales medios mensuales del periodo comprendido entre MAYO del año 2022 y ABRIL de 2023 de las siguientes series: Concepción, Grande2, Guadalupe, Guatapé, </w:t>
      </w:r>
      <w:proofErr w:type="spellStart"/>
      <w:r w:rsidRPr="00167186">
        <w:rPr>
          <w:rFonts w:ascii="Montserrat" w:hAnsi="Montserrat"/>
          <w:bCs/>
          <w:sz w:val="22"/>
          <w:szCs w:val="22"/>
          <w:lang w:val="es-ES_tradnl"/>
        </w:rPr>
        <w:t>NareCP</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Tenche</w:t>
      </w:r>
      <w:proofErr w:type="spellEnd"/>
      <w:r w:rsidRPr="00167186">
        <w:rPr>
          <w:rFonts w:ascii="Montserrat" w:hAnsi="Montserrat"/>
          <w:bCs/>
          <w:sz w:val="22"/>
          <w:szCs w:val="22"/>
          <w:lang w:val="es-ES_tradnl"/>
        </w:rPr>
        <w:t xml:space="preserve">, Porce2CP, Porce3, Nechí, Pajarito, Dolores, </w:t>
      </w:r>
      <w:proofErr w:type="spellStart"/>
      <w:r w:rsidRPr="00167186">
        <w:rPr>
          <w:rFonts w:ascii="Montserrat" w:hAnsi="Montserrat"/>
          <w:bCs/>
          <w:sz w:val="22"/>
          <w:szCs w:val="22"/>
          <w:lang w:val="es-ES_tradnl"/>
        </w:rPr>
        <w:t>Quebradona</w:t>
      </w:r>
      <w:proofErr w:type="spellEnd"/>
      <w:r w:rsidRPr="00167186">
        <w:rPr>
          <w:rFonts w:ascii="Montserrat" w:hAnsi="Montserrat"/>
          <w:bCs/>
          <w:sz w:val="22"/>
          <w:szCs w:val="22"/>
          <w:lang w:val="es-ES_tradnl"/>
        </w:rPr>
        <w:t xml:space="preserve">, Cañasgordas, San Carlos, San Lorenzo, Miel1, </w:t>
      </w:r>
      <w:proofErr w:type="spellStart"/>
      <w:r w:rsidRPr="00167186">
        <w:rPr>
          <w:rFonts w:ascii="Montserrat" w:hAnsi="Montserrat"/>
          <w:bCs/>
          <w:sz w:val="22"/>
          <w:szCs w:val="22"/>
          <w:lang w:val="es-ES_tradnl"/>
        </w:rPr>
        <w:t>Guarinó</w:t>
      </w:r>
      <w:proofErr w:type="spellEnd"/>
      <w:r w:rsidRPr="00167186">
        <w:rPr>
          <w:rFonts w:ascii="Montserrat" w:hAnsi="Montserrat"/>
          <w:bCs/>
          <w:sz w:val="22"/>
          <w:szCs w:val="22"/>
          <w:lang w:val="es-ES_tradnl"/>
        </w:rPr>
        <w:t xml:space="preserve">, Manso, Sogamoso, San Miguel, Batá, Rucio, Negro, </w:t>
      </w:r>
      <w:proofErr w:type="spellStart"/>
      <w:r w:rsidRPr="00167186">
        <w:rPr>
          <w:rFonts w:ascii="Montserrat" w:hAnsi="Montserrat"/>
          <w:bCs/>
          <w:sz w:val="22"/>
          <w:szCs w:val="22"/>
          <w:lang w:val="es-ES_tradnl"/>
        </w:rPr>
        <w:t>Tunjita</w:t>
      </w:r>
      <w:proofErr w:type="spellEnd"/>
      <w:r w:rsidRPr="00167186">
        <w:rPr>
          <w:rFonts w:ascii="Montserrat" w:hAnsi="Montserrat"/>
          <w:bCs/>
          <w:sz w:val="22"/>
          <w:szCs w:val="22"/>
          <w:lang w:val="es-ES_tradnl"/>
        </w:rPr>
        <w:t xml:space="preserve">, Salvajina, Alto Anchicayá, Calima, </w:t>
      </w:r>
      <w:proofErr w:type="spellStart"/>
      <w:r w:rsidRPr="00167186">
        <w:rPr>
          <w:rFonts w:ascii="Montserrat" w:hAnsi="Montserrat"/>
          <w:bCs/>
          <w:sz w:val="22"/>
          <w:szCs w:val="22"/>
          <w:lang w:val="es-ES_tradnl"/>
        </w:rPr>
        <w:t>Digua</w:t>
      </w:r>
      <w:proofErr w:type="spellEnd"/>
      <w:r w:rsidRPr="00167186">
        <w:rPr>
          <w:rFonts w:ascii="Montserrat" w:hAnsi="Montserrat"/>
          <w:bCs/>
          <w:sz w:val="22"/>
          <w:szCs w:val="22"/>
          <w:lang w:val="es-ES_tradnl"/>
        </w:rPr>
        <w:t xml:space="preserve">, Prado, Cucuana, San Marcos, Chinchiná, Campoalegre, </w:t>
      </w:r>
      <w:proofErr w:type="spellStart"/>
      <w:r w:rsidRPr="00167186">
        <w:rPr>
          <w:rFonts w:ascii="Montserrat" w:hAnsi="Montserrat"/>
          <w:bCs/>
          <w:sz w:val="22"/>
          <w:szCs w:val="22"/>
          <w:lang w:val="es-ES_tradnl"/>
        </w:rPr>
        <w:t>Faguacampoalegre</w:t>
      </w:r>
      <w:proofErr w:type="spellEnd"/>
      <w:r w:rsidRPr="00167186">
        <w:rPr>
          <w:rFonts w:ascii="Montserrat" w:hAnsi="Montserrat"/>
          <w:bCs/>
          <w:sz w:val="22"/>
          <w:szCs w:val="22"/>
          <w:lang w:val="es-ES_tradnl"/>
        </w:rPr>
        <w:t xml:space="preserve"> (San Eugenio), Estrella, San Francisco, </w:t>
      </w:r>
      <w:proofErr w:type="spellStart"/>
      <w:r w:rsidRPr="00167186">
        <w:rPr>
          <w:rFonts w:ascii="Montserrat" w:hAnsi="Montserrat"/>
          <w:bCs/>
          <w:sz w:val="22"/>
          <w:szCs w:val="22"/>
          <w:lang w:val="es-ES_tradnl"/>
        </w:rPr>
        <w:t>Urrá</w:t>
      </w:r>
      <w:proofErr w:type="spellEnd"/>
      <w:r w:rsidRPr="00167186">
        <w:rPr>
          <w:rFonts w:ascii="Montserrat" w:hAnsi="Montserrat"/>
          <w:bCs/>
          <w:sz w:val="22"/>
          <w:szCs w:val="22"/>
          <w:lang w:val="es-ES_tradnl"/>
        </w:rPr>
        <w:t xml:space="preserve">, Chuza, </w:t>
      </w:r>
      <w:proofErr w:type="spellStart"/>
      <w:r w:rsidRPr="00167186">
        <w:rPr>
          <w:rFonts w:ascii="Montserrat" w:hAnsi="Montserrat"/>
          <w:bCs/>
          <w:sz w:val="22"/>
          <w:szCs w:val="22"/>
          <w:lang w:val="es-ES_tradnl"/>
        </w:rPr>
        <w:t>Faguaalicachín</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Tominé</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Sisga</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Neusa</w:t>
      </w:r>
      <w:proofErr w:type="spellEnd"/>
      <w:r w:rsidRPr="00167186">
        <w:rPr>
          <w:rFonts w:ascii="Montserrat" w:hAnsi="Montserrat"/>
          <w:bCs/>
          <w:sz w:val="22"/>
          <w:szCs w:val="22"/>
          <w:lang w:val="es-ES_tradnl"/>
        </w:rPr>
        <w:t>, Baraya (</w:t>
      </w:r>
      <w:proofErr w:type="spellStart"/>
      <w:r w:rsidRPr="00167186">
        <w:rPr>
          <w:rFonts w:ascii="Montserrat" w:hAnsi="Montserrat"/>
          <w:bCs/>
          <w:sz w:val="22"/>
          <w:szCs w:val="22"/>
          <w:lang w:val="es-ES_tradnl"/>
        </w:rPr>
        <w:t>Saucio</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Checua</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Teusacá</w:t>
      </w:r>
      <w:proofErr w:type="spellEnd"/>
      <w:r w:rsidRPr="00167186">
        <w:rPr>
          <w:rFonts w:ascii="Montserrat" w:hAnsi="Montserrat"/>
          <w:bCs/>
          <w:sz w:val="22"/>
          <w:szCs w:val="22"/>
          <w:lang w:val="es-ES_tradnl"/>
        </w:rPr>
        <w:t>, río Blanco, Bogotá NR, El Quimbo, Guavio, Batatas, Chivor, Betania CP, Carlos Lleras Restrepo y Escuela de Minas.</w:t>
      </w:r>
    </w:p>
    <w:p w14:paraId="74AB321E" w14:textId="77777777" w:rsidR="00167186" w:rsidRPr="00167186" w:rsidRDefault="00167186" w:rsidP="00167186">
      <w:pPr>
        <w:jc w:val="both"/>
        <w:outlineLvl w:val="0"/>
        <w:rPr>
          <w:rFonts w:ascii="Montserrat" w:hAnsi="Montserrat"/>
          <w:bCs/>
          <w:sz w:val="22"/>
          <w:szCs w:val="22"/>
          <w:lang w:val="es-ES_tradnl"/>
        </w:rPr>
      </w:pPr>
    </w:p>
    <w:p w14:paraId="51AC0975" w14:textId="1D736B83"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6. </w:t>
      </w:r>
      <w:r w:rsidRPr="00167186">
        <w:rPr>
          <w:rFonts w:ascii="Montserrat" w:hAnsi="Montserrat"/>
          <w:bCs/>
          <w:sz w:val="22"/>
          <w:szCs w:val="22"/>
          <w:lang w:val="es-ES_tradnl"/>
        </w:rPr>
        <w:t>Que EPM entregó la información de la actualización de la serie hidrológica Ituango CP</w:t>
      </w:r>
      <w:r>
        <w:rPr>
          <w:rFonts w:ascii="Montserrat" w:hAnsi="Montserrat"/>
          <w:bCs/>
          <w:sz w:val="22"/>
          <w:szCs w:val="22"/>
          <w:lang w:val="es-ES_tradnl"/>
        </w:rPr>
        <w:t>,</w:t>
      </w:r>
      <w:r w:rsidRPr="00167186">
        <w:rPr>
          <w:rFonts w:ascii="Montserrat" w:hAnsi="Montserrat"/>
          <w:bCs/>
          <w:sz w:val="22"/>
          <w:szCs w:val="22"/>
          <w:lang w:val="es-ES_tradnl"/>
        </w:rPr>
        <w:t xml:space="preserve"> antes de finalizar el plazo de la ampliación prevista en el Acuerdo 1708 de 2023.</w:t>
      </w:r>
    </w:p>
    <w:p w14:paraId="4FF39E6D" w14:textId="77777777" w:rsidR="00167186" w:rsidRPr="00167186" w:rsidRDefault="00167186" w:rsidP="00167186">
      <w:pPr>
        <w:jc w:val="both"/>
        <w:outlineLvl w:val="0"/>
        <w:rPr>
          <w:rFonts w:ascii="Montserrat" w:hAnsi="Montserrat"/>
          <w:bCs/>
          <w:sz w:val="22"/>
          <w:szCs w:val="22"/>
          <w:lang w:val="es-ES_tradnl"/>
        </w:rPr>
      </w:pPr>
    </w:p>
    <w:p w14:paraId="4E9BAFFA" w14:textId="43156B26"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7. </w:t>
      </w:r>
      <w:r w:rsidRPr="00167186">
        <w:rPr>
          <w:rFonts w:ascii="Montserrat" w:hAnsi="Montserrat"/>
          <w:bCs/>
          <w:sz w:val="22"/>
          <w:szCs w:val="22"/>
          <w:lang w:val="es-ES_tradnl"/>
        </w:rPr>
        <w:t>Que en la reunión 501 del 9 de agosto de 2023 XM solicitó a ISAGEN el envío de la actualización de las series hidrológicas Calderas y Tafetanes</w:t>
      </w:r>
      <w:r>
        <w:rPr>
          <w:rFonts w:ascii="Montserrat" w:hAnsi="Montserrat"/>
          <w:bCs/>
          <w:sz w:val="22"/>
          <w:szCs w:val="22"/>
          <w:lang w:val="es-ES_tradnl"/>
        </w:rPr>
        <w:t>, las cuales efectivamente fueron enviadas e incluidas en el Anexo del presente Acuerdo.</w:t>
      </w:r>
    </w:p>
    <w:p w14:paraId="45BAF831" w14:textId="77777777" w:rsidR="00167186" w:rsidRPr="00167186" w:rsidRDefault="00167186" w:rsidP="00167186">
      <w:pPr>
        <w:jc w:val="both"/>
        <w:outlineLvl w:val="0"/>
        <w:rPr>
          <w:rFonts w:ascii="Montserrat" w:hAnsi="Montserrat"/>
          <w:bCs/>
          <w:sz w:val="22"/>
          <w:szCs w:val="22"/>
          <w:lang w:val="es-ES_tradnl"/>
        </w:rPr>
      </w:pPr>
    </w:p>
    <w:p w14:paraId="3F19679B" w14:textId="70125EED"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8. </w:t>
      </w:r>
      <w:r w:rsidRPr="00167186">
        <w:rPr>
          <w:rFonts w:ascii="Montserrat" w:hAnsi="Montserrat"/>
          <w:bCs/>
          <w:sz w:val="22"/>
          <w:szCs w:val="22"/>
          <w:lang w:val="es-ES_tradnl"/>
        </w:rPr>
        <w:t xml:space="preserve">Que el Subcomité de Recursos Energéticos Renovables (SURER) en la reunión ordinaria 501 del 9 de agosto de 2023 conceptuó que las empresas mencionadas en el considerando quinto cumplieron satisfactoriamente con el procedimiento de actualización de información hidrológica, establecido por el CNO mediante Acuerdo CNO 1420 y avalaron las series que se encuentran en el Anexo del presente Acuerdo. </w:t>
      </w:r>
    </w:p>
    <w:p w14:paraId="4CA88D75" w14:textId="77777777" w:rsidR="00167186" w:rsidRPr="00167186" w:rsidRDefault="00167186" w:rsidP="00167186">
      <w:pPr>
        <w:jc w:val="both"/>
        <w:outlineLvl w:val="0"/>
        <w:rPr>
          <w:rFonts w:ascii="Montserrat" w:hAnsi="Montserrat"/>
          <w:bCs/>
          <w:sz w:val="22"/>
          <w:szCs w:val="22"/>
          <w:lang w:val="es-ES_tradnl"/>
        </w:rPr>
      </w:pPr>
    </w:p>
    <w:p w14:paraId="4DE270D3" w14:textId="1B5EEA69"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9. </w:t>
      </w:r>
      <w:r w:rsidRPr="00167186">
        <w:rPr>
          <w:rFonts w:ascii="Montserrat" w:hAnsi="Montserrat"/>
          <w:bCs/>
          <w:sz w:val="22"/>
          <w:szCs w:val="22"/>
          <w:lang w:val="es-ES_tradnl"/>
        </w:rPr>
        <w:t xml:space="preserve">Que el Comité de Operación en la reunión extraordinaria </w:t>
      </w:r>
      <w:r>
        <w:rPr>
          <w:rFonts w:ascii="Montserrat" w:hAnsi="Montserrat"/>
          <w:bCs/>
          <w:sz w:val="22"/>
          <w:szCs w:val="22"/>
          <w:lang w:val="es-ES_tradnl"/>
        </w:rPr>
        <w:t>412</w:t>
      </w:r>
      <w:r w:rsidRPr="00167186">
        <w:rPr>
          <w:rFonts w:ascii="Montserrat" w:hAnsi="Montserrat"/>
          <w:bCs/>
          <w:sz w:val="22"/>
          <w:szCs w:val="22"/>
          <w:lang w:val="es-ES_tradnl"/>
        </w:rPr>
        <w:t xml:space="preserve"> del 17 de agosto de 2023 recomendó al Consejo la expedición del presente Acuerdo.</w:t>
      </w:r>
    </w:p>
    <w:p w14:paraId="030F3E13" w14:textId="77777777" w:rsidR="00167186" w:rsidRPr="00167186" w:rsidRDefault="00167186" w:rsidP="00167186">
      <w:pPr>
        <w:jc w:val="both"/>
        <w:outlineLvl w:val="0"/>
        <w:rPr>
          <w:rFonts w:ascii="Montserrat" w:hAnsi="Montserrat"/>
          <w:bCs/>
          <w:sz w:val="22"/>
          <w:szCs w:val="22"/>
          <w:lang w:val="es-ES_tradnl"/>
        </w:rPr>
      </w:pPr>
    </w:p>
    <w:p w14:paraId="7ACD1632" w14:textId="7407925D" w:rsidR="00167186" w:rsidRPr="00167186" w:rsidRDefault="00167186" w:rsidP="00167186">
      <w:pPr>
        <w:jc w:val="both"/>
        <w:outlineLvl w:val="0"/>
        <w:rPr>
          <w:rFonts w:ascii="Montserrat" w:hAnsi="Montserrat"/>
          <w:bCs/>
          <w:sz w:val="22"/>
          <w:szCs w:val="22"/>
          <w:lang w:val="es-ES_tradnl"/>
        </w:rPr>
      </w:pPr>
    </w:p>
    <w:p w14:paraId="28D97E52" w14:textId="77777777" w:rsidR="00167186" w:rsidRDefault="00167186" w:rsidP="00167186">
      <w:pPr>
        <w:jc w:val="center"/>
        <w:outlineLvl w:val="0"/>
        <w:rPr>
          <w:rFonts w:ascii="Montserrat" w:hAnsi="Montserrat"/>
          <w:bCs/>
          <w:sz w:val="22"/>
          <w:szCs w:val="22"/>
          <w:lang w:val="es-ES_tradnl"/>
        </w:rPr>
      </w:pPr>
      <w:r w:rsidRPr="00167186">
        <w:rPr>
          <w:rFonts w:ascii="Montserrat" w:hAnsi="Montserrat"/>
          <w:bCs/>
          <w:sz w:val="22"/>
          <w:szCs w:val="22"/>
          <w:lang w:val="es-ES_tradnl"/>
        </w:rPr>
        <w:t>ACUERDA:</w:t>
      </w:r>
    </w:p>
    <w:p w14:paraId="1A2755B8" w14:textId="77777777" w:rsidR="00167186" w:rsidRPr="00167186" w:rsidRDefault="00167186" w:rsidP="00167186">
      <w:pPr>
        <w:jc w:val="center"/>
        <w:outlineLvl w:val="0"/>
        <w:rPr>
          <w:rFonts w:ascii="Montserrat" w:hAnsi="Montserrat"/>
          <w:bCs/>
          <w:sz w:val="22"/>
          <w:szCs w:val="22"/>
          <w:lang w:val="es-ES_tradnl"/>
        </w:rPr>
      </w:pPr>
    </w:p>
    <w:p w14:paraId="3ACFC776" w14:textId="43E3A321"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1. </w:t>
      </w:r>
      <w:r w:rsidRPr="00167186">
        <w:rPr>
          <w:rFonts w:ascii="Montserrat" w:hAnsi="Montserrat"/>
          <w:bCs/>
          <w:sz w:val="22"/>
          <w:szCs w:val="22"/>
          <w:lang w:val="es-ES_tradnl"/>
        </w:rPr>
        <w:t>Aprobar la actualización del periodo mayo 2022 – abril 2023 de las series hidrológicas</w:t>
      </w:r>
      <w:r>
        <w:rPr>
          <w:rFonts w:ascii="Montserrat" w:hAnsi="Montserrat"/>
          <w:bCs/>
          <w:sz w:val="22"/>
          <w:szCs w:val="22"/>
          <w:lang w:val="es-ES_tradnl"/>
        </w:rPr>
        <w:t xml:space="preserve">: </w:t>
      </w:r>
      <w:r w:rsidRPr="00167186">
        <w:rPr>
          <w:rFonts w:ascii="Montserrat" w:hAnsi="Montserrat"/>
          <w:bCs/>
          <w:sz w:val="22"/>
          <w:szCs w:val="22"/>
          <w:lang w:val="es-ES_tradnl"/>
        </w:rPr>
        <w:t xml:space="preserve">Concepción, Grande2, Guadalupe, Guatapé, </w:t>
      </w:r>
      <w:proofErr w:type="spellStart"/>
      <w:r w:rsidRPr="00167186">
        <w:rPr>
          <w:rFonts w:ascii="Montserrat" w:hAnsi="Montserrat"/>
          <w:bCs/>
          <w:sz w:val="22"/>
          <w:szCs w:val="22"/>
          <w:lang w:val="es-ES_tradnl"/>
        </w:rPr>
        <w:t>NareCP</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Tenche</w:t>
      </w:r>
      <w:proofErr w:type="spellEnd"/>
      <w:r w:rsidRPr="00167186">
        <w:rPr>
          <w:rFonts w:ascii="Montserrat" w:hAnsi="Montserrat"/>
          <w:bCs/>
          <w:sz w:val="22"/>
          <w:szCs w:val="22"/>
          <w:lang w:val="es-ES_tradnl"/>
        </w:rPr>
        <w:t xml:space="preserve">, Porce2CP, Porce3, Ituango CP, Nechí, Pajarito, Dolores, </w:t>
      </w:r>
      <w:proofErr w:type="spellStart"/>
      <w:r w:rsidRPr="00167186">
        <w:rPr>
          <w:rFonts w:ascii="Montserrat" w:hAnsi="Montserrat"/>
          <w:bCs/>
          <w:sz w:val="22"/>
          <w:szCs w:val="22"/>
          <w:lang w:val="es-ES_tradnl"/>
        </w:rPr>
        <w:t>Quebradona</w:t>
      </w:r>
      <w:proofErr w:type="spellEnd"/>
      <w:r w:rsidRPr="00167186">
        <w:rPr>
          <w:rFonts w:ascii="Montserrat" w:hAnsi="Montserrat"/>
          <w:bCs/>
          <w:sz w:val="22"/>
          <w:szCs w:val="22"/>
          <w:lang w:val="es-ES_tradnl"/>
        </w:rPr>
        <w:t xml:space="preserve">, Cañasgordas, San Carlos, Calderas, Tafetanes, San Lorenzo, Miel1, </w:t>
      </w:r>
      <w:proofErr w:type="spellStart"/>
      <w:r w:rsidRPr="00167186">
        <w:rPr>
          <w:rFonts w:ascii="Montserrat" w:hAnsi="Montserrat"/>
          <w:bCs/>
          <w:sz w:val="22"/>
          <w:szCs w:val="22"/>
          <w:lang w:val="es-ES_tradnl"/>
        </w:rPr>
        <w:t>Guarinó</w:t>
      </w:r>
      <w:proofErr w:type="spellEnd"/>
      <w:r w:rsidRPr="00167186">
        <w:rPr>
          <w:rFonts w:ascii="Montserrat" w:hAnsi="Montserrat"/>
          <w:bCs/>
          <w:sz w:val="22"/>
          <w:szCs w:val="22"/>
          <w:lang w:val="es-ES_tradnl"/>
        </w:rPr>
        <w:t xml:space="preserve">, Manso, Sogamoso, San Miguel, Batá, Rucio, Negro, </w:t>
      </w:r>
      <w:proofErr w:type="spellStart"/>
      <w:r w:rsidRPr="00167186">
        <w:rPr>
          <w:rFonts w:ascii="Montserrat" w:hAnsi="Montserrat"/>
          <w:bCs/>
          <w:sz w:val="22"/>
          <w:szCs w:val="22"/>
          <w:lang w:val="es-ES_tradnl"/>
        </w:rPr>
        <w:t>Tunjita</w:t>
      </w:r>
      <w:proofErr w:type="spellEnd"/>
      <w:r w:rsidRPr="00167186">
        <w:rPr>
          <w:rFonts w:ascii="Montserrat" w:hAnsi="Montserrat"/>
          <w:bCs/>
          <w:sz w:val="22"/>
          <w:szCs w:val="22"/>
          <w:lang w:val="es-ES_tradnl"/>
        </w:rPr>
        <w:t xml:space="preserve">, Salvajina, Alto Anchicayá, Calima, </w:t>
      </w:r>
      <w:proofErr w:type="spellStart"/>
      <w:r w:rsidRPr="00167186">
        <w:rPr>
          <w:rFonts w:ascii="Montserrat" w:hAnsi="Montserrat"/>
          <w:bCs/>
          <w:sz w:val="22"/>
          <w:szCs w:val="22"/>
          <w:lang w:val="es-ES_tradnl"/>
        </w:rPr>
        <w:t>Digua</w:t>
      </w:r>
      <w:proofErr w:type="spellEnd"/>
      <w:r w:rsidRPr="00167186">
        <w:rPr>
          <w:rFonts w:ascii="Montserrat" w:hAnsi="Montserrat"/>
          <w:bCs/>
          <w:sz w:val="22"/>
          <w:szCs w:val="22"/>
          <w:lang w:val="es-ES_tradnl"/>
        </w:rPr>
        <w:t xml:space="preserve">, Prado, Cucuana, San Marcos, Chinchiná, Campoalegre, </w:t>
      </w:r>
      <w:proofErr w:type="spellStart"/>
      <w:r w:rsidRPr="00167186">
        <w:rPr>
          <w:rFonts w:ascii="Montserrat" w:hAnsi="Montserrat"/>
          <w:bCs/>
          <w:sz w:val="22"/>
          <w:szCs w:val="22"/>
          <w:lang w:val="es-ES_tradnl"/>
        </w:rPr>
        <w:t>Faguacampoalegre</w:t>
      </w:r>
      <w:proofErr w:type="spellEnd"/>
      <w:r w:rsidRPr="00167186">
        <w:rPr>
          <w:rFonts w:ascii="Montserrat" w:hAnsi="Montserrat"/>
          <w:bCs/>
          <w:sz w:val="22"/>
          <w:szCs w:val="22"/>
          <w:lang w:val="es-ES_tradnl"/>
        </w:rPr>
        <w:t xml:space="preserve"> (San Eugenio), Estrella, San Francisco, </w:t>
      </w:r>
      <w:proofErr w:type="spellStart"/>
      <w:r w:rsidRPr="00167186">
        <w:rPr>
          <w:rFonts w:ascii="Montserrat" w:hAnsi="Montserrat"/>
          <w:bCs/>
          <w:sz w:val="22"/>
          <w:szCs w:val="22"/>
          <w:lang w:val="es-ES_tradnl"/>
        </w:rPr>
        <w:t>Urrá</w:t>
      </w:r>
      <w:proofErr w:type="spellEnd"/>
      <w:r w:rsidRPr="00167186">
        <w:rPr>
          <w:rFonts w:ascii="Montserrat" w:hAnsi="Montserrat"/>
          <w:bCs/>
          <w:sz w:val="22"/>
          <w:szCs w:val="22"/>
          <w:lang w:val="es-ES_tradnl"/>
        </w:rPr>
        <w:t xml:space="preserve">, Chuza, </w:t>
      </w:r>
      <w:proofErr w:type="spellStart"/>
      <w:r w:rsidRPr="00167186">
        <w:rPr>
          <w:rFonts w:ascii="Montserrat" w:hAnsi="Montserrat"/>
          <w:bCs/>
          <w:sz w:val="22"/>
          <w:szCs w:val="22"/>
          <w:lang w:val="es-ES_tradnl"/>
        </w:rPr>
        <w:t>Faguaalicachín</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Tominé</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Sisga</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Neusa</w:t>
      </w:r>
      <w:proofErr w:type="spellEnd"/>
      <w:r w:rsidRPr="00167186">
        <w:rPr>
          <w:rFonts w:ascii="Montserrat" w:hAnsi="Montserrat"/>
          <w:bCs/>
          <w:sz w:val="22"/>
          <w:szCs w:val="22"/>
          <w:lang w:val="es-ES_tradnl"/>
        </w:rPr>
        <w:t>, Baraya (</w:t>
      </w:r>
      <w:proofErr w:type="spellStart"/>
      <w:r w:rsidRPr="00167186">
        <w:rPr>
          <w:rFonts w:ascii="Montserrat" w:hAnsi="Montserrat"/>
          <w:bCs/>
          <w:sz w:val="22"/>
          <w:szCs w:val="22"/>
          <w:lang w:val="es-ES_tradnl"/>
        </w:rPr>
        <w:t>Saucio</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Checua</w:t>
      </w:r>
      <w:proofErr w:type="spellEnd"/>
      <w:r w:rsidRPr="00167186">
        <w:rPr>
          <w:rFonts w:ascii="Montserrat" w:hAnsi="Montserrat"/>
          <w:bCs/>
          <w:sz w:val="22"/>
          <w:szCs w:val="22"/>
          <w:lang w:val="es-ES_tradnl"/>
        </w:rPr>
        <w:t xml:space="preserve">, </w:t>
      </w:r>
      <w:proofErr w:type="spellStart"/>
      <w:r w:rsidRPr="00167186">
        <w:rPr>
          <w:rFonts w:ascii="Montserrat" w:hAnsi="Montserrat"/>
          <w:bCs/>
          <w:sz w:val="22"/>
          <w:szCs w:val="22"/>
          <w:lang w:val="es-ES_tradnl"/>
        </w:rPr>
        <w:t>Teusacá</w:t>
      </w:r>
      <w:proofErr w:type="spellEnd"/>
      <w:r w:rsidRPr="00167186">
        <w:rPr>
          <w:rFonts w:ascii="Montserrat" w:hAnsi="Montserrat"/>
          <w:bCs/>
          <w:sz w:val="22"/>
          <w:szCs w:val="22"/>
          <w:lang w:val="es-ES_tradnl"/>
        </w:rPr>
        <w:t>, río Blanco, Bogotá NR, El Quimbo, Guavio, Batatas, Chivor, Betania CP, Carlos Lleras Restrepo y Escuela de Minas.</w:t>
      </w:r>
    </w:p>
    <w:p w14:paraId="5023D222" w14:textId="77777777" w:rsidR="00167186" w:rsidRPr="00167186" w:rsidRDefault="00167186" w:rsidP="00167186">
      <w:pPr>
        <w:jc w:val="both"/>
        <w:outlineLvl w:val="0"/>
        <w:rPr>
          <w:rFonts w:ascii="Montserrat" w:hAnsi="Montserrat"/>
          <w:bCs/>
          <w:sz w:val="22"/>
          <w:szCs w:val="22"/>
          <w:lang w:val="es-ES_tradnl"/>
        </w:rPr>
      </w:pPr>
    </w:p>
    <w:p w14:paraId="09413B25" w14:textId="77777777" w:rsidR="00167186" w:rsidRPr="00167186" w:rsidRDefault="00167186" w:rsidP="00167186">
      <w:pPr>
        <w:jc w:val="both"/>
        <w:outlineLvl w:val="0"/>
        <w:rPr>
          <w:rFonts w:ascii="Montserrat" w:hAnsi="Montserrat"/>
          <w:bCs/>
          <w:sz w:val="22"/>
          <w:szCs w:val="22"/>
          <w:lang w:val="es-ES_tradnl"/>
        </w:rPr>
      </w:pPr>
      <w:r w:rsidRPr="00167186">
        <w:rPr>
          <w:rFonts w:ascii="Montserrat" w:hAnsi="Montserrat"/>
          <w:bCs/>
          <w:sz w:val="22"/>
          <w:szCs w:val="22"/>
          <w:lang w:val="es-ES_tradnl"/>
        </w:rPr>
        <w:lastRenderedPageBreak/>
        <w:t>La información de la actualización de las series se encuentra en el Anexo del presente Acuerdo que hace parte integral del mismo.</w:t>
      </w:r>
    </w:p>
    <w:p w14:paraId="2686B749" w14:textId="77777777" w:rsidR="00167186" w:rsidRPr="00167186" w:rsidRDefault="00167186" w:rsidP="00167186">
      <w:pPr>
        <w:jc w:val="both"/>
        <w:outlineLvl w:val="0"/>
        <w:rPr>
          <w:rFonts w:ascii="Montserrat" w:hAnsi="Montserrat"/>
          <w:bCs/>
          <w:sz w:val="22"/>
          <w:szCs w:val="22"/>
          <w:lang w:val="es-ES_tradnl"/>
        </w:rPr>
      </w:pPr>
    </w:p>
    <w:p w14:paraId="35B04DB8" w14:textId="6FBE4701"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2. </w:t>
      </w:r>
      <w:r w:rsidRPr="00167186">
        <w:rPr>
          <w:rFonts w:ascii="Montserrat" w:hAnsi="Montserrat"/>
          <w:bCs/>
          <w:sz w:val="22"/>
          <w:szCs w:val="22"/>
          <w:lang w:val="es-ES_tradnl"/>
        </w:rPr>
        <w:t>Las actualizaciones de que trata el presente Acuerdo adicionan y complementan las series hidrológicas avaladas mediante Acuerdos CNO anteriores y serán consideradas como las series hidrológicas históricas en el planeamiento operativo energético.</w:t>
      </w:r>
    </w:p>
    <w:p w14:paraId="47A26289" w14:textId="77777777" w:rsidR="00167186" w:rsidRPr="00167186" w:rsidRDefault="00167186" w:rsidP="00167186">
      <w:pPr>
        <w:jc w:val="both"/>
        <w:outlineLvl w:val="0"/>
        <w:rPr>
          <w:rFonts w:ascii="Montserrat" w:hAnsi="Montserrat"/>
          <w:bCs/>
          <w:sz w:val="22"/>
          <w:szCs w:val="22"/>
          <w:lang w:val="es-ES_tradnl"/>
        </w:rPr>
      </w:pPr>
    </w:p>
    <w:p w14:paraId="2D581B0D" w14:textId="05DB6C59" w:rsidR="00167186" w:rsidRPr="00167186" w:rsidRDefault="00167186" w:rsidP="00167186">
      <w:pPr>
        <w:jc w:val="both"/>
        <w:outlineLvl w:val="0"/>
        <w:rPr>
          <w:rFonts w:ascii="Montserrat" w:hAnsi="Montserrat"/>
          <w:bCs/>
          <w:sz w:val="22"/>
          <w:szCs w:val="22"/>
          <w:lang w:val="es-ES_tradnl"/>
        </w:rPr>
      </w:pPr>
      <w:r>
        <w:rPr>
          <w:rFonts w:ascii="Montserrat" w:hAnsi="Montserrat"/>
          <w:bCs/>
          <w:sz w:val="22"/>
          <w:szCs w:val="22"/>
          <w:lang w:val="es-ES_tradnl"/>
        </w:rPr>
        <w:t xml:space="preserve">3. </w:t>
      </w:r>
      <w:r w:rsidRPr="00167186">
        <w:rPr>
          <w:rFonts w:ascii="Montserrat" w:hAnsi="Montserrat"/>
          <w:bCs/>
          <w:sz w:val="22"/>
          <w:szCs w:val="22"/>
          <w:lang w:val="es-ES_tradnl"/>
        </w:rPr>
        <w:t>El presente Acuerdo rige a partir de la fecha de su expedición.</w:t>
      </w:r>
      <w:r w:rsidR="00D55615">
        <w:rPr>
          <w:rFonts w:ascii="Montserrat" w:hAnsi="Montserrat"/>
          <w:bCs/>
          <w:sz w:val="22"/>
          <w:szCs w:val="22"/>
          <w:lang w:val="es-ES_tradnl"/>
        </w:rPr>
        <w:t>”</w:t>
      </w:r>
    </w:p>
    <w:p w14:paraId="6DE712E5" w14:textId="77777777" w:rsidR="000C734F" w:rsidRPr="000C734F" w:rsidRDefault="000C734F" w:rsidP="000C734F">
      <w:pPr>
        <w:pStyle w:val="Prrafodelista"/>
        <w:rPr>
          <w:rFonts w:ascii="Montserrat" w:hAnsi="Montserrat"/>
          <w:b/>
          <w:sz w:val="22"/>
          <w:szCs w:val="22"/>
          <w:lang w:val="es-ES_tradnl"/>
        </w:rPr>
      </w:pPr>
    </w:p>
    <w:p w14:paraId="3879F699" w14:textId="77777777" w:rsidR="00CB7F58" w:rsidRDefault="00CB7F58" w:rsidP="00CB7F58">
      <w:pPr>
        <w:jc w:val="center"/>
        <w:outlineLvl w:val="0"/>
        <w:rPr>
          <w:rFonts w:ascii="Montserrat" w:hAnsi="Montserrat"/>
          <w:b/>
          <w:i/>
          <w:sz w:val="22"/>
          <w:szCs w:val="22"/>
        </w:rPr>
      </w:pPr>
    </w:p>
    <w:bookmarkEnd w:id="0"/>
    <w:p w14:paraId="3078D706" w14:textId="77777777" w:rsidR="00C51EF1" w:rsidRPr="00C51EF1" w:rsidRDefault="00C51EF1" w:rsidP="00C51EF1">
      <w:pPr>
        <w:jc w:val="both"/>
        <w:outlineLvl w:val="0"/>
        <w:rPr>
          <w:rFonts w:ascii="Montserrat" w:hAnsi="Montserrat"/>
          <w:bCs/>
          <w:i/>
          <w:sz w:val="22"/>
          <w:szCs w:val="22"/>
        </w:rPr>
      </w:pPr>
      <w:r w:rsidRPr="00C51EF1">
        <w:rPr>
          <w:rFonts w:ascii="Montserrat" w:hAnsi="Montserrat"/>
          <w:bCs/>
          <w:i/>
          <w:sz w:val="22"/>
          <w:szCs w:val="22"/>
        </w:rPr>
        <w:t>Manifestación de voto:</w:t>
      </w:r>
    </w:p>
    <w:p w14:paraId="26DDC524" w14:textId="77777777" w:rsidR="00C51EF1" w:rsidRPr="00C51EF1" w:rsidRDefault="00C51EF1" w:rsidP="00C51EF1">
      <w:pPr>
        <w:jc w:val="both"/>
        <w:outlineLvl w:val="0"/>
        <w:rPr>
          <w:rFonts w:ascii="Montserrat" w:hAnsi="Montserrat"/>
          <w:bCs/>
          <w:i/>
          <w:sz w:val="22"/>
          <w:szCs w:val="22"/>
        </w:rPr>
      </w:pPr>
    </w:p>
    <w:p w14:paraId="69B1EF7D" w14:textId="77777777" w:rsidR="00C51EF1" w:rsidRDefault="00C51EF1" w:rsidP="00C51EF1">
      <w:pPr>
        <w:jc w:val="both"/>
        <w:outlineLvl w:val="0"/>
        <w:rPr>
          <w:rFonts w:ascii="Montserrat" w:hAnsi="Montserrat"/>
          <w:bCs/>
          <w:i/>
          <w:sz w:val="22"/>
          <w:szCs w:val="22"/>
        </w:rPr>
      </w:pPr>
    </w:p>
    <w:p w14:paraId="24E0C641" w14:textId="5E226CB9" w:rsidR="00C51EF1" w:rsidRPr="00C51EF1" w:rsidRDefault="00C51EF1" w:rsidP="00C51EF1">
      <w:pPr>
        <w:jc w:val="both"/>
        <w:outlineLvl w:val="0"/>
        <w:rPr>
          <w:rFonts w:ascii="Montserrat" w:hAnsi="Montserrat"/>
          <w:bCs/>
          <w:i/>
          <w:sz w:val="22"/>
          <w:szCs w:val="22"/>
        </w:rPr>
      </w:pPr>
      <w:r w:rsidRPr="00C51EF1">
        <w:rPr>
          <w:rFonts w:ascii="Montserrat" w:hAnsi="Montserrat"/>
          <w:bCs/>
          <w:i/>
          <w:sz w:val="22"/>
          <w:szCs w:val="22"/>
        </w:rPr>
        <w:t>La manifestación de voto podrá remitirse por correo electrónico a: aolarte@cno.org.co</w:t>
      </w:r>
    </w:p>
    <w:p w14:paraId="23A71560" w14:textId="77777777" w:rsidR="00C51EF1" w:rsidRDefault="00C51EF1" w:rsidP="00E22AD3">
      <w:pPr>
        <w:jc w:val="both"/>
        <w:outlineLvl w:val="0"/>
        <w:rPr>
          <w:rFonts w:ascii="Montserrat" w:hAnsi="Montserrat"/>
          <w:bCs/>
          <w:i/>
          <w:sz w:val="22"/>
          <w:szCs w:val="22"/>
        </w:rPr>
      </w:pPr>
    </w:p>
    <w:p w14:paraId="0A60C9CA" w14:textId="77777777" w:rsidR="002639A4" w:rsidRDefault="002639A4">
      <w:pPr>
        <w:jc w:val="both"/>
        <w:outlineLvl w:val="0"/>
        <w:rPr>
          <w:rFonts w:ascii="Montserrat" w:hAnsi="Montserrat"/>
          <w:sz w:val="22"/>
          <w:szCs w:val="22"/>
        </w:rPr>
      </w:pPr>
    </w:p>
    <w:p w14:paraId="3E29FE02" w14:textId="77777777" w:rsidR="002639A4" w:rsidRDefault="002639A4">
      <w:pPr>
        <w:jc w:val="both"/>
        <w:outlineLvl w:val="0"/>
        <w:rPr>
          <w:rFonts w:ascii="Montserrat" w:hAnsi="Montserrat"/>
          <w:sz w:val="22"/>
          <w:szCs w:val="22"/>
        </w:rPr>
      </w:pPr>
    </w:p>
    <w:p w14:paraId="6C027255" w14:textId="77777777" w:rsidR="002639A4" w:rsidRDefault="00DD5FEF">
      <w:pPr>
        <w:jc w:val="both"/>
        <w:outlineLvl w:val="0"/>
        <w:rPr>
          <w:rFonts w:ascii="Montserrat" w:hAnsi="Montserrat"/>
          <w:sz w:val="22"/>
          <w:szCs w:val="22"/>
        </w:rPr>
      </w:pPr>
      <w:r>
        <w:rPr>
          <w:rFonts w:ascii="Montserrat" w:hAnsi="Montserrat"/>
          <w:sz w:val="22"/>
          <w:szCs w:val="22"/>
        </w:rPr>
        <w:t>ALBERTO OLARTE AGUIRRE</w:t>
      </w:r>
    </w:p>
    <w:p w14:paraId="34E91E64" w14:textId="77777777" w:rsidR="002639A4" w:rsidRDefault="00DD5FEF">
      <w:pPr>
        <w:jc w:val="both"/>
        <w:outlineLvl w:val="0"/>
        <w:rPr>
          <w:rFonts w:ascii="Montserrat" w:hAnsi="Montserrat"/>
          <w:bCs/>
          <w:sz w:val="22"/>
          <w:szCs w:val="22"/>
        </w:rPr>
      </w:pPr>
      <w:r>
        <w:rPr>
          <w:rFonts w:ascii="Montserrat" w:hAnsi="Montserrat"/>
          <w:sz w:val="22"/>
          <w:szCs w:val="22"/>
        </w:rPr>
        <w:t>Secretario Técnico</w:t>
      </w:r>
    </w:p>
    <w:p w14:paraId="1C84A1EB" w14:textId="76915D64" w:rsidR="002639A4" w:rsidRDefault="00DD5FEF">
      <w:pPr>
        <w:jc w:val="both"/>
        <w:outlineLvl w:val="0"/>
        <w:rPr>
          <w:rFonts w:ascii="Montserrat" w:hAnsi="Montserrat"/>
          <w:sz w:val="22"/>
          <w:szCs w:val="22"/>
        </w:rPr>
      </w:pPr>
      <w:r>
        <w:rPr>
          <w:rFonts w:ascii="Montserrat" w:hAnsi="Montserrat"/>
          <w:bCs/>
          <w:sz w:val="22"/>
          <w:szCs w:val="22"/>
        </w:rPr>
        <w:t>CONSEJO NACIONAL DE OPERACIÓN – CNO</w:t>
      </w:r>
    </w:p>
    <w:sectPr w:rsidR="002639A4">
      <w:headerReference w:type="default" r:id="rId8"/>
      <w:footerReference w:type="default" r:id="rId9"/>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B603" w14:textId="77777777" w:rsidR="00882D4E" w:rsidRDefault="00882D4E">
      <w:r>
        <w:separator/>
      </w:r>
    </w:p>
  </w:endnote>
  <w:endnote w:type="continuationSeparator" w:id="0">
    <w:p w14:paraId="2FC47C78" w14:textId="77777777" w:rsidR="00882D4E" w:rsidRDefault="0088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A9B7" w14:textId="77777777" w:rsidR="00882D4E" w:rsidRDefault="00882D4E">
      <w:r>
        <w:separator/>
      </w:r>
    </w:p>
  </w:footnote>
  <w:footnote w:type="continuationSeparator" w:id="0">
    <w:p w14:paraId="4DE40383" w14:textId="77777777" w:rsidR="00882D4E" w:rsidRDefault="0088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DD5FEF">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4"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3"/>
  </w:num>
  <w:num w:numId="2" w16cid:durableId="107311955">
    <w:abstractNumId w:val="2"/>
  </w:num>
  <w:num w:numId="3" w16cid:durableId="302540061">
    <w:abstractNumId w:val="10"/>
  </w:num>
  <w:num w:numId="4" w16cid:durableId="213662726">
    <w:abstractNumId w:val="17"/>
  </w:num>
  <w:num w:numId="5" w16cid:durableId="1035084654">
    <w:abstractNumId w:val="18"/>
  </w:num>
  <w:num w:numId="6" w16cid:durableId="1250582270">
    <w:abstractNumId w:val="4"/>
  </w:num>
  <w:num w:numId="7" w16cid:durableId="440342342">
    <w:abstractNumId w:val="21"/>
  </w:num>
  <w:num w:numId="8" w16cid:durableId="1954286661">
    <w:abstractNumId w:val="19"/>
  </w:num>
  <w:num w:numId="9" w16cid:durableId="1889342353">
    <w:abstractNumId w:val="9"/>
  </w:num>
  <w:num w:numId="10" w16cid:durableId="563102994">
    <w:abstractNumId w:val="5"/>
  </w:num>
  <w:num w:numId="11" w16cid:durableId="844831275">
    <w:abstractNumId w:val="6"/>
  </w:num>
  <w:num w:numId="12" w16cid:durableId="538858920">
    <w:abstractNumId w:val="12"/>
  </w:num>
  <w:num w:numId="13" w16cid:durableId="1196457771">
    <w:abstractNumId w:val="15"/>
  </w:num>
  <w:num w:numId="14" w16cid:durableId="1159924391">
    <w:abstractNumId w:val="14"/>
  </w:num>
  <w:num w:numId="15" w16cid:durableId="1017199961">
    <w:abstractNumId w:val="8"/>
  </w:num>
  <w:num w:numId="16" w16cid:durableId="1601520430">
    <w:abstractNumId w:val="20"/>
  </w:num>
  <w:num w:numId="17" w16cid:durableId="22947410">
    <w:abstractNumId w:val="13"/>
  </w:num>
  <w:num w:numId="18" w16cid:durableId="1468938497">
    <w:abstractNumId w:val="7"/>
  </w:num>
  <w:num w:numId="19" w16cid:durableId="1203639343">
    <w:abstractNumId w:val="0"/>
  </w:num>
  <w:num w:numId="20" w16cid:durableId="445318562">
    <w:abstractNumId w:val="11"/>
  </w:num>
  <w:num w:numId="21" w16cid:durableId="1576469720">
    <w:abstractNumId w:val="1"/>
  </w:num>
  <w:num w:numId="22" w16cid:durableId="1659190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31F96"/>
    <w:rsid w:val="000660DF"/>
    <w:rsid w:val="00075DB6"/>
    <w:rsid w:val="000C612E"/>
    <w:rsid w:val="000C734F"/>
    <w:rsid w:val="00145C90"/>
    <w:rsid w:val="00151CF8"/>
    <w:rsid w:val="00167186"/>
    <w:rsid w:val="00167FCF"/>
    <w:rsid w:val="00194340"/>
    <w:rsid w:val="001D50A6"/>
    <w:rsid w:val="002639A4"/>
    <w:rsid w:val="002D1405"/>
    <w:rsid w:val="003074AA"/>
    <w:rsid w:val="004D3207"/>
    <w:rsid w:val="005D1661"/>
    <w:rsid w:val="006A2B7D"/>
    <w:rsid w:val="006F1C71"/>
    <w:rsid w:val="00751CC5"/>
    <w:rsid w:val="008819B1"/>
    <w:rsid w:val="00882D4E"/>
    <w:rsid w:val="00884981"/>
    <w:rsid w:val="008D2635"/>
    <w:rsid w:val="009C0DED"/>
    <w:rsid w:val="00A23B3A"/>
    <w:rsid w:val="00AA606B"/>
    <w:rsid w:val="00AF3BC7"/>
    <w:rsid w:val="00C51EF1"/>
    <w:rsid w:val="00C96041"/>
    <w:rsid w:val="00CA2B3B"/>
    <w:rsid w:val="00CB7F58"/>
    <w:rsid w:val="00D55615"/>
    <w:rsid w:val="00DC1D93"/>
    <w:rsid w:val="00DD5FEF"/>
    <w:rsid w:val="00E22AD3"/>
    <w:rsid w:val="00EE0061"/>
    <w:rsid w:val="00F82030"/>
    <w:rsid w:val="00F8474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765</Words>
  <Characters>4211</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2023-08-18T16:20:00Z</dcterms:created>
  <dcterms:modified xsi:type="dcterms:W3CDTF">2023-08-18T16:20:00Z</dcterms:modified>
  <dc:language>es-CO</dc:language>
</cp:coreProperties>
</file>