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3B7E77F7"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A23B3A">
        <w:rPr>
          <w:rFonts w:ascii="Montserrat" w:hAnsi="Montserrat"/>
          <w:sz w:val="22"/>
          <w:szCs w:val="22"/>
          <w:lang w:val="es-ES_tradnl"/>
        </w:rPr>
        <w:t>30</w:t>
      </w:r>
      <w:r w:rsidR="005D1661">
        <w:rPr>
          <w:rFonts w:ascii="Montserrat" w:hAnsi="Montserrat"/>
          <w:sz w:val="22"/>
          <w:szCs w:val="22"/>
          <w:lang w:val="es-ES_tradnl"/>
        </w:rPr>
        <w:t xml:space="preserve"> de </w:t>
      </w:r>
      <w:r w:rsidR="006A2B7D">
        <w:rPr>
          <w:rFonts w:ascii="Montserrat" w:hAnsi="Montserrat"/>
          <w:sz w:val="22"/>
          <w:szCs w:val="22"/>
          <w:lang w:val="es-ES_tradnl"/>
        </w:rPr>
        <w:t>noviembre de</w:t>
      </w:r>
      <w:r>
        <w:rPr>
          <w:rFonts w:ascii="Montserrat" w:hAnsi="Montserrat"/>
          <w:sz w:val="22"/>
          <w:szCs w:val="22"/>
          <w:lang w:val="es-ES_tradnl"/>
        </w:rPr>
        <w:t xml:space="preserve"> 2022</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421D14BA"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Con el objeto de realizar la sesión N° 68</w:t>
      </w:r>
      <w:r w:rsidR="00A23B3A">
        <w:rPr>
          <w:rFonts w:ascii="Montserrat" w:hAnsi="Montserrat"/>
          <w:sz w:val="22"/>
          <w:szCs w:val="22"/>
          <w:lang w:val="es-ES_tradnl"/>
        </w:rPr>
        <w:t>5</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el siguiente Acuerdo</w:t>
      </w:r>
      <w:r>
        <w:rPr>
          <w:rFonts w:ascii="Montserrat" w:hAnsi="Montserrat"/>
          <w:bCs/>
          <w:sz w:val="22"/>
          <w:szCs w:val="22"/>
          <w:lang w:val="es-ES_tradnl"/>
        </w:rPr>
        <w:t>:</w:t>
      </w:r>
    </w:p>
    <w:p w14:paraId="1F9410DE" w14:textId="77777777" w:rsidR="002639A4" w:rsidRDefault="002639A4">
      <w:pPr>
        <w:jc w:val="both"/>
        <w:outlineLvl w:val="0"/>
        <w:rPr>
          <w:rFonts w:ascii="Montserrat" w:hAnsi="Montserrat"/>
          <w:sz w:val="22"/>
          <w:szCs w:val="22"/>
          <w:lang w:val="es-ES_tradnl"/>
        </w:rPr>
      </w:pPr>
    </w:p>
    <w:p w14:paraId="7081033D" w14:textId="4F6408EC" w:rsidR="006F1C71" w:rsidRPr="006F1C71" w:rsidRDefault="00000000" w:rsidP="006F1C71">
      <w:pPr>
        <w:jc w:val="center"/>
        <w:outlineLvl w:val="0"/>
        <w:rPr>
          <w:rFonts w:ascii="Montserrat" w:hAnsi="Montserrat"/>
          <w:bCs/>
          <w:i/>
          <w:sz w:val="22"/>
          <w:szCs w:val="22"/>
        </w:rPr>
      </w:pPr>
      <w:r>
        <w:rPr>
          <w:rFonts w:ascii="Montserrat" w:hAnsi="Montserrat"/>
          <w:bCs/>
          <w:i/>
          <w:sz w:val="22"/>
          <w:szCs w:val="22"/>
        </w:rPr>
        <w:t xml:space="preserve">“Acuerdo </w:t>
      </w:r>
      <w:r w:rsidR="00AA606B">
        <w:rPr>
          <w:rFonts w:ascii="Montserrat" w:hAnsi="Montserrat"/>
          <w:bCs/>
          <w:i/>
          <w:sz w:val="22"/>
          <w:szCs w:val="22"/>
        </w:rPr>
        <w:t xml:space="preserve">XXXX </w:t>
      </w:r>
      <w:r w:rsidR="006F1C71" w:rsidRPr="006F1C71">
        <w:rPr>
          <w:rFonts w:ascii="Montserrat" w:hAnsi="Montserrat"/>
          <w:bCs/>
          <w:i/>
          <w:sz w:val="22"/>
          <w:szCs w:val="22"/>
        </w:rPr>
        <w:t xml:space="preserve">Por el cual se certifican las pruebas de estatismo y banda muerta de la unidad </w:t>
      </w:r>
      <w:r w:rsidR="00A23B3A">
        <w:rPr>
          <w:rFonts w:ascii="Montserrat" w:hAnsi="Montserrat"/>
          <w:bCs/>
          <w:i/>
          <w:sz w:val="22"/>
          <w:szCs w:val="22"/>
        </w:rPr>
        <w:t>2</w:t>
      </w:r>
      <w:r w:rsidR="006F1C71" w:rsidRPr="006F1C71">
        <w:rPr>
          <w:rFonts w:ascii="Montserrat" w:hAnsi="Montserrat"/>
          <w:bCs/>
          <w:i/>
          <w:sz w:val="22"/>
          <w:szCs w:val="22"/>
        </w:rPr>
        <w:t xml:space="preserve"> de la central de generación Ituango</w:t>
      </w:r>
    </w:p>
    <w:p w14:paraId="0C5BEDE8" w14:textId="77777777" w:rsidR="006F1C71" w:rsidRPr="006F1C71" w:rsidRDefault="006F1C71" w:rsidP="006F1C71">
      <w:pPr>
        <w:jc w:val="center"/>
        <w:outlineLvl w:val="0"/>
        <w:rPr>
          <w:rFonts w:ascii="Montserrat" w:hAnsi="Montserrat"/>
          <w:bCs/>
          <w:i/>
          <w:sz w:val="22"/>
          <w:szCs w:val="22"/>
        </w:rPr>
      </w:pPr>
    </w:p>
    <w:p w14:paraId="3DC28C43" w14:textId="77777777" w:rsidR="006F1C71" w:rsidRPr="006F1C71" w:rsidRDefault="006F1C71" w:rsidP="006F1C71">
      <w:pPr>
        <w:jc w:val="both"/>
        <w:outlineLvl w:val="0"/>
        <w:rPr>
          <w:rFonts w:ascii="Montserrat" w:hAnsi="Montserrat"/>
          <w:bCs/>
          <w:i/>
          <w:sz w:val="22"/>
          <w:szCs w:val="22"/>
        </w:rPr>
      </w:pPr>
      <w:r w:rsidRPr="006F1C71">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 de XXXX de 2022 y,</w:t>
      </w:r>
    </w:p>
    <w:p w14:paraId="6B8BBBE8" w14:textId="77777777" w:rsidR="006F1C71" w:rsidRPr="006F1C71" w:rsidRDefault="006F1C71" w:rsidP="006F1C71">
      <w:pPr>
        <w:jc w:val="center"/>
        <w:outlineLvl w:val="0"/>
        <w:rPr>
          <w:rFonts w:ascii="Montserrat" w:hAnsi="Montserrat"/>
          <w:bCs/>
          <w:i/>
          <w:sz w:val="22"/>
          <w:szCs w:val="22"/>
        </w:rPr>
      </w:pPr>
    </w:p>
    <w:p w14:paraId="6AB49DC1" w14:textId="1C7F5B69" w:rsidR="006F1C71" w:rsidRDefault="006F1C71" w:rsidP="006F1C71">
      <w:pPr>
        <w:jc w:val="center"/>
        <w:outlineLvl w:val="0"/>
        <w:rPr>
          <w:rFonts w:ascii="Montserrat" w:hAnsi="Montserrat"/>
          <w:bCs/>
          <w:i/>
          <w:sz w:val="22"/>
          <w:szCs w:val="22"/>
        </w:rPr>
      </w:pPr>
      <w:r w:rsidRPr="006F1C71">
        <w:rPr>
          <w:rFonts w:ascii="Montserrat" w:hAnsi="Montserrat"/>
          <w:bCs/>
          <w:i/>
          <w:sz w:val="22"/>
          <w:szCs w:val="22"/>
        </w:rPr>
        <w:t>CONSIDERANDO</w:t>
      </w:r>
    </w:p>
    <w:p w14:paraId="5CE280DE" w14:textId="77777777" w:rsidR="006F1C71" w:rsidRPr="006F1C71" w:rsidRDefault="006F1C71" w:rsidP="006F1C71">
      <w:pPr>
        <w:jc w:val="center"/>
        <w:outlineLvl w:val="0"/>
        <w:rPr>
          <w:rFonts w:ascii="Montserrat" w:hAnsi="Montserrat"/>
          <w:bCs/>
          <w:i/>
          <w:sz w:val="22"/>
          <w:szCs w:val="22"/>
        </w:rPr>
      </w:pPr>
    </w:p>
    <w:p w14:paraId="2E14D34D" w14:textId="4D8452DD"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1. </w:t>
      </w:r>
      <w:r w:rsidRPr="006F1C71">
        <w:rPr>
          <w:rFonts w:ascii="Montserrat" w:hAnsi="Montserrat"/>
          <w:bCs/>
          <w:i/>
          <w:sz w:val="22"/>
          <w:szCs w:val="22"/>
        </w:rPr>
        <w:t>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periodicidad establecida y procedimientos establecidos por el CNO.”</w:t>
      </w:r>
    </w:p>
    <w:p w14:paraId="08F52C1D" w14:textId="686BC485" w:rsidR="006F1C71" w:rsidRPr="006F1C71" w:rsidRDefault="006F1C71" w:rsidP="006F1C71">
      <w:pPr>
        <w:jc w:val="both"/>
        <w:outlineLvl w:val="0"/>
        <w:rPr>
          <w:rFonts w:ascii="Montserrat" w:hAnsi="Montserrat"/>
          <w:bCs/>
          <w:i/>
          <w:sz w:val="22"/>
          <w:szCs w:val="22"/>
        </w:rPr>
      </w:pPr>
    </w:p>
    <w:p w14:paraId="40AA1234" w14:textId="79DB0CB6"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2. </w:t>
      </w:r>
      <w:r w:rsidRPr="006F1C71">
        <w:rPr>
          <w:rFonts w:ascii="Montserrat" w:hAnsi="Montserrat"/>
          <w:bCs/>
          <w:i/>
          <w:sz w:val="22"/>
          <w:szCs w:val="22"/>
        </w:rPr>
        <w:t>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mHz. Este valor podrá ser revaluado por el CND cuando lo considere conveniente. El Estatismo de las unidades generadoras despachadas centralmente debe ser un valor entre el 4% y el 6%, el cual deberá ser declarado por el agente al CND."</w:t>
      </w:r>
    </w:p>
    <w:p w14:paraId="57891B2C" w14:textId="77777777" w:rsidR="006F1C71" w:rsidRPr="006F1C71" w:rsidRDefault="006F1C71" w:rsidP="006F1C71">
      <w:pPr>
        <w:jc w:val="both"/>
        <w:outlineLvl w:val="0"/>
        <w:rPr>
          <w:rFonts w:ascii="Montserrat" w:hAnsi="Montserrat"/>
          <w:bCs/>
          <w:i/>
          <w:sz w:val="22"/>
          <w:szCs w:val="22"/>
        </w:rPr>
      </w:pPr>
    </w:p>
    <w:p w14:paraId="41E44F5C" w14:textId="638396A1" w:rsidR="006F1C71" w:rsidRPr="006F1C71" w:rsidRDefault="006F1C71" w:rsidP="006F1C71">
      <w:pPr>
        <w:jc w:val="both"/>
        <w:outlineLvl w:val="0"/>
        <w:rPr>
          <w:rFonts w:ascii="Montserrat" w:hAnsi="Montserrat"/>
          <w:bCs/>
          <w:i/>
          <w:sz w:val="22"/>
          <w:szCs w:val="22"/>
        </w:rPr>
      </w:pPr>
    </w:p>
    <w:p w14:paraId="6EC5573C" w14:textId="377984E2"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3. </w:t>
      </w:r>
      <w:r w:rsidRPr="006F1C71">
        <w:rPr>
          <w:rFonts w:ascii="Montserrat" w:hAnsi="Montserrat"/>
          <w:bCs/>
          <w:i/>
          <w:sz w:val="22"/>
          <w:szCs w:val="22"/>
        </w:rPr>
        <w:t>Que mediante el Acuerdo 1557 del 5 de mayo de 2022 se estableció la aplicabilidad, la periodicidad y los protocolos para la realización de las pruebas de estatismo y banda muerta de las plantas hidroeléctricas y térmicas despachadas centralmente.</w:t>
      </w:r>
    </w:p>
    <w:p w14:paraId="44051F22" w14:textId="4BEBAD24" w:rsidR="006F1C71" w:rsidRPr="006F1C71" w:rsidRDefault="006F1C71" w:rsidP="006F1C71">
      <w:pPr>
        <w:jc w:val="both"/>
        <w:outlineLvl w:val="0"/>
        <w:rPr>
          <w:rFonts w:ascii="Montserrat" w:hAnsi="Montserrat"/>
          <w:bCs/>
          <w:i/>
          <w:sz w:val="22"/>
          <w:szCs w:val="22"/>
        </w:rPr>
      </w:pPr>
    </w:p>
    <w:p w14:paraId="1388356B" w14:textId="630E0441"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4. </w:t>
      </w:r>
      <w:r w:rsidRPr="006F1C71">
        <w:rPr>
          <w:rFonts w:ascii="Montserrat" w:hAnsi="Montserrat"/>
          <w:bCs/>
          <w:i/>
          <w:sz w:val="22"/>
          <w:szCs w:val="22"/>
        </w:rPr>
        <w:t>Que según lo previsto en el artículo quinto del Acuerdo 1557 de 2022, la empresa EPM E.S.P. presentó en la reunión extraordinaria 2</w:t>
      </w:r>
      <w:r w:rsidR="00A23B3A">
        <w:rPr>
          <w:rFonts w:ascii="Montserrat" w:hAnsi="Montserrat"/>
          <w:bCs/>
          <w:i/>
          <w:sz w:val="22"/>
          <w:szCs w:val="22"/>
        </w:rPr>
        <w:t>57</w:t>
      </w:r>
      <w:r w:rsidRPr="006F1C71">
        <w:rPr>
          <w:rFonts w:ascii="Montserrat" w:hAnsi="Montserrat"/>
          <w:bCs/>
          <w:i/>
          <w:sz w:val="22"/>
          <w:szCs w:val="22"/>
        </w:rPr>
        <w:t xml:space="preserve"> del </w:t>
      </w:r>
      <w:r w:rsidR="00A23B3A">
        <w:rPr>
          <w:rFonts w:ascii="Montserrat" w:hAnsi="Montserrat"/>
          <w:bCs/>
          <w:i/>
          <w:sz w:val="22"/>
          <w:szCs w:val="22"/>
        </w:rPr>
        <w:t>30</w:t>
      </w:r>
      <w:r w:rsidRPr="006F1C71">
        <w:rPr>
          <w:rFonts w:ascii="Montserrat" w:hAnsi="Montserrat"/>
          <w:bCs/>
          <w:i/>
          <w:sz w:val="22"/>
          <w:szCs w:val="22"/>
        </w:rPr>
        <w:t xml:space="preserve"> de noviembre de 2022 del Subcomité de Controles los resultados de las pruebas de estatismo y banda muerta de la unidad </w:t>
      </w:r>
      <w:r w:rsidR="00A23B3A">
        <w:rPr>
          <w:rFonts w:ascii="Montserrat" w:hAnsi="Montserrat"/>
          <w:bCs/>
          <w:i/>
          <w:sz w:val="22"/>
          <w:szCs w:val="22"/>
        </w:rPr>
        <w:t>2</w:t>
      </w:r>
      <w:r w:rsidRPr="006F1C71">
        <w:rPr>
          <w:rFonts w:ascii="Montserrat" w:hAnsi="Montserrat"/>
          <w:bCs/>
          <w:i/>
          <w:sz w:val="22"/>
          <w:szCs w:val="22"/>
        </w:rPr>
        <w:t xml:space="preserve"> de la central de generación Ituango.</w:t>
      </w:r>
    </w:p>
    <w:p w14:paraId="2A6DBB05" w14:textId="66971B5B" w:rsidR="006F1C71" w:rsidRPr="006F1C71" w:rsidRDefault="006F1C71" w:rsidP="006F1C71">
      <w:pPr>
        <w:jc w:val="both"/>
        <w:outlineLvl w:val="0"/>
        <w:rPr>
          <w:rFonts w:ascii="Montserrat" w:hAnsi="Montserrat"/>
          <w:bCs/>
          <w:i/>
          <w:sz w:val="22"/>
          <w:szCs w:val="22"/>
        </w:rPr>
      </w:pPr>
    </w:p>
    <w:p w14:paraId="4EAC7E2A" w14:textId="2759DF90"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5. </w:t>
      </w:r>
      <w:r w:rsidRPr="006F1C71">
        <w:rPr>
          <w:rFonts w:ascii="Montserrat" w:hAnsi="Montserrat"/>
          <w:bCs/>
          <w:i/>
          <w:sz w:val="22"/>
          <w:szCs w:val="22"/>
        </w:rPr>
        <w:t>Que el Subcomité de Controles en la reunión 25</w:t>
      </w:r>
      <w:r w:rsidR="00A23B3A">
        <w:rPr>
          <w:rFonts w:ascii="Montserrat" w:hAnsi="Montserrat"/>
          <w:bCs/>
          <w:i/>
          <w:sz w:val="22"/>
          <w:szCs w:val="22"/>
        </w:rPr>
        <w:t>7</w:t>
      </w:r>
      <w:r w:rsidRPr="006F1C71">
        <w:rPr>
          <w:rFonts w:ascii="Montserrat" w:hAnsi="Montserrat"/>
          <w:bCs/>
          <w:i/>
          <w:sz w:val="22"/>
          <w:szCs w:val="22"/>
        </w:rPr>
        <w:t xml:space="preserve"> del </w:t>
      </w:r>
      <w:r w:rsidR="00A23B3A">
        <w:rPr>
          <w:rFonts w:ascii="Montserrat" w:hAnsi="Montserrat"/>
          <w:bCs/>
          <w:i/>
          <w:sz w:val="22"/>
          <w:szCs w:val="22"/>
        </w:rPr>
        <w:t>30</w:t>
      </w:r>
      <w:r w:rsidRPr="006F1C71">
        <w:rPr>
          <w:rFonts w:ascii="Montserrat" w:hAnsi="Montserrat"/>
          <w:bCs/>
          <w:i/>
          <w:sz w:val="22"/>
          <w:szCs w:val="22"/>
        </w:rPr>
        <w:t xml:space="preserve"> de noviembre de 2022 verificó el cumplimiento de la utilización de los protocolos previstos en el Anexo 1 del Acuerdo 1557 de 2022 y que los resultados de la prueba de estatismo y banda muerta de la unidad </w:t>
      </w:r>
      <w:r w:rsidR="00A23B3A">
        <w:rPr>
          <w:rFonts w:ascii="Montserrat" w:hAnsi="Montserrat"/>
          <w:bCs/>
          <w:i/>
          <w:sz w:val="22"/>
          <w:szCs w:val="22"/>
        </w:rPr>
        <w:t>2</w:t>
      </w:r>
      <w:r w:rsidRPr="006F1C71">
        <w:rPr>
          <w:rFonts w:ascii="Montserrat" w:hAnsi="Montserrat"/>
          <w:bCs/>
          <w:i/>
          <w:sz w:val="22"/>
          <w:szCs w:val="22"/>
        </w:rPr>
        <w:t xml:space="preserve"> de la central de generación Ituango están acorde con los parámetros definidos en la regulación vigente.</w:t>
      </w:r>
    </w:p>
    <w:p w14:paraId="6B05F816" w14:textId="01EC9BC3" w:rsidR="006F1C71" w:rsidRPr="006F1C71" w:rsidRDefault="006F1C71" w:rsidP="006F1C71">
      <w:pPr>
        <w:jc w:val="both"/>
        <w:outlineLvl w:val="0"/>
        <w:rPr>
          <w:rFonts w:ascii="Montserrat" w:hAnsi="Montserrat"/>
          <w:bCs/>
          <w:i/>
          <w:sz w:val="22"/>
          <w:szCs w:val="22"/>
        </w:rPr>
      </w:pPr>
    </w:p>
    <w:p w14:paraId="5F0B4A7E" w14:textId="0D5C026A"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6. </w:t>
      </w:r>
      <w:r w:rsidRPr="006F1C71">
        <w:rPr>
          <w:rFonts w:ascii="Montserrat" w:hAnsi="Montserrat"/>
          <w:bCs/>
          <w:i/>
          <w:sz w:val="22"/>
          <w:szCs w:val="22"/>
        </w:rPr>
        <w:t xml:space="preserve">Que consultado por correo electrónico el </w:t>
      </w:r>
      <w:r w:rsidR="00A23B3A">
        <w:rPr>
          <w:rFonts w:ascii="Montserrat" w:hAnsi="Montserrat"/>
          <w:bCs/>
          <w:i/>
          <w:sz w:val="22"/>
          <w:szCs w:val="22"/>
        </w:rPr>
        <w:t>30</w:t>
      </w:r>
      <w:r w:rsidRPr="006F1C71">
        <w:rPr>
          <w:rFonts w:ascii="Montserrat" w:hAnsi="Montserrat"/>
          <w:bCs/>
          <w:i/>
          <w:sz w:val="22"/>
          <w:szCs w:val="22"/>
        </w:rPr>
        <w:t xml:space="preserve"> de noviembre de 2022, el Comité de Operación recomendó la expedición del presente Acuerdo.</w:t>
      </w:r>
    </w:p>
    <w:p w14:paraId="4F35B032" w14:textId="77777777" w:rsidR="006F1C71" w:rsidRPr="006F1C71" w:rsidRDefault="006F1C71" w:rsidP="006F1C71">
      <w:pPr>
        <w:jc w:val="both"/>
        <w:outlineLvl w:val="0"/>
        <w:rPr>
          <w:rFonts w:ascii="Montserrat" w:hAnsi="Montserrat"/>
          <w:bCs/>
          <w:i/>
          <w:sz w:val="22"/>
          <w:szCs w:val="22"/>
        </w:rPr>
      </w:pPr>
    </w:p>
    <w:p w14:paraId="19A3CB08" w14:textId="40A531DB" w:rsidR="006F1C71" w:rsidRDefault="006F1C71" w:rsidP="006F1C71">
      <w:pPr>
        <w:jc w:val="center"/>
        <w:outlineLvl w:val="0"/>
        <w:rPr>
          <w:rFonts w:ascii="Montserrat" w:hAnsi="Montserrat"/>
          <w:bCs/>
          <w:i/>
          <w:sz w:val="22"/>
          <w:szCs w:val="22"/>
        </w:rPr>
      </w:pPr>
      <w:r w:rsidRPr="006F1C71">
        <w:rPr>
          <w:rFonts w:ascii="Montserrat" w:hAnsi="Montserrat"/>
          <w:bCs/>
          <w:i/>
          <w:sz w:val="22"/>
          <w:szCs w:val="22"/>
        </w:rPr>
        <w:t>ACUERDA:</w:t>
      </w:r>
    </w:p>
    <w:p w14:paraId="1C76812B" w14:textId="77777777" w:rsidR="006F1C71" w:rsidRPr="006F1C71" w:rsidRDefault="006F1C71" w:rsidP="006F1C71">
      <w:pPr>
        <w:jc w:val="center"/>
        <w:outlineLvl w:val="0"/>
        <w:rPr>
          <w:rFonts w:ascii="Montserrat" w:hAnsi="Montserrat"/>
          <w:bCs/>
          <w:i/>
          <w:sz w:val="22"/>
          <w:szCs w:val="22"/>
        </w:rPr>
      </w:pPr>
    </w:p>
    <w:p w14:paraId="3BB0A9F4" w14:textId="1E588678"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1. </w:t>
      </w:r>
      <w:r w:rsidRPr="006F1C71">
        <w:rPr>
          <w:rFonts w:ascii="Montserrat" w:hAnsi="Montserrat"/>
          <w:bCs/>
          <w:i/>
          <w:sz w:val="22"/>
          <w:szCs w:val="22"/>
        </w:rPr>
        <w:t xml:space="preserve">Certificar que las pruebas de estatismo y banda muerta ​de la unidad </w:t>
      </w:r>
      <w:r w:rsidR="00A23B3A">
        <w:rPr>
          <w:rFonts w:ascii="Montserrat" w:hAnsi="Montserrat"/>
          <w:bCs/>
          <w:i/>
          <w:sz w:val="22"/>
          <w:szCs w:val="22"/>
        </w:rPr>
        <w:t>2</w:t>
      </w:r>
      <w:r w:rsidRPr="006F1C71">
        <w:rPr>
          <w:rFonts w:ascii="Montserrat" w:hAnsi="Montserrat"/>
          <w:bCs/>
          <w:i/>
          <w:sz w:val="22"/>
          <w:szCs w:val="22"/>
        </w:rPr>
        <w:t xml:space="preserve"> de la central hidroeléctrica Ituango fueron realizadas de conformidad con lo dispuesto en la regulación vigente y el Acuerdo 1557 de 2022, como se presenta en los Anexos del presente Acuerdo, que hacen parte integral del mismo.</w:t>
      </w:r>
    </w:p>
    <w:p w14:paraId="3284FC27" w14:textId="5EC01224" w:rsidR="006F1C71" w:rsidRPr="006F1C71" w:rsidRDefault="006F1C71" w:rsidP="006F1C71">
      <w:pPr>
        <w:jc w:val="both"/>
        <w:outlineLvl w:val="0"/>
        <w:rPr>
          <w:rFonts w:ascii="Montserrat" w:hAnsi="Montserrat"/>
          <w:bCs/>
          <w:i/>
          <w:sz w:val="22"/>
          <w:szCs w:val="22"/>
        </w:rPr>
      </w:pPr>
    </w:p>
    <w:p w14:paraId="32CA22E2" w14:textId="15F98FC7"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2. </w:t>
      </w:r>
      <w:r w:rsidRPr="006F1C71">
        <w:rPr>
          <w:rFonts w:ascii="Montserrat" w:hAnsi="Montserrat"/>
          <w:bCs/>
          <w:i/>
          <w:sz w:val="22"/>
          <w:szCs w:val="22"/>
        </w:rPr>
        <w:t>El presente Acuerdo rige a partir de la fecha de su expedición.</w:t>
      </w:r>
    </w:p>
    <w:p w14:paraId="0FA91338" w14:textId="77777777" w:rsidR="006F1C71" w:rsidRPr="006F1C71" w:rsidRDefault="006F1C71" w:rsidP="006F1C71">
      <w:pPr>
        <w:jc w:val="both"/>
        <w:outlineLvl w:val="0"/>
        <w:rPr>
          <w:rFonts w:ascii="Montserrat" w:hAnsi="Montserrat"/>
          <w:bCs/>
          <w:i/>
          <w:sz w:val="22"/>
          <w:szCs w:val="22"/>
        </w:rPr>
      </w:pPr>
    </w:p>
    <w:p w14:paraId="14706AEC" w14:textId="77777777" w:rsidR="006F1C71" w:rsidRDefault="006F1C71">
      <w:pPr>
        <w:jc w:val="both"/>
        <w:outlineLvl w:val="0"/>
        <w:rPr>
          <w:rFonts w:ascii="Montserrat" w:hAnsi="Montserrat"/>
          <w:bCs/>
          <w:i/>
          <w:sz w:val="22"/>
          <w:szCs w:val="22"/>
        </w:rPr>
      </w:pPr>
    </w:p>
    <w:p w14:paraId="68E60512" w14:textId="37C28A38" w:rsidR="006F1C71" w:rsidRDefault="006F1C71">
      <w:pPr>
        <w:jc w:val="both"/>
        <w:outlineLvl w:val="0"/>
        <w:rPr>
          <w:rFonts w:ascii="Montserrat" w:hAnsi="Montserrat"/>
          <w:bCs/>
          <w:i/>
          <w:sz w:val="22"/>
          <w:szCs w:val="22"/>
        </w:rPr>
      </w:pPr>
      <w:r w:rsidRPr="006F1C71">
        <w:rPr>
          <w:rFonts w:ascii="Montserrat" w:hAnsi="Montserrat"/>
          <w:bCs/>
          <w:i/>
          <w:sz w:val="22"/>
          <w:szCs w:val="22"/>
        </w:rPr>
        <w:t>Presidente</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sidRPr="006F1C71">
        <w:rPr>
          <w:rFonts w:ascii="Montserrat" w:hAnsi="Montserrat"/>
          <w:bCs/>
          <w:i/>
          <w:sz w:val="22"/>
          <w:szCs w:val="22"/>
        </w:rPr>
        <w:t>Secretario Técnico</w:t>
      </w:r>
    </w:p>
    <w:p w14:paraId="6519548B" w14:textId="3D3D5FCF" w:rsidR="002639A4" w:rsidRDefault="006F1C71">
      <w:pPr>
        <w:jc w:val="both"/>
        <w:outlineLvl w:val="0"/>
        <w:rPr>
          <w:rFonts w:ascii="Montserrat" w:hAnsi="Montserrat"/>
          <w:bCs/>
          <w:i/>
          <w:sz w:val="22"/>
          <w:szCs w:val="22"/>
        </w:rPr>
      </w:pPr>
      <w:r w:rsidRPr="006F1C71">
        <w:rPr>
          <w:rFonts w:ascii="Montserrat" w:hAnsi="Montserrat"/>
          <w:bCs/>
          <w:i/>
          <w:sz w:val="22"/>
          <w:szCs w:val="22"/>
        </w:rPr>
        <w:t>Juan Carlos Guerrero</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sidRPr="006F1C71">
        <w:rPr>
          <w:rFonts w:ascii="Montserrat" w:hAnsi="Montserrat"/>
          <w:bCs/>
          <w:i/>
          <w:sz w:val="22"/>
          <w:szCs w:val="22"/>
        </w:rPr>
        <w:t>Alberto Olarte Aguirre</w:t>
      </w:r>
    </w:p>
    <w:p w14:paraId="17CD4D16" w14:textId="77777777"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E527" w14:textId="77777777" w:rsidR="002C76ED" w:rsidRDefault="002C76ED">
      <w:r>
        <w:separator/>
      </w:r>
    </w:p>
  </w:endnote>
  <w:endnote w:type="continuationSeparator" w:id="0">
    <w:p w14:paraId="2FD2E981" w14:textId="77777777" w:rsidR="002C76ED" w:rsidRDefault="002C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A66F5" w14:textId="77777777" w:rsidR="002C76ED" w:rsidRDefault="002C76ED">
      <w:r>
        <w:separator/>
      </w:r>
    </w:p>
  </w:footnote>
  <w:footnote w:type="continuationSeparator" w:id="0">
    <w:p w14:paraId="58B4B52D" w14:textId="77777777" w:rsidR="002C76ED" w:rsidRDefault="002C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77777777" w:rsidR="002639A4" w:rsidRDefault="00000000">
    <w:pPr>
      <w:pStyle w:val="Encabezado"/>
      <w:tabs>
        <w:tab w:val="center" w:pos="4419"/>
        <w:tab w:val="left" w:pos="7180"/>
      </w:tabs>
      <w:jc w:val="right"/>
      <w:rPr>
        <w:b/>
        <w:sz w:val="40"/>
        <w:lang w:val="es-MX"/>
      </w:rPr>
    </w:pPr>
    <w:r>
      <w:rPr>
        <w:b/>
        <w:sz w:val="40"/>
        <w:lang w:val="es-MX"/>
      </w:rPr>
      <w:tab/>
    </w:r>
    <w:r>
      <w:rPr>
        <w:noProof/>
      </w:rPr>
      <w:drawing>
        <wp:inline distT="0" distB="0" distL="0" distR="0" wp14:anchorId="6151F187" wp14:editId="1FABBB82">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3"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2"/>
  </w:num>
  <w:num w:numId="2" w16cid:durableId="107311955">
    <w:abstractNumId w:val="1"/>
  </w:num>
  <w:num w:numId="3" w16cid:durableId="302540061">
    <w:abstractNumId w:val="9"/>
  </w:num>
  <w:num w:numId="4" w16cid:durableId="213662726">
    <w:abstractNumId w:val="15"/>
  </w:num>
  <w:num w:numId="5" w16cid:durableId="1035084654">
    <w:abstractNumId w:val="16"/>
  </w:num>
  <w:num w:numId="6" w16cid:durableId="1250582270">
    <w:abstractNumId w:val="3"/>
  </w:num>
  <w:num w:numId="7" w16cid:durableId="440342342">
    <w:abstractNumId w:val="19"/>
  </w:num>
  <w:num w:numId="8" w16cid:durableId="1954286661">
    <w:abstractNumId w:val="17"/>
  </w:num>
  <w:num w:numId="9" w16cid:durableId="1889342353">
    <w:abstractNumId w:val="8"/>
  </w:num>
  <w:num w:numId="10" w16cid:durableId="563102994">
    <w:abstractNumId w:val="4"/>
  </w:num>
  <w:num w:numId="11" w16cid:durableId="844831275">
    <w:abstractNumId w:val="5"/>
  </w:num>
  <w:num w:numId="12" w16cid:durableId="538858920">
    <w:abstractNumId w:val="11"/>
  </w:num>
  <w:num w:numId="13" w16cid:durableId="1196457771">
    <w:abstractNumId w:val="14"/>
  </w:num>
  <w:num w:numId="14" w16cid:durableId="1159924391">
    <w:abstractNumId w:val="13"/>
  </w:num>
  <w:num w:numId="15" w16cid:durableId="1017199961">
    <w:abstractNumId w:val="7"/>
  </w:num>
  <w:num w:numId="16" w16cid:durableId="1601520430">
    <w:abstractNumId w:val="18"/>
  </w:num>
  <w:num w:numId="17" w16cid:durableId="22947410">
    <w:abstractNumId w:val="12"/>
  </w:num>
  <w:num w:numId="18" w16cid:durableId="1468938497">
    <w:abstractNumId w:val="6"/>
  </w:num>
  <w:num w:numId="19" w16cid:durableId="1203639343">
    <w:abstractNumId w:val="0"/>
  </w:num>
  <w:num w:numId="20" w16cid:durableId="445318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2639A4"/>
    <w:rsid w:val="002C76ED"/>
    <w:rsid w:val="003476D5"/>
    <w:rsid w:val="005D1661"/>
    <w:rsid w:val="006A2B7D"/>
    <w:rsid w:val="006F1C71"/>
    <w:rsid w:val="008819B1"/>
    <w:rsid w:val="00884981"/>
    <w:rsid w:val="009C0DED"/>
    <w:rsid w:val="00A23B3A"/>
    <w:rsid w:val="00AA606B"/>
    <w:rsid w:val="00C96041"/>
    <w:rsid w:val="00EE0061"/>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2022-11-30T11:27:00Z</dcterms:created>
  <dcterms:modified xsi:type="dcterms:W3CDTF">2022-11-30T11:27:00Z</dcterms:modified>
  <dc:language>es-CO</dc:language>
</cp:coreProperties>
</file>