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5D65954A"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883EC5">
        <w:rPr>
          <w:rFonts w:ascii="Verdana" w:hAnsi="Verdana"/>
          <w:i w:val="0"/>
          <w:iCs w:val="0"/>
          <w:noProof/>
          <w:color w:val="000000" w:themeColor="text1"/>
          <w:sz w:val="22"/>
          <w:szCs w:val="22"/>
          <w:lang w:val="es-ES_tradnl"/>
        </w:rPr>
        <w:t>1</w:t>
      </w:r>
      <w:r w:rsidR="00ED7B94">
        <w:rPr>
          <w:rFonts w:ascii="Verdana" w:hAnsi="Verdana"/>
          <w:i w:val="0"/>
          <w:iCs w:val="0"/>
          <w:noProof/>
          <w:color w:val="000000" w:themeColor="text1"/>
          <w:sz w:val="22"/>
          <w:szCs w:val="22"/>
          <w:lang w:val="es-ES_tradnl"/>
        </w:rPr>
        <w:t>9</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ED7B94">
        <w:rPr>
          <w:rFonts w:ascii="Verdana" w:hAnsi="Verdana"/>
          <w:i w:val="0"/>
          <w:iCs w:val="0"/>
          <w:noProof/>
          <w:color w:val="000000" w:themeColor="text1"/>
          <w:sz w:val="22"/>
          <w:szCs w:val="22"/>
          <w:lang w:val="es-ES_tradnl"/>
        </w:rPr>
        <w:t>dic</w:t>
      </w:r>
      <w:r w:rsidR="00F6067E">
        <w:rPr>
          <w:rFonts w:ascii="Verdana" w:hAnsi="Verdana"/>
          <w:i w:val="0"/>
          <w:iCs w:val="0"/>
          <w:noProof/>
          <w:color w:val="000000" w:themeColor="text1"/>
          <w:sz w:val="22"/>
          <w:szCs w:val="22"/>
          <w:lang w:val="es-ES_tradnl"/>
        </w:rPr>
        <w:t>iem</w:t>
      </w:r>
      <w:r w:rsidR="00A76975">
        <w:rPr>
          <w:rFonts w:ascii="Verdana" w:hAnsi="Verdana"/>
          <w:i w:val="0"/>
          <w:iCs w:val="0"/>
          <w:noProof/>
          <w:color w:val="000000" w:themeColor="text1"/>
          <w:sz w:val="22"/>
          <w:szCs w:val="22"/>
          <w:lang w:val="es-ES_tradnl"/>
        </w:rPr>
        <w:t>bre</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2019</w:t>
      </w: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026E1328"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 xml:space="preserve">eto de realizar la sesión N° </w:t>
      </w:r>
      <w:r w:rsidR="00CC77A6">
        <w:rPr>
          <w:rFonts w:ascii="Verdana" w:hAnsi="Verdana" w:cs="Arial"/>
          <w:noProof/>
          <w:sz w:val="22"/>
          <w:szCs w:val="22"/>
          <w:lang w:val="es-ES_tradnl"/>
        </w:rPr>
        <w:t>57</w:t>
      </w:r>
      <w:r w:rsidR="00ED7B94">
        <w:rPr>
          <w:rFonts w:ascii="Verdana" w:hAnsi="Verdana" w:cs="Arial"/>
          <w:noProof/>
          <w:sz w:val="22"/>
          <w:szCs w:val="22"/>
          <w:lang w:val="es-ES_tradnl"/>
        </w:rPr>
        <w:t>9</w:t>
      </w:r>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siguiente</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propuesta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bookmarkStart w:id="0" w:name="_GoBack"/>
      <w:bookmarkEnd w:id="0"/>
    </w:p>
    <w:p w14:paraId="4B804C78" w14:textId="2D13D853" w:rsidR="004E135A" w:rsidRPr="008A1881" w:rsidRDefault="004E135A" w:rsidP="004E135A">
      <w:pPr>
        <w:pStyle w:val="Textoindependiente21"/>
        <w:tabs>
          <w:tab w:val="left" w:pos="142"/>
          <w:tab w:val="left" w:pos="284"/>
        </w:tabs>
        <w:spacing w:line="240" w:lineRule="auto"/>
        <w:jc w:val="center"/>
        <w:rPr>
          <w:rFonts w:ascii="Verdana" w:hAnsi="Verdana" w:cs="Arial"/>
          <w:bCs/>
          <w:i/>
          <w:noProof/>
          <w:sz w:val="20"/>
          <w:lang w:val="es-ES_tradnl"/>
        </w:rPr>
      </w:pPr>
      <w:r w:rsidRPr="008A1881">
        <w:rPr>
          <w:rFonts w:ascii="Verdana" w:hAnsi="Verdana" w:cs="Arial"/>
          <w:bCs/>
          <w:i/>
          <w:noProof/>
          <w:sz w:val="20"/>
          <w:lang w:val="es-ES_tradnl"/>
        </w:rPr>
        <w:t>“Acuerdo xxx</w:t>
      </w:r>
    </w:p>
    <w:p w14:paraId="7E81AB74" w14:textId="4F9B8DDB" w:rsidR="008A1881" w:rsidRDefault="008A1881" w:rsidP="004E135A">
      <w:pPr>
        <w:pStyle w:val="Textoindependiente21"/>
        <w:tabs>
          <w:tab w:val="left" w:pos="142"/>
          <w:tab w:val="left" w:pos="284"/>
        </w:tabs>
        <w:spacing w:line="240" w:lineRule="auto"/>
        <w:jc w:val="center"/>
        <w:rPr>
          <w:rFonts w:ascii="Verdana" w:hAnsi="Verdana" w:cs="Arial"/>
          <w:b/>
          <w:i/>
          <w:noProof/>
          <w:sz w:val="20"/>
          <w:lang w:val="es-ES_tradnl"/>
        </w:rPr>
      </w:pPr>
    </w:p>
    <w:p w14:paraId="1D9DE932" w14:textId="27518954" w:rsidR="008A1881" w:rsidRPr="008A1881" w:rsidRDefault="008A1881" w:rsidP="004E135A">
      <w:pPr>
        <w:pStyle w:val="Textoindependiente21"/>
        <w:tabs>
          <w:tab w:val="left" w:pos="142"/>
          <w:tab w:val="left" w:pos="284"/>
        </w:tabs>
        <w:spacing w:line="240" w:lineRule="auto"/>
        <w:jc w:val="center"/>
        <w:rPr>
          <w:rFonts w:ascii="Verdana" w:hAnsi="Verdana" w:cs="Arial"/>
          <w:b/>
          <w:i/>
          <w:noProof/>
          <w:sz w:val="22"/>
          <w:szCs w:val="22"/>
          <w:lang w:val="es-ES_tradnl"/>
        </w:rPr>
      </w:pPr>
      <w:r w:rsidRPr="008A1881">
        <w:rPr>
          <w:rFonts w:ascii="Verdana" w:hAnsi="Verdana"/>
          <w:color w:val="3C3C3B"/>
          <w:sz w:val="22"/>
          <w:szCs w:val="22"/>
          <w:shd w:val="clear" w:color="auto" w:fill="E9E9E9"/>
        </w:rPr>
        <w:t>Por el cual se aprueban algunas autorizaciones de desviaciones de los recursos de generación</w:t>
      </w:r>
    </w:p>
    <w:p w14:paraId="1FF665D5" w14:textId="4AAD6BCD" w:rsidR="00100DEB" w:rsidRPr="004E135A" w:rsidRDefault="00100DEB" w:rsidP="00D342A1">
      <w:pPr>
        <w:rPr>
          <w:rFonts w:ascii="Verdana" w:hAnsi="Verdana"/>
          <w:bCs/>
          <w:i/>
          <w:iCs/>
          <w:sz w:val="20"/>
          <w:szCs w:val="20"/>
        </w:rPr>
      </w:pP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FF4DB95" w14:textId="3E7FF339" w:rsidR="00100DEB" w:rsidRPr="00100DEB" w:rsidRDefault="00100DEB" w:rsidP="00CC77A6">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w:t>
      </w:r>
      <w:r w:rsidR="00ED7B94">
        <w:rPr>
          <w:rFonts w:ascii="Verdana" w:hAnsi="Verdana"/>
          <w:i/>
          <w:color w:val="3C3C3B"/>
          <w:sz w:val="20"/>
          <w:szCs w:val="20"/>
          <w:lang w:eastAsia="es-CO"/>
        </w:rPr>
        <w:t>dic</w:t>
      </w:r>
      <w:r w:rsidR="00F6067E">
        <w:rPr>
          <w:rFonts w:ascii="Verdana" w:hAnsi="Verdana"/>
          <w:i/>
          <w:color w:val="3C3C3B"/>
          <w:sz w:val="20"/>
          <w:szCs w:val="20"/>
          <w:lang w:eastAsia="es-CO"/>
        </w:rPr>
        <w:t>iem</w:t>
      </w:r>
      <w:r w:rsidR="00A76975">
        <w:rPr>
          <w:rFonts w:ascii="Verdana" w:hAnsi="Verdana"/>
          <w:i/>
          <w:color w:val="3C3C3B"/>
          <w:sz w:val="20"/>
          <w:szCs w:val="20"/>
          <w:lang w:eastAsia="es-CO"/>
        </w:rPr>
        <w:t>bre</w:t>
      </w:r>
      <w:r w:rsidR="009369B1">
        <w:rPr>
          <w:rFonts w:ascii="Verdana" w:hAnsi="Verdana"/>
          <w:i/>
          <w:color w:val="3C3C3B"/>
          <w:sz w:val="20"/>
          <w:szCs w:val="20"/>
          <w:lang w:eastAsia="es-CO"/>
        </w:rPr>
        <w:t xml:space="preserve"> de 201</w:t>
      </w:r>
      <w:r w:rsidR="00783AD4">
        <w:rPr>
          <w:rFonts w:ascii="Verdana" w:hAnsi="Verdana"/>
          <w:i/>
          <w:color w:val="3C3C3B"/>
          <w:sz w:val="20"/>
          <w:szCs w:val="20"/>
          <w:lang w:eastAsia="es-CO"/>
        </w:rPr>
        <w:t>9</w:t>
      </w:r>
      <w:r w:rsidRPr="00100DEB">
        <w:rPr>
          <w:rFonts w:ascii="Verdana" w:hAnsi="Verdana"/>
          <w:i/>
          <w:color w:val="3C3C3B"/>
          <w:sz w:val="20"/>
          <w:szCs w:val="20"/>
          <w:lang w:eastAsia="es-CO"/>
        </w:rPr>
        <w:t xml:space="preserve"> y,</w:t>
      </w:r>
    </w:p>
    <w:p w14:paraId="3BC281BE" w14:textId="17326767" w:rsidR="00100DEB" w:rsidRPr="00100DEB"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64B7025F" w14:textId="5BE2DFB6" w:rsidR="00100DEB" w:rsidRPr="004E135A" w:rsidRDefault="00100DEB" w:rsidP="00F33B2D">
      <w:pPr>
        <w:jc w:val="both"/>
        <w:rPr>
          <w:rFonts w:ascii="Verdana" w:hAnsi="Verdana"/>
          <w:bCs/>
          <w:i/>
          <w:iCs/>
          <w:sz w:val="20"/>
          <w:szCs w:val="20"/>
        </w:rPr>
      </w:pPr>
    </w:p>
    <w:p w14:paraId="3F003E83" w14:textId="62238298"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1. </w:t>
      </w:r>
      <w:r w:rsidRPr="00ED7B94">
        <w:rPr>
          <w:rFonts w:ascii="Verdana" w:hAnsi="Verdana"/>
          <w:bCs/>
          <w:i/>
          <w:iCs/>
          <w:sz w:val="20"/>
          <w:szCs w:val="20"/>
        </w:rPr>
        <w:t>Que mediante el Acuerdo 71 de 2000 se autorizaron desviaciones para las pruebas de Regulación Primaria de unidades generadoras y se definieron procedimientos.</w:t>
      </w:r>
    </w:p>
    <w:p w14:paraId="2EB84F6B" w14:textId="5D7776C2" w:rsidR="00ED7B94" w:rsidRPr="00ED7B94" w:rsidRDefault="00ED7B94" w:rsidP="00ED7B94">
      <w:pPr>
        <w:jc w:val="both"/>
        <w:rPr>
          <w:rFonts w:ascii="Verdana" w:hAnsi="Verdana"/>
          <w:bCs/>
          <w:i/>
          <w:iCs/>
          <w:sz w:val="20"/>
          <w:szCs w:val="20"/>
        </w:rPr>
      </w:pPr>
    </w:p>
    <w:p w14:paraId="6FCB9449" w14:textId="3C55C604"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2. </w:t>
      </w:r>
      <w:r w:rsidRPr="00ED7B94">
        <w:rPr>
          <w:rFonts w:ascii="Verdana" w:hAnsi="Verdana"/>
          <w:bCs/>
          <w:i/>
          <w:iCs/>
          <w:sz w:val="20"/>
          <w:szCs w:val="20"/>
        </w:rPr>
        <w:t>Que mediante el Acuerdo 75 de 2000 se definió el tratamiento a las autorizaciones para desviaciones de plantas divididas en sub-plantas.</w:t>
      </w:r>
    </w:p>
    <w:p w14:paraId="7BC49AEC" w14:textId="419A553B" w:rsidR="00ED7B94" w:rsidRPr="00ED7B94" w:rsidRDefault="00ED7B94" w:rsidP="00ED7B94">
      <w:pPr>
        <w:jc w:val="both"/>
        <w:rPr>
          <w:rFonts w:ascii="Verdana" w:hAnsi="Verdana"/>
          <w:bCs/>
          <w:i/>
          <w:iCs/>
          <w:sz w:val="20"/>
          <w:szCs w:val="20"/>
        </w:rPr>
      </w:pPr>
    </w:p>
    <w:p w14:paraId="40784440" w14:textId="5C06496B"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3. </w:t>
      </w:r>
      <w:r w:rsidRPr="00ED7B94">
        <w:rPr>
          <w:rFonts w:ascii="Verdana" w:hAnsi="Verdana"/>
          <w:bCs/>
          <w:i/>
          <w:iCs/>
          <w:sz w:val="20"/>
          <w:szCs w:val="20"/>
        </w:rPr>
        <w:t>Que mediante el Acuerdo 162 de 2001 se aprobó la autorización a desviaciones después de eventos externos de unidades de generación excluidos del cálculo de la indisponibilidad, de acuerdo con lo establecido en el Anexo A-2 del Código Comercial.</w:t>
      </w:r>
    </w:p>
    <w:p w14:paraId="60DF101C" w14:textId="77777777" w:rsidR="00ED7B94" w:rsidRPr="00ED7B94" w:rsidRDefault="00ED7B94" w:rsidP="00ED7B94">
      <w:pPr>
        <w:jc w:val="both"/>
        <w:rPr>
          <w:rFonts w:ascii="Verdana" w:hAnsi="Verdana"/>
          <w:bCs/>
          <w:i/>
          <w:iCs/>
          <w:sz w:val="20"/>
          <w:szCs w:val="20"/>
        </w:rPr>
      </w:pPr>
    </w:p>
    <w:p w14:paraId="258FD58C" w14:textId="76262108"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4. </w:t>
      </w:r>
      <w:r w:rsidRPr="00ED7B94">
        <w:rPr>
          <w:rFonts w:ascii="Verdana" w:hAnsi="Verdana"/>
          <w:bCs/>
          <w:i/>
          <w:iCs/>
          <w:sz w:val="20"/>
          <w:szCs w:val="20"/>
        </w:rPr>
        <w:t>Que mediante el Acuerdo 188 de 2001 se amplió el alcance del Acuerdo de la reunión 065 sobre autorizaciones a plantas que pasan de algún valor a cero o de cero a algún valor en ambos períodos horarios.</w:t>
      </w:r>
    </w:p>
    <w:p w14:paraId="14E24829" w14:textId="2FCE15F6" w:rsidR="00ED7B94" w:rsidRPr="00ED7B94" w:rsidRDefault="00ED7B94" w:rsidP="00ED7B94">
      <w:pPr>
        <w:jc w:val="both"/>
        <w:rPr>
          <w:rFonts w:ascii="Verdana" w:hAnsi="Verdana"/>
          <w:bCs/>
          <w:i/>
          <w:iCs/>
          <w:sz w:val="20"/>
          <w:szCs w:val="20"/>
        </w:rPr>
      </w:pPr>
    </w:p>
    <w:p w14:paraId="47F7017E" w14:textId="2F61892A" w:rsidR="00ED7B94" w:rsidRPr="00ED7B94" w:rsidRDefault="00ED7B94" w:rsidP="00ED7B94">
      <w:pPr>
        <w:jc w:val="both"/>
        <w:rPr>
          <w:rFonts w:ascii="Verdana" w:hAnsi="Verdana"/>
          <w:bCs/>
          <w:i/>
          <w:iCs/>
          <w:sz w:val="20"/>
          <w:szCs w:val="20"/>
        </w:rPr>
      </w:pPr>
      <w:r>
        <w:rPr>
          <w:rFonts w:ascii="Verdana" w:hAnsi="Verdana"/>
          <w:bCs/>
          <w:i/>
          <w:iCs/>
          <w:sz w:val="20"/>
          <w:szCs w:val="20"/>
        </w:rPr>
        <w:lastRenderedPageBreak/>
        <w:t xml:space="preserve">5. </w:t>
      </w:r>
      <w:r w:rsidRPr="00ED7B94">
        <w:rPr>
          <w:rFonts w:ascii="Verdana" w:hAnsi="Verdana"/>
          <w:bCs/>
          <w:i/>
          <w:iCs/>
          <w:sz w:val="20"/>
          <w:szCs w:val="20"/>
        </w:rPr>
        <w:t>Que mediante el Acuerdo 338 de 2005 se aprobó la autorización de desviaciones durante la realización de transferencia de combustible principal a alterno y viceversa, así como el procedimiento para el cambio de combustible y la operación con combustible alterno.</w:t>
      </w:r>
    </w:p>
    <w:p w14:paraId="6A012C3E" w14:textId="77777777" w:rsidR="00ED7B94" w:rsidRPr="00ED7B94" w:rsidRDefault="00ED7B94" w:rsidP="00ED7B94">
      <w:pPr>
        <w:jc w:val="both"/>
        <w:rPr>
          <w:rFonts w:ascii="Verdana" w:hAnsi="Verdana"/>
          <w:bCs/>
          <w:i/>
          <w:iCs/>
          <w:sz w:val="20"/>
          <w:szCs w:val="20"/>
        </w:rPr>
      </w:pPr>
    </w:p>
    <w:p w14:paraId="2A102880" w14:textId="7484B882"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6. </w:t>
      </w:r>
      <w:r w:rsidRPr="00ED7B94">
        <w:rPr>
          <w:rFonts w:ascii="Verdana" w:hAnsi="Verdana"/>
          <w:bCs/>
          <w:i/>
          <w:iCs/>
          <w:sz w:val="20"/>
          <w:szCs w:val="20"/>
        </w:rPr>
        <w:t>Que el 10 de noviembre de 2011 se expidió el Acuerdo 555 por el cual se aprobaron algunas autorizaciones de desviaciones de los recursos de generación y se sustituyeron los Acuerdos 71 y 75 de 2000, 162 y 188 de 2001 y 338 de 2005.</w:t>
      </w:r>
    </w:p>
    <w:p w14:paraId="48EE73CB" w14:textId="77777777" w:rsidR="00ED7B94" w:rsidRPr="00ED7B94" w:rsidRDefault="00ED7B94" w:rsidP="00ED7B94">
      <w:pPr>
        <w:jc w:val="both"/>
        <w:rPr>
          <w:rFonts w:ascii="Verdana" w:hAnsi="Verdana"/>
          <w:bCs/>
          <w:i/>
          <w:iCs/>
          <w:sz w:val="20"/>
          <w:szCs w:val="20"/>
        </w:rPr>
      </w:pPr>
    </w:p>
    <w:p w14:paraId="7ED183D6" w14:textId="1F3FBE34"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7. </w:t>
      </w:r>
      <w:r w:rsidRPr="00ED7B94">
        <w:rPr>
          <w:rFonts w:ascii="Verdana" w:hAnsi="Verdana"/>
          <w:bCs/>
          <w:i/>
          <w:iCs/>
          <w:sz w:val="20"/>
          <w:szCs w:val="20"/>
        </w:rPr>
        <w:t>Que según lo establecido en el numeral 5.2 de la Resolución CREG 025 de 1995, XM S.A. E.S.P., teniendo en cuenta las condiciones operativas del sistema y con el fin de preservar la seguridad y confiabilidad del Sistema Interconectado Nacional – SIN, podrá autorizar la desviación de las plantas de generación que considere necesario.</w:t>
      </w:r>
    </w:p>
    <w:p w14:paraId="46BBA80C" w14:textId="77777777" w:rsidR="00ED7B94" w:rsidRPr="00ED7B94" w:rsidRDefault="00ED7B94" w:rsidP="00ED7B94">
      <w:pPr>
        <w:jc w:val="both"/>
        <w:rPr>
          <w:rFonts w:ascii="Verdana" w:hAnsi="Verdana"/>
          <w:bCs/>
          <w:i/>
          <w:iCs/>
          <w:sz w:val="20"/>
          <w:szCs w:val="20"/>
        </w:rPr>
      </w:pPr>
    </w:p>
    <w:p w14:paraId="062AC611" w14:textId="5931DFB5"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8. </w:t>
      </w:r>
      <w:r w:rsidRPr="00ED7B94">
        <w:rPr>
          <w:rFonts w:ascii="Verdana" w:hAnsi="Verdana"/>
          <w:bCs/>
          <w:i/>
          <w:iCs/>
          <w:sz w:val="20"/>
          <w:szCs w:val="20"/>
        </w:rPr>
        <w:t>Que XM S.A. E.S.P. como operador del Sistema Interconectado Nacional – SIN en aras de mitigar riesgos para la operación segura, confiable y económica del Sistema y dado el marco regulatorio actual, solicitó al Consejo Nacional de Operación – CNO revisar las autorizaciones automáticas establecidas en el Acuerdo CNO 555, con el objetivo de tener mayor firmeza y control en el programa de generación del despacho programado.</w:t>
      </w:r>
    </w:p>
    <w:p w14:paraId="31FD3FC9" w14:textId="77777777" w:rsidR="00ED7B94" w:rsidRPr="00ED7B94" w:rsidRDefault="00ED7B94" w:rsidP="00ED7B94">
      <w:pPr>
        <w:jc w:val="both"/>
        <w:rPr>
          <w:rFonts w:ascii="Verdana" w:hAnsi="Verdana"/>
          <w:bCs/>
          <w:i/>
          <w:iCs/>
          <w:sz w:val="20"/>
          <w:szCs w:val="20"/>
        </w:rPr>
      </w:pPr>
    </w:p>
    <w:p w14:paraId="117AC98A" w14:textId="70378328"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9. </w:t>
      </w:r>
      <w:r w:rsidRPr="00ED7B94">
        <w:rPr>
          <w:rFonts w:ascii="Verdana" w:hAnsi="Verdana"/>
          <w:bCs/>
          <w:i/>
          <w:iCs/>
          <w:sz w:val="20"/>
          <w:szCs w:val="20"/>
        </w:rPr>
        <w:t>Que se debe preservar la integridad técnica de las plantas de generación del Sistema Interconectado Nacional – SIN y el cumplimiento de los requerimientos ambientales exigidos por la normativa actual.</w:t>
      </w:r>
    </w:p>
    <w:p w14:paraId="2E9268EF" w14:textId="77777777" w:rsidR="00ED7B94" w:rsidRPr="00ED7B94" w:rsidRDefault="00ED7B94" w:rsidP="00ED7B94">
      <w:pPr>
        <w:jc w:val="both"/>
        <w:rPr>
          <w:rFonts w:ascii="Verdana" w:hAnsi="Verdana"/>
          <w:bCs/>
          <w:i/>
          <w:iCs/>
          <w:sz w:val="20"/>
          <w:szCs w:val="20"/>
        </w:rPr>
      </w:pPr>
    </w:p>
    <w:p w14:paraId="71731BF7" w14:textId="07D68498"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10. </w:t>
      </w:r>
      <w:r w:rsidRPr="00ED7B94">
        <w:rPr>
          <w:rFonts w:ascii="Verdana" w:hAnsi="Verdana"/>
          <w:bCs/>
          <w:i/>
          <w:iCs/>
          <w:sz w:val="20"/>
          <w:szCs w:val="20"/>
        </w:rPr>
        <w:t>Que el Subcomité de Plantas revisó la solicitud de XM S.A. E.S.P en las reuniones ordinarias 290, 291, 292 y extraordinaria 300, grupo de trabajo asignado para revisar el tema el día 11 de julio de 2019 y entregó su concepto al Comité de Operación.</w:t>
      </w:r>
    </w:p>
    <w:p w14:paraId="6804D2EE" w14:textId="77777777" w:rsidR="00ED7B94" w:rsidRPr="00ED7B94" w:rsidRDefault="00ED7B94" w:rsidP="00ED7B94">
      <w:pPr>
        <w:jc w:val="both"/>
        <w:rPr>
          <w:rFonts w:ascii="Verdana" w:hAnsi="Verdana"/>
          <w:bCs/>
          <w:i/>
          <w:iCs/>
          <w:sz w:val="20"/>
          <w:szCs w:val="20"/>
        </w:rPr>
      </w:pPr>
    </w:p>
    <w:p w14:paraId="1CAC7D66" w14:textId="0406FBBF" w:rsidR="00ED7B94" w:rsidRPr="00ED7B94" w:rsidRDefault="00ED7B94" w:rsidP="00ED7B94">
      <w:pPr>
        <w:jc w:val="both"/>
        <w:rPr>
          <w:rFonts w:ascii="Verdana" w:hAnsi="Verdana"/>
          <w:bCs/>
          <w:i/>
          <w:iCs/>
          <w:sz w:val="20"/>
          <w:szCs w:val="20"/>
        </w:rPr>
      </w:pPr>
      <w:r w:rsidRPr="00ED7B94">
        <w:rPr>
          <w:rFonts w:ascii="Verdana" w:hAnsi="Verdana"/>
          <w:bCs/>
          <w:i/>
          <w:iCs/>
          <w:sz w:val="20"/>
          <w:szCs w:val="20"/>
        </w:rPr>
        <w:t>1</w:t>
      </w:r>
      <w:r>
        <w:rPr>
          <w:rFonts w:ascii="Verdana" w:hAnsi="Verdana"/>
          <w:bCs/>
          <w:i/>
          <w:iCs/>
          <w:sz w:val="20"/>
          <w:szCs w:val="20"/>
        </w:rPr>
        <w:t xml:space="preserve">1. </w:t>
      </w:r>
      <w:r w:rsidRPr="00ED7B94">
        <w:rPr>
          <w:rFonts w:ascii="Verdana" w:hAnsi="Verdana"/>
          <w:bCs/>
          <w:i/>
          <w:iCs/>
          <w:sz w:val="20"/>
          <w:szCs w:val="20"/>
        </w:rPr>
        <w:t>Que el Comité Legal revisó la solicitud de XM S.A. E.S.P. en la reunión 108 del 4 de octubre de 2019 y entregó su concepto al Comité de Operación.</w:t>
      </w:r>
    </w:p>
    <w:p w14:paraId="20537C29" w14:textId="77777777" w:rsidR="00ED7B94" w:rsidRPr="00ED7B94" w:rsidRDefault="00ED7B94" w:rsidP="00ED7B94">
      <w:pPr>
        <w:jc w:val="both"/>
        <w:rPr>
          <w:rFonts w:ascii="Verdana" w:hAnsi="Verdana"/>
          <w:bCs/>
          <w:i/>
          <w:iCs/>
          <w:sz w:val="20"/>
          <w:szCs w:val="20"/>
        </w:rPr>
      </w:pPr>
    </w:p>
    <w:p w14:paraId="48CD97A3" w14:textId="36CDF258" w:rsidR="00ED7B94" w:rsidRPr="00ED7B94" w:rsidRDefault="00ED7B94" w:rsidP="00ED7B94">
      <w:pPr>
        <w:jc w:val="both"/>
        <w:rPr>
          <w:rFonts w:ascii="Verdana" w:hAnsi="Verdana"/>
          <w:bCs/>
          <w:i/>
          <w:iCs/>
          <w:sz w:val="20"/>
          <w:szCs w:val="20"/>
        </w:rPr>
      </w:pPr>
      <w:r w:rsidRPr="00ED7B94">
        <w:rPr>
          <w:rFonts w:ascii="Verdana" w:hAnsi="Verdana"/>
          <w:bCs/>
          <w:i/>
          <w:iCs/>
          <w:sz w:val="20"/>
          <w:szCs w:val="20"/>
        </w:rPr>
        <w:t>1</w:t>
      </w:r>
      <w:r>
        <w:rPr>
          <w:rFonts w:ascii="Verdana" w:hAnsi="Verdana"/>
          <w:bCs/>
          <w:i/>
          <w:iCs/>
          <w:sz w:val="20"/>
          <w:szCs w:val="20"/>
        </w:rPr>
        <w:t xml:space="preserve">2. </w:t>
      </w:r>
      <w:r w:rsidRPr="00ED7B94">
        <w:rPr>
          <w:rFonts w:ascii="Verdana" w:hAnsi="Verdana"/>
          <w:bCs/>
          <w:i/>
          <w:iCs/>
          <w:sz w:val="20"/>
          <w:szCs w:val="20"/>
        </w:rPr>
        <w:t xml:space="preserve">Que el Comité de Operación revisó la solicitud de XM S.A. E.S.P en las reuniones ordinarias 331, 334 y extraordinarias 333 y 335 e integró un grupo de trabajo para redactar una propuesta de Acuerdo que modificara el Acuerdo 555. </w:t>
      </w:r>
    </w:p>
    <w:p w14:paraId="123F147F" w14:textId="77777777" w:rsidR="00ED7B94" w:rsidRPr="00ED7B94" w:rsidRDefault="00ED7B94" w:rsidP="00ED7B94">
      <w:pPr>
        <w:jc w:val="both"/>
        <w:rPr>
          <w:rFonts w:ascii="Verdana" w:hAnsi="Verdana"/>
          <w:bCs/>
          <w:i/>
          <w:iCs/>
          <w:sz w:val="20"/>
          <w:szCs w:val="20"/>
        </w:rPr>
      </w:pPr>
    </w:p>
    <w:p w14:paraId="7C33C1A7" w14:textId="7874E546" w:rsidR="00ED7B94" w:rsidRPr="00ED7B94" w:rsidRDefault="00ED7B94" w:rsidP="00ED7B94">
      <w:pPr>
        <w:jc w:val="both"/>
        <w:rPr>
          <w:rFonts w:ascii="Verdana" w:hAnsi="Verdana"/>
          <w:bCs/>
          <w:i/>
          <w:iCs/>
          <w:sz w:val="20"/>
          <w:szCs w:val="20"/>
        </w:rPr>
      </w:pPr>
      <w:r w:rsidRPr="00ED7B94">
        <w:rPr>
          <w:rFonts w:ascii="Verdana" w:hAnsi="Verdana"/>
          <w:bCs/>
          <w:i/>
          <w:iCs/>
          <w:sz w:val="20"/>
          <w:szCs w:val="20"/>
        </w:rPr>
        <w:t>1</w:t>
      </w:r>
      <w:r>
        <w:rPr>
          <w:rFonts w:ascii="Verdana" w:hAnsi="Verdana"/>
          <w:bCs/>
          <w:i/>
          <w:iCs/>
          <w:sz w:val="20"/>
          <w:szCs w:val="20"/>
        </w:rPr>
        <w:t xml:space="preserve">3. </w:t>
      </w:r>
      <w:r w:rsidRPr="00ED7B94">
        <w:rPr>
          <w:rFonts w:ascii="Verdana" w:hAnsi="Verdana"/>
          <w:bCs/>
          <w:i/>
          <w:iCs/>
          <w:sz w:val="20"/>
          <w:szCs w:val="20"/>
        </w:rPr>
        <w:t>Que en la reunión 578 del día 13 de diciembre de 2019 del Consejo Nacional de Operación hubo consenso para la expedición del presente Acuerdo.</w:t>
      </w:r>
    </w:p>
    <w:p w14:paraId="6899212C" w14:textId="77777777" w:rsidR="00ED7B94" w:rsidRPr="00ED7B94" w:rsidRDefault="00ED7B94" w:rsidP="00ED7B94">
      <w:pPr>
        <w:jc w:val="both"/>
        <w:rPr>
          <w:rFonts w:ascii="Verdana" w:hAnsi="Verdana"/>
          <w:bCs/>
          <w:i/>
          <w:iCs/>
          <w:sz w:val="20"/>
          <w:szCs w:val="20"/>
        </w:rPr>
      </w:pPr>
    </w:p>
    <w:p w14:paraId="559A786A" w14:textId="29A45F27" w:rsidR="00ED7B94" w:rsidRPr="00ED7B94" w:rsidRDefault="00ED7B94" w:rsidP="00ED7B94">
      <w:pPr>
        <w:jc w:val="both"/>
        <w:rPr>
          <w:rFonts w:ascii="Verdana" w:hAnsi="Verdana"/>
          <w:bCs/>
          <w:i/>
          <w:iCs/>
          <w:sz w:val="20"/>
          <w:szCs w:val="20"/>
        </w:rPr>
      </w:pPr>
    </w:p>
    <w:p w14:paraId="220A55C6" w14:textId="21E331F0" w:rsidR="00ED7B94" w:rsidRDefault="00ED7B94" w:rsidP="00ED7B94">
      <w:pPr>
        <w:jc w:val="center"/>
        <w:rPr>
          <w:rFonts w:ascii="Verdana" w:hAnsi="Verdana"/>
          <w:bCs/>
          <w:i/>
          <w:iCs/>
          <w:sz w:val="20"/>
          <w:szCs w:val="20"/>
        </w:rPr>
      </w:pPr>
      <w:r w:rsidRPr="00ED7B94">
        <w:rPr>
          <w:rFonts w:ascii="Verdana" w:hAnsi="Verdana"/>
          <w:bCs/>
          <w:i/>
          <w:iCs/>
          <w:sz w:val="20"/>
          <w:szCs w:val="20"/>
        </w:rPr>
        <w:t>ACUERDA:</w:t>
      </w:r>
    </w:p>
    <w:p w14:paraId="23FF84B4" w14:textId="77777777" w:rsidR="00ED7B94" w:rsidRPr="00ED7B94" w:rsidRDefault="00ED7B94" w:rsidP="00ED7B94">
      <w:pPr>
        <w:jc w:val="center"/>
        <w:rPr>
          <w:rFonts w:ascii="Verdana" w:hAnsi="Verdana"/>
          <w:bCs/>
          <w:i/>
          <w:iCs/>
          <w:sz w:val="20"/>
          <w:szCs w:val="20"/>
        </w:rPr>
      </w:pPr>
    </w:p>
    <w:p w14:paraId="0189498D" w14:textId="76A3E533"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1. </w:t>
      </w:r>
      <w:r w:rsidRPr="00ED7B94">
        <w:rPr>
          <w:rFonts w:ascii="Verdana" w:hAnsi="Verdana"/>
          <w:bCs/>
          <w:i/>
          <w:iCs/>
          <w:sz w:val="20"/>
          <w:szCs w:val="20"/>
        </w:rPr>
        <w:t>El CND autorizará de forma automática la desviación de las plantas de generación del Sistema, durante el primer periodo en 0 MW antes de iniciar el cumplimiento del programa de generación y el primer periodo en 0 MW después de finalizar el cumplimiento del programa de generación asignado en el Despacho o Redespacho Económico.</w:t>
      </w:r>
    </w:p>
    <w:p w14:paraId="0AD757AE" w14:textId="77777777" w:rsidR="00ED7B94" w:rsidRPr="00ED7B94" w:rsidRDefault="00ED7B94" w:rsidP="00ED7B94">
      <w:pPr>
        <w:jc w:val="both"/>
        <w:rPr>
          <w:rFonts w:ascii="Verdana" w:hAnsi="Verdana"/>
          <w:bCs/>
          <w:i/>
          <w:iCs/>
          <w:sz w:val="20"/>
          <w:szCs w:val="20"/>
        </w:rPr>
      </w:pPr>
    </w:p>
    <w:p w14:paraId="024B5D32" w14:textId="77777777" w:rsidR="00ED7B94" w:rsidRPr="00ED7B94" w:rsidRDefault="00ED7B94" w:rsidP="00ED7B94">
      <w:pPr>
        <w:jc w:val="both"/>
        <w:rPr>
          <w:rFonts w:ascii="Verdana" w:hAnsi="Verdana"/>
          <w:bCs/>
          <w:i/>
          <w:iCs/>
          <w:sz w:val="20"/>
          <w:szCs w:val="20"/>
        </w:rPr>
      </w:pPr>
      <w:r w:rsidRPr="00ED7B94">
        <w:rPr>
          <w:rFonts w:ascii="Verdana" w:hAnsi="Verdana"/>
          <w:bCs/>
          <w:i/>
          <w:iCs/>
          <w:sz w:val="20"/>
          <w:szCs w:val="20"/>
        </w:rPr>
        <w:lastRenderedPageBreak/>
        <w:t>PARÁGRAFO: El CND podrá autorizar la desviación de las plantas de generación térmica, cuando al impartir la instrucción de arranque antes de la publicación del redespacho y teniendo en cuenta los tiempos de aviso declarados por los agentes, se presente desviación en el primer periodo programado.</w:t>
      </w:r>
    </w:p>
    <w:p w14:paraId="204301DF" w14:textId="77777777" w:rsidR="00ED7B94" w:rsidRPr="00ED7B94" w:rsidRDefault="00ED7B94" w:rsidP="00ED7B94">
      <w:pPr>
        <w:jc w:val="both"/>
        <w:rPr>
          <w:rFonts w:ascii="Verdana" w:hAnsi="Verdana"/>
          <w:bCs/>
          <w:i/>
          <w:iCs/>
          <w:sz w:val="20"/>
          <w:szCs w:val="20"/>
        </w:rPr>
      </w:pPr>
    </w:p>
    <w:p w14:paraId="635D6D17" w14:textId="2F13FBCE"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2. </w:t>
      </w:r>
      <w:r w:rsidRPr="00ED7B94">
        <w:rPr>
          <w:rFonts w:ascii="Verdana" w:hAnsi="Verdana"/>
          <w:bCs/>
          <w:i/>
          <w:iCs/>
          <w:sz w:val="20"/>
          <w:szCs w:val="20"/>
        </w:rPr>
        <w:t>El CND autorizará la desviación de las plantas que tengan una generación por encima del mínimo técnico y que presenten cambios horarios que puedan afectar la frecuencia del sistema, en el periodo que corresponda, para preservar el balance carga – generación.</w:t>
      </w:r>
    </w:p>
    <w:p w14:paraId="122EF4B5" w14:textId="77777777" w:rsidR="00ED7B94" w:rsidRPr="00ED7B94" w:rsidRDefault="00ED7B94" w:rsidP="00ED7B94">
      <w:pPr>
        <w:jc w:val="both"/>
        <w:rPr>
          <w:rFonts w:ascii="Verdana" w:hAnsi="Verdana"/>
          <w:bCs/>
          <w:i/>
          <w:iCs/>
          <w:sz w:val="20"/>
          <w:szCs w:val="20"/>
        </w:rPr>
      </w:pPr>
    </w:p>
    <w:p w14:paraId="611A0A7F" w14:textId="5D991272"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3. </w:t>
      </w:r>
      <w:r w:rsidRPr="00ED7B94">
        <w:rPr>
          <w:rFonts w:ascii="Verdana" w:hAnsi="Verdana"/>
          <w:bCs/>
          <w:i/>
          <w:iCs/>
          <w:sz w:val="20"/>
          <w:szCs w:val="20"/>
        </w:rPr>
        <w:t>El CND autorizará la desviación de las plantas de generación que sean afectadas por un evento en el Sistema Interconectado Nacional externo a la planta, hasta el período en el cual puedan cumplir nuevamente con su programa de despacho, de acuerdo con las características técnicas declaradas por la planta y las instrucciones recibidas del CND.</w:t>
      </w:r>
    </w:p>
    <w:p w14:paraId="3F119F8D" w14:textId="77777777" w:rsidR="00ED7B94" w:rsidRPr="00ED7B94" w:rsidRDefault="00ED7B94" w:rsidP="00ED7B94">
      <w:pPr>
        <w:jc w:val="both"/>
        <w:rPr>
          <w:rFonts w:ascii="Verdana" w:hAnsi="Verdana"/>
          <w:bCs/>
          <w:i/>
          <w:iCs/>
          <w:sz w:val="20"/>
          <w:szCs w:val="20"/>
        </w:rPr>
      </w:pPr>
    </w:p>
    <w:p w14:paraId="27C2F5EE" w14:textId="3A8AFB9A"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4. </w:t>
      </w:r>
      <w:r w:rsidRPr="00ED7B94">
        <w:rPr>
          <w:rFonts w:ascii="Verdana" w:hAnsi="Verdana"/>
          <w:bCs/>
          <w:i/>
          <w:iCs/>
          <w:sz w:val="20"/>
          <w:szCs w:val="20"/>
        </w:rPr>
        <w:t>El CND autorizará las desviaciones al programa de generación de las plantas térmicas, cuando el agente declare el inicio de cambio de un combustible a otro. Esta autorización se extenderá durante el tiempo declarado por la planta para realizar la transferencia de combustibles, según la definición prevista en el Acuerdo 531 de 2011 o aquel que lo modifique o sustituya.</w:t>
      </w:r>
    </w:p>
    <w:p w14:paraId="7D616A19" w14:textId="77777777" w:rsidR="00ED7B94" w:rsidRPr="00ED7B94" w:rsidRDefault="00ED7B94" w:rsidP="00ED7B94">
      <w:pPr>
        <w:jc w:val="both"/>
        <w:rPr>
          <w:rFonts w:ascii="Verdana" w:hAnsi="Verdana"/>
          <w:bCs/>
          <w:i/>
          <w:iCs/>
          <w:sz w:val="20"/>
          <w:szCs w:val="20"/>
        </w:rPr>
      </w:pPr>
    </w:p>
    <w:p w14:paraId="1D303B98" w14:textId="77777777" w:rsidR="00ED7B94" w:rsidRPr="00ED7B94" w:rsidRDefault="00ED7B94" w:rsidP="00ED7B94">
      <w:pPr>
        <w:jc w:val="both"/>
        <w:rPr>
          <w:rFonts w:ascii="Verdana" w:hAnsi="Verdana"/>
          <w:bCs/>
          <w:i/>
          <w:iCs/>
          <w:sz w:val="20"/>
          <w:szCs w:val="20"/>
        </w:rPr>
      </w:pPr>
      <w:r w:rsidRPr="00ED7B94">
        <w:rPr>
          <w:rFonts w:ascii="Verdana" w:hAnsi="Verdana"/>
          <w:bCs/>
          <w:i/>
          <w:iCs/>
          <w:sz w:val="20"/>
          <w:szCs w:val="20"/>
        </w:rPr>
        <w:t>PARÁGRAFO 1: Sin perjuicio de lo anterior, la autorización aquí establecida se extenderá hasta el periodo anterior al cual clasifique en el redespacho el cambio del combustible.</w:t>
      </w:r>
    </w:p>
    <w:p w14:paraId="5E6AE918" w14:textId="77777777" w:rsidR="00ED7B94" w:rsidRPr="00ED7B94" w:rsidRDefault="00ED7B94" w:rsidP="00ED7B94">
      <w:pPr>
        <w:jc w:val="both"/>
        <w:rPr>
          <w:rFonts w:ascii="Verdana" w:hAnsi="Verdana"/>
          <w:bCs/>
          <w:i/>
          <w:iCs/>
          <w:sz w:val="20"/>
          <w:szCs w:val="20"/>
        </w:rPr>
      </w:pPr>
    </w:p>
    <w:p w14:paraId="467D245F" w14:textId="77777777" w:rsidR="00ED7B94" w:rsidRPr="00ED7B94" w:rsidRDefault="00ED7B94" w:rsidP="00ED7B94">
      <w:pPr>
        <w:jc w:val="both"/>
        <w:rPr>
          <w:rFonts w:ascii="Verdana" w:hAnsi="Verdana"/>
          <w:bCs/>
          <w:i/>
          <w:iCs/>
          <w:sz w:val="20"/>
          <w:szCs w:val="20"/>
        </w:rPr>
      </w:pPr>
      <w:r w:rsidRPr="00ED7B94">
        <w:rPr>
          <w:rFonts w:ascii="Verdana" w:hAnsi="Verdana"/>
          <w:bCs/>
          <w:i/>
          <w:iCs/>
          <w:sz w:val="20"/>
          <w:szCs w:val="20"/>
        </w:rPr>
        <w:t>PARÁGRAFO 2: El agente informará al CND la configuración con la que operará la planta, para que éste último tenga en cuenta los parámetros técnicos registrados oficialmente en la programación del redespacho</w:t>
      </w:r>
    </w:p>
    <w:p w14:paraId="49E92482" w14:textId="77777777" w:rsidR="00ED7B94" w:rsidRPr="00ED7B94" w:rsidRDefault="00ED7B94" w:rsidP="00ED7B94">
      <w:pPr>
        <w:jc w:val="both"/>
        <w:rPr>
          <w:rFonts w:ascii="Verdana" w:hAnsi="Verdana"/>
          <w:bCs/>
          <w:i/>
          <w:iCs/>
          <w:sz w:val="20"/>
          <w:szCs w:val="20"/>
        </w:rPr>
      </w:pPr>
    </w:p>
    <w:p w14:paraId="43DCFC11" w14:textId="690646ED" w:rsidR="00ED7B94" w:rsidRPr="00ED7B94" w:rsidRDefault="00ED7B94" w:rsidP="00ED7B94">
      <w:pPr>
        <w:jc w:val="both"/>
        <w:rPr>
          <w:rFonts w:ascii="Verdana" w:hAnsi="Verdana"/>
          <w:bCs/>
          <w:i/>
          <w:iCs/>
          <w:sz w:val="20"/>
          <w:szCs w:val="20"/>
        </w:rPr>
      </w:pPr>
      <w:r>
        <w:rPr>
          <w:rFonts w:ascii="Verdana" w:hAnsi="Verdana"/>
          <w:bCs/>
          <w:i/>
          <w:iCs/>
          <w:sz w:val="20"/>
          <w:szCs w:val="20"/>
        </w:rPr>
        <w:t xml:space="preserve">5. </w:t>
      </w:r>
      <w:r w:rsidRPr="00ED7B94">
        <w:rPr>
          <w:rFonts w:ascii="Verdana" w:hAnsi="Verdana"/>
          <w:bCs/>
          <w:i/>
          <w:iCs/>
          <w:sz w:val="20"/>
          <w:szCs w:val="20"/>
        </w:rPr>
        <w:t>El CND autorizará las desviaciones al programa de generación de las plantas, durante los periodos en los cuales, para preservar la confiabilidad y seguridad del SIN, se coordine entre el CND y el agente la operación de la planta con un combustible diferente al ofertado.</w:t>
      </w:r>
    </w:p>
    <w:p w14:paraId="0FBEEF8C" w14:textId="77777777" w:rsidR="00ED7B94" w:rsidRPr="00ED7B94" w:rsidRDefault="00ED7B94" w:rsidP="00ED7B94">
      <w:pPr>
        <w:jc w:val="both"/>
        <w:rPr>
          <w:rFonts w:ascii="Verdana" w:hAnsi="Verdana"/>
          <w:bCs/>
          <w:i/>
          <w:iCs/>
          <w:sz w:val="20"/>
          <w:szCs w:val="20"/>
        </w:rPr>
      </w:pPr>
    </w:p>
    <w:p w14:paraId="165BBCCA" w14:textId="43FFEC37" w:rsidR="00ED7B94" w:rsidRDefault="00ED7B94" w:rsidP="00ED7B94">
      <w:pPr>
        <w:jc w:val="both"/>
        <w:rPr>
          <w:rFonts w:ascii="Verdana" w:hAnsi="Verdana"/>
          <w:bCs/>
          <w:i/>
          <w:iCs/>
          <w:sz w:val="20"/>
          <w:szCs w:val="20"/>
        </w:rPr>
      </w:pPr>
      <w:r>
        <w:rPr>
          <w:rFonts w:ascii="Verdana" w:hAnsi="Verdana"/>
          <w:bCs/>
          <w:i/>
          <w:iCs/>
          <w:sz w:val="20"/>
          <w:szCs w:val="20"/>
        </w:rPr>
        <w:t xml:space="preserve">6. </w:t>
      </w:r>
      <w:r w:rsidRPr="00ED7B94">
        <w:rPr>
          <w:rFonts w:ascii="Verdana" w:hAnsi="Verdana"/>
          <w:bCs/>
          <w:i/>
          <w:iCs/>
          <w:sz w:val="20"/>
          <w:szCs w:val="20"/>
        </w:rPr>
        <w:t>El presente Acuerdo rige a partir del despacho que se realizará el día 9 de enero de 2020 para la operación del día 10 de enero de 2020 y sustituye el Acuerdo 555.</w:t>
      </w:r>
    </w:p>
    <w:p w14:paraId="68832589" w14:textId="77777777" w:rsidR="00ED7B94" w:rsidRDefault="00ED7B94" w:rsidP="00ED7B94">
      <w:pPr>
        <w:jc w:val="both"/>
        <w:rPr>
          <w:rFonts w:ascii="Verdana" w:hAnsi="Verdana"/>
          <w:bCs/>
          <w:i/>
          <w:iCs/>
          <w:sz w:val="20"/>
          <w:szCs w:val="20"/>
        </w:rPr>
      </w:pPr>
    </w:p>
    <w:p w14:paraId="6CBEB99C" w14:textId="77777777" w:rsidR="00ED7B94" w:rsidRDefault="00ED7B94" w:rsidP="00ED7B94">
      <w:pPr>
        <w:jc w:val="both"/>
        <w:rPr>
          <w:rFonts w:ascii="Verdana" w:hAnsi="Verdana"/>
          <w:bCs/>
          <w:i/>
          <w:iCs/>
          <w:sz w:val="20"/>
          <w:szCs w:val="20"/>
        </w:rPr>
      </w:pPr>
    </w:p>
    <w:p w14:paraId="185637D9" w14:textId="4C15E1AC" w:rsidR="00F6067E" w:rsidRPr="00CE3594" w:rsidRDefault="00F6067E" w:rsidP="00F6067E">
      <w:pPr>
        <w:jc w:val="both"/>
        <w:rPr>
          <w:rFonts w:ascii="Verdana" w:hAnsi="Verdana"/>
          <w:bCs/>
          <w:i/>
          <w:iCs/>
          <w:sz w:val="20"/>
          <w:szCs w:val="20"/>
        </w:rPr>
      </w:pPr>
    </w:p>
    <w:p w14:paraId="2162DBCF" w14:textId="77777777" w:rsidR="00F33B2D" w:rsidRPr="00F33B2D" w:rsidRDefault="00F33B2D" w:rsidP="00DE4E47">
      <w:pPr>
        <w:jc w:val="both"/>
        <w:rPr>
          <w:rFonts w:ascii="Verdana" w:hAnsi="Verdana"/>
          <w:bCs/>
          <w:i/>
          <w:iCs/>
          <w:sz w:val="20"/>
          <w:szCs w:val="20"/>
        </w:rPr>
      </w:pPr>
    </w:p>
    <w:p w14:paraId="36B826D4"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Presidente</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 xml:space="preserve">Secretario Técnico </w:t>
      </w:r>
    </w:p>
    <w:p w14:paraId="51B670FA" w14:textId="77777777" w:rsidR="00F33B2D" w:rsidRPr="00F33B2D" w:rsidRDefault="00F33B2D" w:rsidP="00F33B2D">
      <w:pPr>
        <w:shd w:val="clear" w:color="auto" w:fill="FFFFFF"/>
        <w:rPr>
          <w:rFonts w:ascii="Verdana" w:hAnsi="Verdana"/>
          <w:bCs/>
          <w:i/>
          <w:iCs/>
          <w:sz w:val="20"/>
          <w:szCs w:val="20"/>
        </w:rPr>
      </w:pPr>
    </w:p>
    <w:p w14:paraId="5F18F81E"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Diego González</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Alberto Olarte Aguirre”</w:t>
      </w:r>
    </w:p>
    <w:p w14:paraId="120F6235" w14:textId="77777777" w:rsidR="00F33B2D" w:rsidRDefault="00F33B2D" w:rsidP="00DE4E47">
      <w:pPr>
        <w:jc w:val="both"/>
        <w:rPr>
          <w:rFonts w:ascii="Verdana" w:hAnsi="Verdana"/>
          <w:bCs/>
          <w:i/>
          <w:iCs/>
          <w:sz w:val="22"/>
          <w:szCs w:val="22"/>
        </w:rPr>
      </w:pPr>
    </w:p>
    <w:p w14:paraId="2B57079F" w14:textId="77777777" w:rsidR="00F33B2D" w:rsidRDefault="00F33B2D" w:rsidP="00DE4E47">
      <w:pPr>
        <w:jc w:val="both"/>
        <w:rPr>
          <w:rFonts w:ascii="Verdana" w:hAnsi="Verdana"/>
          <w:bCs/>
          <w:i/>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6E3CF58A" w:rsidR="00D07C45" w:rsidRDefault="00D07C45" w:rsidP="004E135A">
      <w:pPr>
        <w:jc w:val="both"/>
        <w:rPr>
          <w:rFonts w:ascii="Verdana" w:hAnsi="Verdana"/>
          <w:iCs/>
          <w:sz w:val="22"/>
          <w:szCs w:val="22"/>
        </w:rPr>
      </w:pPr>
      <w:r>
        <w:rPr>
          <w:rFonts w:ascii="Verdana" w:hAnsi="Verdana"/>
          <w:iCs/>
          <w:sz w:val="22"/>
          <w:szCs w:val="22"/>
        </w:rPr>
        <w:lastRenderedPageBreak/>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w:t>
      </w:r>
      <w:r w:rsidR="00CE3594">
        <w:rPr>
          <w:rFonts w:ascii="Verdana" w:hAnsi="Verdana"/>
          <w:iCs/>
          <w:sz w:val="22"/>
          <w:szCs w:val="22"/>
        </w:rPr>
        <w:t>76</w:t>
      </w:r>
      <w:r w:rsidR="00D342A1" w:rsidRPr="007A707B">
        <w:rPr>
          <w:rFonts w:ascii="Verdana" w:hAnsi="Verdana"/>
          <w:iCs/>
          <w:sz w:val="22"/>
          <w:szCs w:val="22"/>
        </w:rPr>
        <w:t xml:space="preserve"> </w:t>
      </w:r>
      <w:r w:rsidR="00CE3594">
        <w:rPr>
          <w:rFonts w:ascii="Verdana" w:hAnsi="Verdana"/>
          <w:iCs/>
          <w:sz w:val="22"/>
          <w:szCs w:val="22"/>
        </w:rPr>
        <w:t xml:space="preserve">Torre 3 </w:t>
      </w:r>
      <w:r w:rsidR="00D342A1" w:rsidRPr="007A707B">
        <w:rPr>
          <w:rFonts w:ascii="Verdana" w:hAnsi="Verdana"/>
          <w:iCs/>
          <w:sz w:val="22"/>
          <w:szCs w:val="22"/>
        </w:rPr>
        <w:t xml:space="preserve">oficina </w:t>
      </w:r>
      <w:r w:rsidR="00CE3594">
        <w:rPr>
          <w:rFonts w:ascii="Verdana" w:hAnsi="Verdana"/>
          <w:iCs/>
          <w:sz w:val="22"/>
          <w:szCs w:val="22"/>
        </w:rPr>
        <w:t>1302</w:t>
      </w:r>
      <w:r w:rsidR="00D342A1" w:rsidRPr="007A707B">
        <w:rPr>
          <w:rFonts w:ascii="Verdana" w:hAnsi="Verdana"/>
          <w:iCs/>
          <w:sz w:val="22"/>
          <w:szCs w:val="22"/>
        </w:rPr>
        <w:t xml:space="preserve">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4F0557A5" w14:textId="52999A81" w:rsidR="005B2CA4" w:rsidRPr="005B2CA4" w:rsidRDefault="00D342A1" w:rsidP="003A57C0">
      <w:pPr>
        <w:rPr>
          <w:rFonts w:asciiTheme="minorBidi" w:hAnsiTheme="minorBidi" w:cstheme="minorBidi"/>
          <w:bCs/>
        </w:rPr>
      </w:pPr>
      <w:r w:rsidRPr="007A707B">
        <w:rPr>
          <w:rFonts w:ascii="Verdana" w:hAnsi="Verdana"/>
          <w:bCs/>
          <w:sz w:val="22"/>
          <w:szCs w:val="22"/>
        </w:rPr>
        <w:t>CONSEJO NACIONAL DE OPERACIÓN – CNO</w:t>
      </w:r>
    </w:p>
    <w:sectPr w:rsidR="005B2CA4" w:rsidRPr="005B2CA4"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E4E46" w14:textId="77777777" w:rsidR="00547875" w:rsidRDefault="00547875">
      <w:r>
        <w:separator/>
      </w:r>
    </w:p>
  </w:endnote>
  <w:endnote w:type="continuationSeparator" w:id="0">
    <w:p w14:paraId="2EEC3AA5" w14:textId="77777777" w:rsidR="00547875" w:rsidRDefault="0054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CB0300F" w14:textId="77777777" w:rsidR="00CC77A6" w:rsidRDefault="00CC77A6" w:rsidP="00CC77A6">
    <w:pPr>
      <w:pStyle w:val="Piedepgina"/>
      <w:jc w:val="center"/>
      <w:rPr>
        <w:rFonts w:ascii="Verdana" w:hAnsi="Verdana"/>
        <w:b/>
        <w:sz w:val="20"/>
        <w:szCs w:val="20"/>
        <w:lang w:val="es-MX"/>
      </w:rPr>
    </w:pPr>
    <w:r w:rsidRPr="0020391A">
      <w:rPr>
        <w:rFonts w:ascii="Verdana" w:hAnsi="Verdana"/>
        <w:b/>
        <w:sz w:val="20"/>
        <w:szCs w:val="20"/>
        <w:lang w:val="es-MX"/>
      </w:rPr>
      <w:t>Avenida Calle 26 No. 69-76, Oficina 1302</w:t>
    </w:r>
    <w:r>
      <w:rPr>
        <w:rFonts w:ascii="Verdana" w:hAnsi="Verdana"/>
        <w:b/>
        <w:sz w:val="20"/>
        <w:szCs w:val="20"/>
        <w:lang w:val="es-MX"/>
      </w:rPr>
      <w:t xml:space="preserve">, </w:t>
    </w:r>
    <w:r w:rsidRPr="0020391A">
      <w:rPr>
        <w:rFonts w:ascii="Verdana" w:hAnsi="Verdana"/>
        <w:b/>
        <w:sz w:val="20"/>
        <w:szCs w:val="20"/>
        <w:lang w:val="es-MX"/>
      </w:rPr>
      <w:t>T</w:t>
    </w:r>
    <w:r>
      <w:rPr>
        <w:rFonts w:ascii="Verdana" w:hAnsi="Verdana"/>
        <w:b/>
        <w:sz w:val="20"/>
        <w:szCs w:val="20"/>
        <w:lang w:val="es-MX"/>
      </w:rPr>
      <w:t xml:space="preserve">orre </w:t>
    </w:r>
    <w:r w:rsidRPr="0020391A">
      <w:rPr>
        <w:rFonts w:ascii="Verdana" w:hAnsi="Verdana"/>
        <w:b/>
        <w:sz w:val="20"/>
        <w:szCs w:val="20"/>
        <w:lang w:val="es-MX"/>
      </w:rPr>
      <w:t>3</w:t>
    </w:r>
    <w:r>
      <w:rPr>
        <w:rFonts w:ascii="Verdana" w:hAnsi="Verdana"/>
        <w:b/>
        <w:sz w:val="20"/>
        <w:szCs w:val="20"/>
        <w:lang w:val="es-MX"/>
      </w:rPr>
      <w:t>,</w:t>
    </w:r>
    <w:r w:rsidRPr="0020391A">
      <w:rPr>
        <w:rFonts w:ascii="Verdana" w:hAnsi="Verdana"/>
        <w:b/>
        <w:sz w:val="20"/>
        <w:szCs w:val="20"/>
        <w:lang w:val="es-MX"/>
      </w:rPr>
      <w:t xml:space="preserve"> E</w:t>
    </w:r>
    <w:r>
      <w:rPr>
        <w:rFonts w:ascii="Verdana" w:hAnsi="Verdana"/>
        <w:b/>
        <w:sz w:val="20"/>
        <w:szCs w:val="20"/>
        <w:lang w:val="es-MX"/>
      </w:rPr>
      <w:t>dificio Elemento</w:t>
    </w:r>
  </w:p>
  <w:p w14:paraId="0E30BA5F"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Teléfonos: 7023029-7023026-7021892</w:t>
    </w:r>
  </w:p>
  <w:p w14:paraId="7E6A78FE"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 xml:space="preserve">E-Mail </w:t>
    </w:r>
    <w:hyperlink r:id="rId1" w:history="1">
      <w:r w:rsidRPr="000E6A5D">
        <w:rPr>
          <w:rStyle w:val="Hipervnculo"/>
          <w:rFonts w:ascii="Verdana" w:hAnsi="Verdana"/>
          <w:b/>
          <w:sz w:val="20"/>
          <w:szCs w:val="20"/>
          <w:lang w:val="es-MX"/>
        </w:rPr>
        <w:t>aolarte@cno.org.co</w:t>
      </w:r>
    </w:hyperlink>
    <w:r w:rsidRPr="00F210FA">
      <w:rPr>
        <w:rFonts w:ascii="Verdana" w:hAnsi="Verdana"/>
        <w:b/>
        <w:sz w:val="20"/>
        <w:szCs w:val="20"/>
        <w:lang w:val="es-MX"/>
      </w:rPr>
      <w:t xml:space="preserve">-Internet: </w:t>
    </w:r>
    <w:hyperlink r:id="rId2" w:history="1">
      <w:r w:rsidRPr="000E6A5D">
        <w:rPr>
          <w:rStyle w:val="Hipervnculo"/>
          <w:rFonts w:ascii="Verdana" w:hAnsi="Verdana"/>
          <w:b/>
          <w:sz w:val="20"/>
          <w:szCs w:val="20"/>
          <w:lang w:val="es-MX"/>
        </w:rPr>
        <w:t>www.cno.org.co</w:t>
      </w:r>
    </w:hyperlink>
  </w:p>
  <w:p w14:paraId="713EC19D" w14:textId="5322E4CB" w:rsidR="00135EB1" w:rsidRDefault="00135EB1" w:rsidP="008D4CE2">
    <w:pPr>
      <w:pStyle w:val="Piedepgina"/>
      <w:jc w:val="center"/>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D49B" w14:textId="77777777" w:rsidR="00547875" w:rsidRDefault="00547875">
      <w:r>
        <w:separator/>
      </w:r>
    </w:p>
  </w:footnote>
  <w:footnote w:type="continuationSeparator" w:id="0">
    <w:p w14:paraId="7B4A671D" w14:textId="77777777" w:rsidR="00547875" w:rsidRDefault="0054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B173983"/>
    <w:multiLevelType w:val="hybridMultilevel"/>
    <w:tmpl w:val="7EF04018"/>
    <w:lvl w:ilvl="0" w:tplc="596E4402">
      <w:start w:val="1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9"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20"/>
  </w:num>
  <w:num w:numId="6">
    <w:abstractNumId w:val="12"/>
  </w:num>
  <w:num w:numId="7">
    <w:abstractNumId w:val="4"/>
  </w:num>
  <w:num w:numId="8">
    <w:abstractNumId w:val="13"/>
  </w:num>
  <w:num w:numId="9">
    <w:abstractNumId w:val="1"/>
  </w:num>
  <w:num w:numId="10">
    <w:abstractNumId w:val="2"/>
  </w:num>
  <w:num w:numId="11">
    <w:abstractNumId w:val="6"/>
  </w:num>
  <w:num w:numId="12">
    <w:abstractNumId w:val="14"/>
  </w:num>
  <w:num w:numId="13">
    <w:abstractNumId w:val="0"/>
  </w:num>
  <w:num w:numId="14">
    <w:abstractNumId w:val="19"/>
  </w:num>
  <w:num w:numId="15">
    <w:abstractNumId w:val="9"/>
  </w:num>
  <w:num w:numId="16">
    <w:abstractNumId w:val="17"/>
  </w:num>
  <w:num w:numId="17">
    <w:abstractNumId w:val="16"/>
  </w:num>
  <w:num w:numId="18">
    <w:abstractNumId w:val="18"/>
  </w:num>
  <w:num w:numId="19">
    <w:abstractNumId w:val="21"/>
  </w:num>
  <w:num w:numId="20">
    <w:abstractNumId w:val="10"/>
  </w:num>
  <w:num w:numId="21">
    <w:abstractNumId w:val="5"/>
  </w:num>
  <w:num w:numId="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75389"/>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B7003"/>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07A76"/>
    <w:rsid w:val="00210E22"/>
    <w:rsid w:val="0021165A"/>
    <w:rsid w:val="00211EB1"/>
    <w:rsid w:val="0021279B"/>
    <w:rsid w:val="0021412E"/>
    <w:rsid w:val="00214496"/>
    <w:rsid w:val="002158C1"/>
    <w:rsid w:val="00224164"/>
    <w:rsid w:val="002244CE"/>
    <w:rsid w:val="00226DA5"/>
    <w:rsid w:val="00227D1D"/>
    <w:rsid w:val="002317CF"/>
    <w:rsid w:val="00231CF1"/>
    <w:rsid w:val="0023739F"/>
    <w:rsid w:val="00242FD4"/>
    <w:rsid w:val="002475FD"/>
    <w:rsid w:val="00247DD1"/>
    <w:rsid w:val="00247FDF"/>
    <w:rsid w:val="00253E04"/>
    <w:rsid w:val="00255B89"/>
    <w:rsid w:val="00260319"/>
    <w:rsid w:val="002628DB"/>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710B"/>
    <w:rsid w:val="003972E1"/>
    <w:rsid w:val="003A0506"/>
    <w:rsid w:val="003A0F92"/>
    <w:rsid w:val="003A1499"/>
    <w:rsid w:val="003A3383"/>
    <w:rsid w:val="003A49EE"/>
    <w:rsid w:val="003A57C0"/>
    <w:rsid w:val="003B02C8"/>
    <w:rsid w:val="003B03F4"/>
    <w:rsid w:val="003B19B1"/>
    <w:rsid w:val="003B2F30"/>
    <w:rsid w:val="003B43B5"/>
    <w:rsid w:val="003B4701"/>
    <w:rsid w:val="003B5668"/>
    <w:rsid w:val="003B571C"/>
    <w:rsid w:val="003B5E47"/>
    <w:rsid w:val="003B67F8"/>
    <w:rsid w:val="003C1465"/>
    <w:rsid w:val="003C3496"/>
    <w:rsid w:val="003C3846"/>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46A07"/>
    <w:rsid w:val="004513AF"/>
    <w:rsid w:val="004528C2"/>
    <w:rsid w:val="0045315F"/>
    <w:rsid w:val="00453D54"/>
    <w:rsid w:val="00460EB6"/>
    <w:rsid w:val="0046116D"/>
    <w:rsid w:val="004745D1"/>
    <w:rsid w:val="0047689E"/>
    <w:rsid w:val="00480817"/>
    <w:rsid w:val="00481189"/>
    <w:rsid w:val="0048334E"/>
    <w:rsid w:val="00483DBB"/>
    <w:rsid w:val="00493238"/>
    <w:rsid w:val="00497DCB"/>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875"/>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6BA6"/>
    <w:rsid w:val="00587502"/>
    <w:rsid w:val="00590660"/>
    <w:rsid w:val="00592E0E"/>
    <w:rsid w:val="00593E05"/>
    <w:rsid w:val="0059594F"/>
    <w:rsid w:val="00595C95"/>
    <w:rsid w:val="005A03BF"/>
    <w:rsid w:val="005A0B24"/>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37EB"/>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009D"/>
    <w:rsid w:val="00762D5E"/>
    <w:rsid w:val="007631A9"/>
    <w:rsid w:val="00763C93"/>
    <w:rsid w:val="00763DB7"/>
    <w:rsid w:val="00766B6B"/>
    <w:rsid w:val="00767E15"/>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6"/>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1C5D"/>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EC5"/>
    <w:rsid w:val="00883F18"/>
    <w:rsid w:val="00885885"/>
    <w:rsid w:val="00885A22"/>
    <w:rsid w:val="00886B23"/>
    <w:rsid w:val="00891967"/>
    <w:rsid w:val="00892734"/>
    <w:rsid w:val="0089316F"/>
    <w:rsid w:val="00894C99"/>
    <w:rsid w:val="00894D7D"/>
    <w:rsid w:val="008A1881"/>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43B"/>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1CB1"/>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4149"/>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815"/>
    <w:rsid w:val="00A538CB"/>
    <w:rsid w:val="00A55FBC"/>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56D2"/>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26C5"/>
    <w:rsid w:val="00B23224"/>
    <w:rsid w:val="00B23F7B"/>
    <w:rsid w:val="00B277B3"/>
    <w:rsid w:val="00B30BF8"/>
    <w:rsid w:val="00B31076"/>
    <w:rsid w:val="00B31847"/>
    <w:rsid w:val="00B36134"/>
    <w:rsid w:val="00B3786F"/>
    <w:rsid w:val="00B41128"/>
    <w:rsid w:val="00B42247"/>
    <w:rsid w:val="00B42996"/>
    <w:rsid w:val="00B441DD"/>
    <w:rsid w:val="00B44DCA"/>
    <w:rsid w:val="00B47B65"/>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5A4D"/>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47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7A6"/>
    <w:rsid w:val="00CC7B42"/>
    <w:rsid w:val="00CD2124"/>
    <w:rsid w:val="00CD2888"/>
    <w:rsid w:val="00CE22D8"/>
    <w:rsid w:val="00CE2E94"/>
    <w:rsid w:val="00CE35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1040"/>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4E47"/>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D7B94"/>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33B2D"/>
    <w:rsid w:val="00F42AC5"/>
    <w:rsid w:val="00F43068"/>
    <w:rsid w:val="00F447B7"/>
    <w:rsid w:val="00F51E02"/>
    <w:rsid w:val="00F51E7D"/>
    <w:rsid w:val="00F53462"/>
    <w:rsid w:val="00F535DD"/>
    <w:rsid w:val="00F53751"/>
    <w:rsid w:val="00F53D61"/>
    <w:rsid w:val="00F55004"/>
    <w:rsid w:val="00F55C75"/>
    <w:rsid w:val="00F56345"/>
    <w:rsid w:val="00F6067E"/>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7361"/>
    <w:rsid w:val="00FD11A0"/>
    <w:rsid w:val="00FD1966"/>
    <w:rsid w:val="00FD1B85"/>
    <w:rsid w:val="00FD5450"/>
    <w:rsid w:val="00FD72D9"/>
    <w:rsid w:val="00FE1E2E"/>
    <w:rsid w:val="00FE20C7"/>
    <w:rsid w:val="00FE6A08"/>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103">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73285711">
      <w:bodyDiv w:val="1"/>
      <w:marLeft w:val="0"/>
      <w:marRight w:val="0"/>
      <w:marTop w:val="0"/>
      <w:marBottom w:val="0"/>
      <w:divBdr>
        <w:top w:val="none" w:sz="0" w:space="0" w:color="auto"/>
        <w:left w:val="none" w:sz="0" w:space="0" w:color="auto"/>
        <w:bottom w:val="none" w:sz="0" w:space="0" w:color="auto"/>
        <w:right w:val="none" w:sz="0" w:space="0" w:color="auto"/>
      </w:divBdr>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o.org.co" TargetMode="External"/><Relationship Id="rId1" Type="http://schemas.openxmlformats.org/officeDocument/2006/relationships/hyperlink" Target="mailto:aolarte@cno.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CE0B6-8881-44D1-8AF5-F6EB2023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6786</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2019-12-19T19:56:00Z</dcterms:created>
  <dcterms:modified xsi:type="dcterms:W3CDTF">2019-12-19T19:56:00Z</dcterms:modified>
</cp:coreProperties>
</file>