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1ACF4" w14:textId="54A608B0" w:rsidR="002D35F3" w:rsidRPr="006A051F" w:rsidRDefault="002D35F3" w:rsidP="002D35F3">
      <w:pPr>
        <w:jc w:val="right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 xml:space="preserve">Bogotá D. C., </w:t>
      </w:r>
      <w:r w:rsidR="006A051F" w:rsidRPr="006A051F">
        <w:rPr>
          <w:rFonts w:ascii="Verdana" w:eastAsia="Verdana" w:hAnsi="Verdana" w:cs="Verdana"/>
          <w:sz w:val="22"/>
          <w:szCs w:val="22"/>
        </w:rPr>
        <w:t>03</w:t>
      </w:r>
      <w:r w:rsidR="00EF1688" w:rsidRPr="006A051F">
        <w:rPr>
          <w:rFonts w:ascii="Verdana" w:eastAsia="Verdana" w:hAnsi="Verdana" w:cs="Verdana"/>
          <w:sz w:val="22"/>
          <w:szCs w:val="22"/>
        </w:rPr>
        <w:t xml:space="preserve"> </w:t>
      </w:r>
      <w:r w:rsidR="00A84702" w:rsidRPr="006A051F">
        <w:rPr>
          <w:rFonts w:ascii="Verdana" w:eastAsia="Verdana" w:hAnsi="Verdana" w:cs="Verdana"/>
          <w:sz w:val="22"/>
          <w:szCs w:val="22"/>
        </w:rPr>
        <w:t xml:space="preserve">de </w:t>
      </w:r>
      <w:r w:rsidR="006A051F" w:rsidRPr="006A051F">
        <w:rPr>
          <w:rFonts w:ascii="Verdana" w:eastAsia="Verdana" w:hAnsi="Verdana" w:cs="Verdana"/>
          <w:sz w:val="22"/>
          <w:szCs w:val="22"/>
        </w:rPr>
        <w:t>diciembre</w:t>
      </w:r>
      <w:r w:rsidR="00EF1688" w:rsidRPr="006A051F">
        <w:rPr>
          <w:rFonts w:ascii="Verdana" w:eastAsia="Verdana" w:hAnsi="Verdana" w:cs="Verdana"/>
          <w:sz w:val="22"/>
          <w:szCs w:val="22"/>
        </w:rPr>
        <w:t xml:space="preserve"> </w:t>
      </w:r>
      <w:r w:rsidRPr="006A051F">
        <w:rPr>
          <w:rFonts w:ascii="Verdana" w:eastAsia="Verdana" w:hAnsi="Verdana" w:cs="Verdana"/>
          <w:sz w:val="22"/>
          <w:szCs w:val="22"/>
        </w:rPr>
        <w:t>de 2020</w:t>
      </w:r>
    </w:p>
    <w:p w14:paraId="1FB4E5BC" w14:textId="77777777" w:rsidR="002D35F3" w:rsidRPr="006A051F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1CFA1422" w14:textId="77777777" w:rsidR="009801A5" w:rsidRPr="006A051F" w:rsidRDefault="009801A5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58886D96" w14:textId="77777777" w:rsidR="006057F4" w:rsidRPr="006A051F" w:rsidRDefault="006057F4" w:rsidP="006057F4">
      <w:pPr>
        <w:pStyle w:val="Ttulo7"/>
        <w:rPr>
          <w:b w:val="0"/>
          <w:bCs/>
        </w:rPr>
      </w:pPr>
      <w:r w:rsidRPr="006A051F">
        <w:rPr>
          <w:b w:val="0"/>
          <w:bCs/>
        </w:rPr>
        <w:t>Señor</w:t>
      </w:r>
    </w:p>
    <w:p w14:paraId="04E0EE76" w14:textId="77777777" w:rsidR="006057F4" w:rsidRPr="006A051F" w:rsidRDefault="006057F4" w:rsidP="006057F4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hAnsi="Verdana"/>
          <w:bCs/>
          <w:sz w:val="22"/>
          <w:szCs w:val="22"/>
        </w:rPr>
        <w:t>JORGE ALBERTO VALENCIA</w:t>
      </w:r>
      <w:r w:rsidRPr="006A051F">
        <w:rPr>
          <w:rFonts w:ascii="Verdana" w:eastAsia="Verdana" w:hAnsi="Verdana" w:cs="Verdana"/>
          <w:bCs/>
          <w:sz w:val="22"/>
          <w:szCs w:val="22"/>
        </w:rPr>
        <w:t xml:space="preserve"> MARÍN</w:t>
      </w:r>
    </w:p>
    <w:p w14:paraId="4428C59C" w14:textId="77777777" w:rsidR="006057F4" w:rsidRPr="006A051F" w:rsidRDefault="006057F4" w:rsidP="006057F4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eastAsia="Verdana" w:hAnsi="Verdana" w:cs="Verdana"/>
          <w:bCs/>
          <w:sz w:val="22"/>
          <w:szCs w:val="22"/>
        </w:rPr>
        <w:t>Director Ejecutivo</w:t>
      </w:r>
    </w:p>
    <w:p w14:paraId="6B31D9F8" w14:textId="77777777" w:rsidR="006057F4" w:rsidRPr="006A051F" w:rsidRDefault="006057F4" w:rsidP="006057F4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eastAsia="Verdana" w:hAnsi="Verdana" w:cs="Verdana"/>
          <w:bCs/>
          <w:sz w:val="22"/>
          <w:szCs w:val="22"/>
        </w:rPr>
        <w:t>Comisión de Regulación de Energía y Gas-CREG</w:t>
      </w:r>
    </w:p>
    <w:p w14:paraId="7283F94D" w14:textId="77777777" w:rsidR="006057F4" w:rsidRPr="006A051F" w:rsidRDefault="006057F4" w:rsidP="006057F4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eastAsia="Verdana" w:hAnsi="Verdana" w:cs="Verdana"/>
          <w:bCs/>
          <w:sz w:val="22"/>
          <w:szCs w:val="22"/>
        </w:rPr>
        <w:t>Ciudad</w:t>
      </w:r>
    </w:p>
    <w:p w14:paraId="362548EB" w14:textId="77777777" w:rsidR="002D35F3" w:rsidRPr="006A051F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4F6B20A2" w14:textId="77777777" w:rsidR="002D35F3" w:rsidRPr="006A051F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5BCFC8B5" w14:textId="2DEBD167" w:rsidR="002D35F3" w:rsidRPr="006A051F" w:rsidRDefault="002D35F3" w:rsidP="002D35F3">
      <w:pPr>
        <w:ind w:left="1440" w:hanging="1440"/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 xml:space="preserve">Asunto: </w:t>
      </w:r>
      <w:r w:rsidRPr="006A051F">
        <w:rPr>
          <w:rFonts w:ascii="Verdana" w:eastAsia="Verdana" w:hAnsi="Verdana" w:cs="Verdana"/>
          <w:sz w:val="22"/>
          <w:szCs w:val="22"/>
        </w:rPr>
        <w:tab/>
      </w:r>
      <w:r w:rsidR="009C0BAD" w:rsidRPr="006A051F">
        <w:rPr>
          <w:rFonts w:ascii="Verdana" w:eastAsia="Verdana" w:hAnsi="Verdana" w:cs="Verdana"/>
          <w:sz w:val="22"/>
          <w:szCs w:val="22"/>
        </w:rPr>
        <w:t>Posibilidad de d</w:t>
      </w:r>
      <w:r w:rsidR="00856A4D" w:rsidRPr="006A051F">
        <w:rPr>
          <w:rFonts w:ascii="Verdana" w:eastAsia="Verdana" w:hAnsi="Verdana" w:cs="Verdana"/>
          <w:sz w:val="22"/>
          <w:szCs w:val="22"/>
        </w:rPr>
        <w:t>efini</w:t>
      </w:r>
      <w:r w:rsidR="009C0BAD" w:rsidRPr="006A051F">
        <w:rPr>
          <w:rFonts w:ascii="Verdana" w:eastAsia="Verdana" w:hAnsi="Verdana" w:cs="Verdana"/>
          <w:sz w:val="22"/>
          <w:szCs w:val="22"/>
        </w:rPr>
        <w:t xml:space="preserve">r </w:t>
      </w:r>
      <w:r w:rsidR="00856A4D" w:rsidRPr="006A051F">
        <w:rPr>
          <w:rFonts w:ascii="Verdana" w:eastAsia="Verdana" w:hAnsi="Verdana" w:cs="Verdana"/>
          <w:sz w:val="22"/>
          <w:szCs w:val="22"/>
        </w:rPr>
        <w:t>un criterio de confiabilidad adicional para la asignaci</w:t>
      </w:r>
      <w:r w:rsidR="007621CD" w:rsidRPr="006A051F">
        <w:rPr>
          <w:rFonts w:ascii="Verdana" w:eastAsia="Verdana" w:hAnsi="Verdana" w:cs="Verdana"/>
          <w:sz w:val="22"/>
          <w:szCs w:val="22"/>
        </w:rPr>
        <w:t xml:space="preserve">ón de </w:t>
      </w:r>
      <w:r w:rsidR="00CC52B6" w:rsidRPr="006A051F">
        <w:rPr>
          <w:rFonts w:ascii="Verdana" w:eastAsia="Verdana" w:hAnsi="Verdana" w:cs="Verdana"/>
          <w:sz w:val="22"/>
          <w:szCs w:val="22"/>
        </w:rPr>
        <w:t xml:space="preserve">las </w:t>
      </w:r>
      <w:r w:rsidR="007621CD" w:rsidRPr="006A051F">
        <w:rPr>
          <w:rFonts w:ascii="Verdana" w:eastAsia="Verdana" w:hAnsi="Verdana" w:cs="Verdana"/>
          <w:sz w:val="22"/>
          <w:szCs w:val="22"/>
        </w:rPr>
        <w:t xml:space="preserve">reservas </w:t>
      </w:r>
      <w:r w:rsidR="00CC52B6" w:rsidRPr="006A051F">
        <w:rPr>
          <w:rFonts w:ascii="Verdana" w:eastAsia="Verdana" w:hAnsi="Verdana" w:cs="Verdana"/>
          <w:sz w:val="22"/>
          <w:szCs w:val="22"/>
        </w:rPr>
        <w:t>de</w:t>
      </w:r>
      <w:r w:rsidR="007621CD" w:rsidRPr="006A051F">
        <w:rPr>
          <w:rFonts w:ascii="Verdana" w:eastAsia="Verdana" w:hAnsi="Verdana" w:cs="Verdana"/>
          <w:sz w:val="22"/>
          <w:szCs w:val="22"/>
        </w:rPr>
        <w:t xml:space="preserve"> Regulación Secundaria de F</w:t>
      </w:r>
      <w:r w:rsidR="00856A4D" w:rsidRPr="006A051F">
        <w:rPr>
          <w:rFonts w:ascii="Verdana" w:eastAsia="Verdana" w:hAnsi="Verdana" w:cs="Verdana"/>
          <w:sz w:val="22"/>
          <w:szCs w:val="22"/>
        </w:rPr>
        <w:t>recuencia-AGC</w:t>
      </w:r>
      <w:r w:rsidRPr="006A051F">
        <w:rPr>
          <w:rFonts w:ascii="Verdana" w:eastAsia="Verdana" w:hAnsi="Verdana" w:cs="Verdana"/>
          <w:sz w:val="22"/>
          <w:szCs w:val="22"/>
        </w:rPr>
        <w:t>.</w:t>
      </w:r>
    </w:p>
    <w:p w14:paraId="4D53AA22" w14:textId="77777777" w:rsidR="002D35F3" w:rsidRPr="006A051F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6E8ECCC0" w14:textId="1A1A5F78" w:rsidR="002D35F3" w:rsidRPr="006A051F" w:rsidRDefault="009801A5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>Respetado</w:t>
      </w:r>
      <w:r w:rsidR="00D85A0C" w:rsidRPr="006A051F">
        <w:rPr>
          <w:rFonts w:ascii="Verdana" w:eastAsia="Verdana" w:hAnsi="Verdana" w:cs="Verdana"/>
          <w:sz w:val="22"/>
          <w:szCs w:val="22"/>
        </w:rPr>
        <w:t xml:space="preserve"> </w:t>
      </w:r>
      <w:r w:rsidR="006057F4" w:rsidRPr="006A051F">
        <w:rPr>
          <w:rFonts w:ascii="Verdana" w:eastAsia="Verdana" w:hAnsi="Verdana" w:cs="Verdana"/>
          <w:sz w:val="22"/>
          <w:szCs w:val="22"/>
        </w:rPr>
        <w:t>Director Ejecutivo</w:t>
      </w:r>
      <w:r w:rsidR="002D35F3" w:rsidRPr="006A051F">
        <w:rPr>
          <w:rFonts w:ascii="Verdana" w:eastAsia="Verdana" w:hAnsi="Verdana" w:cs="Verdana"/>
          <w:sz w:val="22"/>
          <w:szCs w:val="22"/>
        </w:rPr>
        <w:t>:</w:t>
      </w:r>
    </w:p>
    <w:p w14:paraId="1A3F4C02" w14:textId="77777777" w:rsidR="002D35F3" w:rsidRPr="006A051F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60F4612B" w14:textId="72BE51EC" w:rsidR="007621CD" w:rsidRPr="006A051F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>El Consejo Nacional de Operación-CNO en ejercicio de las funciones que la Ley 143 de 1994 le ha asignado, de acordar los aspectos técnicos para garantizar que la operación integrada del Sistema Interconectado Nacional-SIN sea s</w:t>
      </w:r>
      <w:r w:rsidR="00186D64" w:rsidRPr="006A051F">
        <w:rPr>
          <w:rFonts w:ascii="Verdana" w:eastAsia="Verdana" w:hAnsi="Verdana" w:cs="Verdana"/>
          <w:sz w:val="22"/>
          <w:szCs w:val="22"/>
        </w:rPr>
        <w:t>egura, confiable y económica</w:t>
      </w:r>
      <w:r w:rsidRPr="006A051F">
        <w:rPr>
          <w:rFonts w:ascii="Verdana" w:eastAsia="Verdana" w:hAnsi="Verdana" w:cs="Verdana"/>
          <w:sz w:val="22"/>
          <w:szCs w:val="22"/>
        </w:rPr>
        <w:t xml:space="preserve">, y considerando </w:t>
      </w:r>
      <w:r w:rsidR="00B45E71" w:rsidRPr="006A051F">
        <w:rPr>
          <w:rFonts w:ascii="Verdana" w:eastAsia="Verdana" w:hAnsi="Verdana" w:cs="Verdana"/>
          <w:sz w:val="22"/>
          <w:szCs w:val="22"/>
        </w:rPr>
        <w:t xml:space="preserve">las revisiones que el Subcomité de Controles del Consejo </w:t>
      </w:r>
      <w:r w:rsidR="003A57C9" w:rsidRPr="006A051F">
        <w:rPr>
          <w:rFonts w:ascii="Verdana" w:eastAsia="Verdana" w:hAnsi="Verdana" w:cs="Verdana"/>
          <w:sz w:val="22"/>
          <w:szCs w:val="22"/>
        </w:rPr>
        <w:t xml:space="preserve">ha realizado respecto a </w:t>
      </w:r>
      <w:r w:rsidR="00186D64" w:rsidRPr="006A051F">
        <w:rPr>
          <w:rFonts w:ascii="Verdana" w:eastAsia="Verdana" w:hAnsi="Verdana" w:cs="Verdana"/>
          <w:sz w:val="22"/>
          <w:szCs w:val="22"/>
        </w:rPr>
        <w:t>los requerimientos</w:t>
      </w:r>
      <w:r w:rsidR="003A57C9" w:rsidRPr="006A051F">
        <w:rPr>
          <w:rFonts w:ascii="Verdana" w:eastAsia="Verdana" w:hAnsi="Verdana" w:cs="Verdana"/>
          <w:sz w:val="22"/>
          <w:szCs w:val="22"/>
        </w:rPr>
        <w:t xml:space="preserve"> técnic</w:t>
      </w:r>
      <w:r w:rsidR="00186D64" w:rsidRPr="006A051F">
        <w:rPr>
          <w:rFonts w:ascii="Verdana" w:eastAsia="Verdana" w:hAnsi="Verdana" w:cs="Verdana"/>
          <w:sz w:val="22"/>
          <w:szCs w:val="22"/>
        </w:rPr>
        <w:t>o</w:t>
      </w:r>
      <w:r w:rsidR="003A57C9" w:rsidRPr="006A051F">
        <w:rPr>
          <w:rFonts w:ascii="Verdana" w:eastAsia="Verdana" w:hAnsi="Verdana" w:cs="Verdana"/>
          <w:sz w:val="22"/>
          <w:szCs w:val="22"/>
        </w:rPr>
        <w:t xml:space="preserve">s para </w:t>
      </w:r>
      <w:r w:rsidR="007621CD" w:rsidRPr="006A051F">
        <w:rPr>
          <w:rFonts w:ascii="Verdana" w:eastAsia="Verdana" w:hAnsi="Verdana" w:cs="Verdana"/>
          <w:sz w:val="22"/>
          <w:szCs w:val="22"/>
        </w:rPr>
        <w:t>la prestación del</w:t>
      </w:r>
      <w:r w:rsidR="003A57C9" w:rsidRPr="006A051F">
        <w:rPr>
          <w:rFonts w:ascii="Verdana" w:eastAsia="Verdana" w:hAnsi="Verdana" w:cs="Verdana"/>
          <w:sz w:val="22"/>
          <w:szCs w:val="22"/>
        </w:rPr>
        <w:t xml:space="preserve"> servicio de Regulación Secundaria de Frecuencia-AGC</w:t>
      </w:r>
      <w:r w:rsidR="007621CD" w:rsidRPr="006A051F">
        <w:rPr>
          <w:rFonts w:ascii="Verdana" w:eastAsia="Verdana" w:hAnsi="Verdana" w:cs="Verdana"/>
          <w:sz w:val="22"/>
          <w:szCs w:val="22"/>
        </w:rPr>
        <w:t>, a continuación</w:t>
      </w:r>
      <w:r w:rsidR="00EE3F5B" w:rsidRPr="006A051F">
        <w:rPr>
          <w:rFonts w:ascii="Verdana" w:eastAsia="Verdana" w:hAnsi="Verdana" w:cs="Verdana"/>
          <w:sz w:val="22"/>
          <w:szCs w:val="22"/>
        </w:rPr>
        <w:t xml:space="preserve"> presenta</w:t>
      </w:r>
      <w:r w:rsidR="00D438D1" w:rsidRPr="006A051F">
        <w:rPr>
          <w:rFonts w:ascii="Verdana" w:eastAsia="Verdana" w:hAnsi="Verdana" w:cs="Verdana"/>
          <w:sz w:val="22"/>
          <w:szCs w:val="22"/>
        </w:rPr>
        <w:t>mos</w:t>
      </w:r>
      <w:r w:rsidR="007621CD" w:rsidRPr="006A051F">
        <w:rPr>
          <w:rFonts w:ascii="Verdana" w:eastAsia="Verdana" w:hAnsi="Verdana" w:cs="Verdana"/>
          <w:sz w:val="22"/>
          <w:szCs w:val="22"/>
        </w:rPr>
        <w:t xml:space="preserve"> </w:t>
      </w:r>
      <w:r w:rsidR="009C0BAD" w:rsidRPr="006A051F">
        <w:rPr>
          <w:rFonts w:ascii="Verdana" w:eastAsia="Verdana" w:hAnsi="Verdana" w:cs="Verdana"/>
          <w:sz w:val="22"/>
          <w:szCs w:val="22"/>
        </w:rPr>
        <w:t>para discusión</w:t>
      </w:r>
      <w:r w:rsidR="00D438D1" w:rsidRPr="006A051F">
        <w:rPr>
          <w:rFonts w:ascii="Verdana" w:eastAsia="Verdana" w:hAnsi="Verdana" w:cs="Verdana"/>
          <w:sz w:val="22"/>
          <w:szCs w:val="22"/>
        </w:rPr>
        <w:t xml:space="preserve"> y trabajo varias alternativas</w:t>
      </w:r>
      <w:r w:rsidR="009C0BAD" w:rsidRPr="006A051F">
        <w:rPr>
          <w:rFonts w:ascii="Verdana" w:eastAsia="Verdana" w:hAnsi="Verdana" w:cs="Verdana"/>
          <w:sz w:val="22"/>
          <w:szCs w:val="22"/>
        </w:rPr>
        <w:t xml:space="preserve">, </w:t>
      </w:r>
      <w:r w:rsidR="00D438D1" w:rsidRPr="006A051F">
        <w:rPr>
          <w:rFonts w:ascii="Verdana" w:eastAsia="Verdana" w:hAnsi="Verdana" w:cs="Verdana"/>
          <w:sz w:val="22"/>
          <w:szCs w:val="22"/>
        </w:rPr>
        <w:t>en relación</w:t>
      </w:r>
      <w:r w:rsidR="009C0BAD" w:rsidRPr="006A051F">
        <w:rPr>
          <w:rFonts w:ascii="Verdana" w:eastAsia="Verdana" w:hAnsi="Verdana" w:cs="Verdana"/>
          <w:sz w:val="22"/>
          <w:szCs w:val="22"/>
        </w:rPr>
        <w:t xml:space="preserve"> a la posibilidad de incluir</w:t>
      </w:r>
      <w:r w:rsidR="007621CD" w:rsidRPr="006A051F">
        <w:rPr>
          <w:rFonts w:ascii="Verdana" w:eastAsia="Verdana" w:hAnsi="Verdana" w:cs="Verdana"/>
          <w:sz w:val="22"/>
          <w:szCs w:val="22"/>
        </w:rPr>
        <w:t xml:space="preserve"> un criterio adicional para la asignación de</w:t>
      </w:r>
      <w:r w:rsidR="00CC52B6" w:rsidRPr="006A051F">
        <w:rPr>
          <w:rFonts w:ascii="Verdana" w:eastAsia="Verdana" w:hAnsi="Verdana" w:cs="Verdana"/>
          <w:sz w:val="22"/>
          <w:szCs w:val="22"/>
        </w:rPr>
        <w:t xml:space="preserve"> las</w:t>
      </w:r>
      <w:r w:rsidR="007621CD" w:rsidRPr="006A051F">
        <w:rPr>
          <w:rFonts w:ascii="Verdana" w:eastAsia="Verdana" w:hAnsi="Verdana" w:cs="Verdana"/>
          <w:sz w:val="22"/>
          <w:szCs w:val="22"/>
        </w:rPr>
        <w:t xml:space="preserve"> reservas para el AGC.</w:t>
      </w:r>
    </w:p>
    <w:p w14:paraId="4CD0E282" w14:textId="77777777" w:rsidR="00CC52B6" w:rsidRPr="006A051F" w:rsidRDefault="00CC52B6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67067042" w14:textId="6FB833A3" w:rsidR="00686255" w:rsidRPr="006A051F" w:rsidRDefault="00CC52B6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>Esta comunicación está estruct</w:t>
      </w:r>
      <w:r w:rsidR="003A08D4" w:rsidRPr="006A051F">
        <w:rPr>
          <w:rFonts w:ascii="Verdana" w:eastAsia="Verdana" w:hAnsi="Verdana" w:cs="Verdana"/>
          <w:sz w:val="22"/>
          <w:szCs w:val="22"/>
        </w:rPr>
        <w:t>urada de la siguiente manera:</w:t>
      </w:r>
      <w:r w:rsidRPr="006A051F">
        <w:rPr>
          <w:rFonts w:ascii="Verdana" w:eastAsia="Verdana" w:hAnsi="Verdana" w:cs="Verdana"/>
          <w:sz w:val="22"/>
          <w:szCs w:val="22"/>
        </w:rPr>
        <w:t xml:space="preserve"> En el primer capítulo se muestra </w:t>
      </w:r>
      <w:r w:rsidR="00D438D1" w:rsidRPr="006A051F">
        <w:rPr>
          <w:rFonts w:ascii="Verdana" w:eastAsia="Verdana" w:hAnsi="Verdana" w:cs="Verdana"/>
          <w:sz w:val="22"/>
          <w:szCs w:val="22"/>
        </w:rPr>
        <w:t>un listado de eventos</w:t>
      </w:r>
      <w:r w:rsidR="003A08D4" w:rsidRPr="006A051F">
        <w:rPr>
          <w:rFonts w:ascii="Verdana" w:eastAsia="Verdana" w:hAnsi="Verdana" w:cs="Verdana"/>
          <w:sz w:val="22"/>
          <w:szCs w:val="22"/>
        </w:rPr>
        <w:t xml:space="preserve"> </w:t>
      </w:r>
      <w:r w:rsidR="00D438D1" w:rsidRPr="006A051F">
        <w:rPr>
          <w:rFonts w:ascii="Verdana" w:eastAsia="Verdana" w:hAnsi="Verdana" w:cs="Verdana"/>
          <w:sz w:val="22"/>
          <w:szCs w:val="22"/>
        </w:rPr>
        <w:t>durante</w:t>
      </w:r>
      <w:r w:rsidR="003A08D4" w:rsidRPr="006A051F">
        <w:rPr>
          <w:rFonts w:ascii="Verdana" w:eastAsia="Verdana" w:hAnsi="Verdana" w:cs="Verdana"/>
          <w:sz w:val="22"/>
          <w:szCs w:val="22"/>
        </w:rPr>
        <w:t xml:space="preserve"> los últimos </w:t>
      </w:r>
      <w:r w:rsidR="00D438D1" w:rsidRPr="006A051F">
        <w:rPr>
          <w:rFonts w:ascii="Verdana" w:eastAsia="Verdana" w:hAnsi="Verdana" w:cs="Verdana"/>
          <w:sz w:val="22"/>
          <w:szCs w:val="22"/>
        </w:rPr>
        <w:t>dos (</w:t>
      </w:r>
      <w:r w:rsidR="004F30A8" w:rsidRPr="006A051F">
        <w:rPr>
          <w:rFonts w:ascii="Verdana" w:eastAsia="Verdana" w:hAnsi="Verdana" w:cs="Verdana"/>
          <w:sz w:val="22"/>
          <w:szCs w:val="22"/>
        </w:rPr>
        <w:t>2</w:t>
      </w:r>
      <w:r w:rsidR="00D438D1" w:rsidRPr="006A051F">
        <w:rPr>
          <w:rFonts w:ascii="Verdana" w:eastAsia="Verdana" w:hAnsi="Verdana" w:cs="Verdana"/>
          <w:sz w:val="22"/>
          <w:szCs w:val="22"/>
        </w:rPr>
        <w:t>)</w:t>
      </w:r>
      <w:r w:rsidR="003A08D4" w:rsidRPr="006A051F">
        <w:rPr>
          <w:rFonts w:ascii="Verdana" w:eastAsia="Verdana" w:hAnsi="Verdana" w:cs="Verdana"/>
          <w:sz w:val="22"/>
          <w:szCs w:val="22"/>
        </w:rPr>
        <w:t xml:space="preserve"> años,</w:t>
      </w:r>
      <w:r w:rsidR="00696E1E" w:rsidRPr="006A051F">
        <w:rPr>
          <w:rFonts w:ascii="Verdana" w:eastAsia="Verdana" w:hAnsi="Verdana" w:cs="Verdana"/>
          <w:sz w:val="22"/>
          <w:szCs w:val="22"/>
        </w:rPr>
        <w:t xml:space="preserve"> en los cuales se produjo la </w:t>
      </w:r>
      <w:r w:rsidR="00947287" w:rsidRPr="006A051F">
        <w:rPr>
          <w:rFonts w:ascii="Verdana" w:eastAsia="Verdana" w:hAnsi="Verdana" w:cs="Verdana"/>
          <w:sz w:val="22"/>
          <w:szCs w:val="22"/>
        </w:rPr>
        <w:t>pérdida</w:t>
      </w:r>
      <w:r w:rsidR="00696E1E" w:rsidRPr="006A051F">
        <w:rPr>
          <w:rFonts w:ascii="Verdana" w:eastAsia="Verdana" w:hAnsi="Verdana" w:cs="Verdana"/>
          <w:sz w:val="22"/>
          <w:szCs w:val="22"/>
        </w:rPr>
        <w:t xml:space="preserve"> del aporte de la holgura para AGC de </w:t>
      </w:r>
      <w:r w:rsidR="00CB0EA1" w:rsidRPr="006A051F">
        <w:rPr>
          <w:rFonts w:ascii="Verdana" w:eastAsia="Verdana" w:hAnsi="Verdana" w:cs="Verdana"/>
          <w:sz w:val="22"/>
          <w:szCs w:val="22"/>
        </w:rPr>
        <w:t>alguna</w:t>
      </w:r>
      <w:r w:rsidR="00696E1E" w:rsidRPr="006A051F">
        <w:rPr>
          <w:rFonts w:ascii="Verdana" w:eastAsia="Verdana" w:hAnsi="Verdana" w:cs="Verdana"/>
          <w:sz w:val="22"/>
          <w:szCs w:val="22"/>
        </w:rPr>
        <w:t xml:space="preserve"> planta que contaba </w:t>
      </w:r>
      <w:r w:rsidR="00EE3F5B" w:rsidRPr="006A051F">
        <w:rPr>
          <w:rFonts w:ascii="Verdana" w:eastAsia="Verdana" w:hAnsi="Verdana" w:cs="Verdana"/>
          <w:sz w:val="22"/>
          <w:szCs w:val="22"/>
        </w:rPr>
        <w:t xml:space="preserve">con </w:t>
      </w:r>
      <w:r w:rsidR="00696E1E" w:rsidRPr="006A051F">
        <w:rPr>
          <w:rFonts w:ascii="Verdana" w:eastAsia="Verdana" w:hAnsi="Verdana" w:cs="Verdana"/>
          <w:sz w:val="22"/>
          <w:szCs w:val="22"/>
        </w:rPr>
        <w:t xml:space="preserve">una asignación </w:t>
      </w:r>
      <w:r w:rsidR="004F30A8" w:rsidRPr="006A051F">
        <w:rPr>
          <w:rFonts w:ascii="Verdana" w:eastAsia="Verdana" w:hAnsi="Verdana" w:cs="Verdana"/>
          <w:sz w:val="22"/>
          <w:szCs w:val="22"/>
        </w:rPr>
        <w:t>superior al 70 %</w:t>
      </w:r>
      <w:r w:rsidR="00EE3F5B" w:rsidRPr="006A051F">
        <w:rPr>
          <w:rFonts w:ascii="Verdana" w:eastAsia="Verdana" w:hAnsi="Verdana" w:cs="Verdana"/>
          <w:sz w:val="22"/>
          <w:szCs w:val="22"/>
        </w:rPr>
        <w:t xml:space="preserve"> </w:t>
      </w:r>
      <w:r w:rsidR="00696E1E" w:rsidRPr="006A051F">
        <w:rPr>
          <w:rFonts w:ascii="Verdana" w:eastAsia="Verdana" w:hAnsi="Verdana" w:cs="Verdana"/>
          <w:sz w:val="22"/>
          <w:szCs w:val="22"/>
        </w:rPr>
        <w:t>en el periodo correspondiente</w:t>
      </w:r>
      <w:r w:rsidR="00F31D89" w:rsidRPr="006A051F">
        <w:rPr>
          <w:rFonts w:ascii="Verdana" w:eastAsia="Verdana" w:hAnsi="Verdana" w:cs="Verdana"/>
          <w:sz w:val="22"/>
          <w:szCs w:val="22"/>
        </w:rPr>
        <w:t xml:space="preserve">, y los riesgos identificados </w:t>
      </w:r>
      <w:r w:rsidR="003A08D4" w:rsidRPr="006A051F">
        <w:rPr>
          <w:rFonts w:ascii="Verdana" w:eastAsia="Verdana" w:hAnsi="Verdana" w:cs="Verdana"/>
          <w:sz w:val="22"/>
          <w:szCs w:val="22"/>
        </w:rPr>
        <w:t>por el C</w:t>
      </w:r>
      <w:r w:rsidR="00CB0EA1" w:rsidRPr="006A051F">
        <w:rPr>
          <w:rFonts w:ascii="Verdana" w:eastAsia="Verdana" w:hAnsi="Verdana" w:cs="Verdana"/>
          <w:sz w:val="22"/>
          <w:szCs w:val="22"/>
        </w:rPr>
        <w:t xml:space="preserve">entro </w:t>
      </w:r>
      <w:r w:rsidR="003A08D4" w:rsidRPr="006A051F">
        <w:rPr>
          <w:rFonts w:ascii="Verdana" w:eastAsia="Verdana" w:hAnsi="Verdana" w:cs="Verdana"/>
          <w:sz w:val="22"/>
          <w:szCs w:val="22"/>
        </w:rPr>
        <w:t>N</w:t>
      </w:r>
      <w:r w:rsidR="00CB0EA1" w:rsidRPr="006A051F">
        <w:rPr>
          <w:rFonts w:ascii="Verdana" w:eastAsia="Verdana" w:hAnsi="Verdana" w:cs="Verdana"/>
          <w:sz w:val="22"/>
          <w:szCs w:val="22"/>
        </w:rPr>
        <w:t xml:space="preserve">acional de </w:t>
      </w:r>
      <w:r w:rsidR="003A08D4" w:rsidRPr="006A051F">
        <w:rPr>
          <w:rFonts w:ascii="Verdana" w:eastAsia="Verdana" w:hAnsi="Verdana" w:cs="Verdana"/>
          <w:sz w:val="22"/>
          <w:szCs w:val="22"/>
        </w:rPr>
        <w:t>D</w:t>
      </w:r>
      <w:r w:rsidR="00CB0EA1" w:rsidRPr="006A051F">
        <w:rPr>
          <w:rFonts w:ascii="Verdana" w:eastAsia="Verdana" w:hAnsi="Verdana" w:cs="Verdana"/>
          <w:sz w:val="22"/>
          <w:szCs w:val="22"/>
        </w:rPr>
        <w:t>espacho-CND</w:t>
      </w:r>
      <w:r w:rsidR="003A08D4" w:rsidRPr="006A051F">
        <w:rPr>
          <w:rFonts w:ascii="Verdana" w:eastAsia="Verdana" w:hAnsi="Verdana" w:cs="Verdana"/>
          <w:sz w:val="22"/>
          <w:szCs w:val="22"/>
        </w:rPr>
        <w:t xml:space="preserve"> y </w:t>
      </w:r>
      <w:r w:rsidR="00D438D1" w:rsidRPr="006A051F">
        <w:rPr>
          <w:rFonts w:ascii="Verdana" w:eastAsia="Verdana" w:hAnsi="Verdana" w:cs="Verdana"/>
          <w:sz w:val="22"/>
          <w:szCs w:val="22"/>
        </w:rPr>
        <w:t xml:space="preserve">el </w:t>
      </w:r>
      <w:r w:rsidR="003A08D4" w:rsidRPr="006A051F">
        <w:rPr>
          <w:rFonts w:ascii="Verdana" w:eastAsia="Verdana" w:hAnsi="Verdana" w:cs="Verdana"/>
          <w:sz w:val="22"/>
          <w:szCs w:val="22"/>
        </w:rPr>
        <w:t xml:space="preserve">CNO cuando </w:t>
      </w:r>
      <w:r w:rsidR="00F31D89" w:rsidRPr="006A051F">
        <w:rPr>
          <w:rFonts w:ascii="Verdana" w:eastAsia="Verdana" w:hAnsi="Verdana" w:cs="Verdana"/>
          <w:sz w:val="22"/>
          <w:szCs w:val="22"/>
        </w:rPr>
        <w:t>se materializa esta condición. En el segundo capítulo se presenta el análisis normativo del CNO sobre las condiciones que, e</w:t>
      </w:r>
      <w:r w:rsidR="009C0BAD" w:rsidRPr="006A051F">
        <w:rPr>
          <w:rFonts w:ascii="Verdana" w:eastAsia="Verdana" w:hAnsi="Verdana" w:cs="Verdana"/>
          <w:sz w:val="22"/>
          <w:szCs w:val="22"/>
        </w:rPr>
        <w:t xml:space="preserve">n nuestro criterio, limitan al </w:t>
      </w:r>
      <w:r w:rsidR="00F31D89" w:rsidRPr="006A051F">
        <w:rPr>
          <w:rFonts w:ascii="Verdana" w:eastAsia="Verdana" w:hAnsi="Verdana" w:cs="Verdana"/>
          <w:sz w:val="22"/>
          <w:szCs w:val="22"/>
        </w:rPr>
        <w:t>Consejo para definir</w:t>
      </w:r>
      <w:r w:rsidR="009C0BAD" w:rsidRPr="006A051F">
        <w:rPr>
          <w:rFonts w:ascii="Verdana" w:eastAsia="Verdana" w:hAnsi="Verdana" w:cs="Verdana"/>
          <w:sz w:val="22"/>
          <w:szCs w:val="22"/>
        </w:rPr>
        <w:t xml:space="preserve">, vía Acuerdo, un criterio adicional para la asignación del AGC. </w:t>
      </w:r>
      <w:r w:rsidR="00984F96" w:rsidRPr="006A051F">
        <w:rPr>
          <w:rFonts w:ascii="Verdana" w:eastAsia="Verdana" w:hAnsi="Verdana" w:cs="Verdana"/>
          <w:sz w:val="22"/>
          <w:szCs w:val="22"/>
        </w:rPr>
        <w:t>Finalmente,</w:t>
      </w:r>
      <w:r w:rsidR="009C0BAD" w:rsidRPr="006A051F">
        <w:rPr>
          <w:rFonts w:ascii="Verdana" w:eastAsia="Verdana" w:hAnsi="Verdana" w:cs="Verdana"/>
          <w:sz w:val="22"/>
          <w:szCs w:val="22"/>
        </w:rPr>
        <w:t xml:space="preserve"> en el tercer capítulo se muestran, para discusión y construcción conjunta, varias </w:t>
      </w:r>
      <w:r w:rsidR="000652AC" w:rsidRPr="006A051F">
        <w:rPr>
          <w:rFonts w:ascii="Verdana" w:eastAsia="Verdana" w:hAnsi="Verdana" w:cs="Verdana"/>
          <w:sz w:val="22"/>
          <w:szCs w:val="22"/>
        </w:rPr>
        <w:t>alternativas</w:t>
      </w:r>
      <w:r w:rsidR="009C0BAD" w:rsidRPr="006A051F">
        <w:rPr>
          <w:rFonts w:ascii="Verdana" w:eastAsia="Verdana" w:hAnsi="Verdana" w:cs="Verdana"/>
          <w:sz w:val="22"/>
          <w:szCs w:val="22"/>
        </w:rPr>
        <w:t xml:space="preserve"> de inclusión de un criterio adicional de confiabilidad</w:t>
      </w:r>
      <w:r w:rsidR="00686255" w:rsidRPr="006A051F">
        <w:rPr>
          <w:rFonts w:ascii="Verdana" w:eastAsia="Verdana" w:hAnsi="Verdana" w:cs="Verdana"/>
          <w:sz w:val="22"/>
          <w:szCs w:val="22"/>
        </w:rPr>
        <w:t xml:space="preserve"> en la prestación del servicio de regulación </w:t>
      </w:r>
      <w:r w:rsidR="00CB0EA1" w:rsidRPr="006A051F">
        <w:rPr>
          <w:rFonts w:ascii="Verdana" w:eastAsia="Verdana" w:hAnsi="Verdana" w:cs="Verdana"/>
          <w:sz w:val="22"/>
          <w:szCs w:val="22"/>
        </w:rPr>
        <w:t xml:space="preserve">secundaria </w:t>
      </w:r>
      <w:r w:rsidR="00686255" w:rsidRPr="006A051F">
        <w:rPr>
          <w:rFonts w:ascii="Verdana" w:eastAsia="Verdana" w:hAnsi="Verdana" w:cs="Verdana"/>
          <w:sz w:val="22"/>
          <w:szCs w:val="22"/>
        </w:rPr>
        <w:t>de frecuencia.</w:t>
      </w:r>
    </w:p>
    <w:p w14:paraId="15363000" w14:textId="5ADC3F93" w:rsidR="00D87412" w:rsidRPr="006A051F" w:rsidRDefault="00D87412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4E7FC07F" w14:textId="160896AA" w:rsidR="00D87412" w:rsidRPr="006A051F" w:rsidRDefault="00D87412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6288B905" w14:textId="322ED6AD" w:rsidR="00D87412" w:rsidRPr="006A051F" w:rsidRDefault="00D87412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49EE66DD" w14:textId="77777777" w:rsidR="00D87412" w:rsidRPr="006A051F" w:rsidRDefault="00D87412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81AF284" w14:textId="77777777" w:rsidR="00686255" w:rsidRPr="006A051F" w:rsidRDefault="00686255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EE0D73A" w14:textId="2EE47B2C" w:rsidR="00686255" w:rsidRPr="006A051F" w:rsidRDefault="00686255" w:rsidP="0044391A">
      <w:pPr>
        <w:pStyle w:val="Prrafodelista"/>
        <w:numPr>
          <w:ilvl w:val="0"/>
          <w:numId w:val="11"/>
        </w:numPr>
        <w:jc w:val="both"/>
        <w:rPr>
          <w:rFonts w:ascii="Verdana" w:eastAsia="Verdana" w:hAnsi="Verdana" w:cs="Verdana"/>
          <w:b/>
          <w:sz w:val="22"/>
          <w:szCs w:val="22"/>
        </w:rPr>
      </w:pPr>
      <w:r w:rsidRPr="006A051F">
        <w:rPr>
          <w:rFonts w:ascii="Verdana" w:eastAsia="Verdana" w:hAnsi="Verdana" w:cs="Verdana"/>
          <w:b/>
          <w:sz w:val="22"/>
          <w:szCs w:val="22"/>
        </w:rPr>
        <w:lastRenderedPageBreak/>
        <w:t>Riesgos identificados cuando una planta de generación está prestando el servicio de regulación secundaria de frecuencia</w:t>
      </w:r>
      <w:r w:rsidR="004F30A8" w:rsidRPr="006A051F">
        <w:rPr>
          <w:rFonts w:ascii="Verdana" w:eastAsia="Verdana" w:hAnsi="Verdana" w:cs="Verdana"/>
          <w:b/>
          <w:sz w:val="22"/>
          <w:szCs w:val="22"/>
        </w:rPr>
        <w:t xml:space="preserve"> con una holgura asignada superior al 70%</w:t>
      </w:r>
      <w:r w:rsidR="00CB0EA1" w:rsidRPr="006A051F">
        <w:rPr>
          <w:rFonts w:ascii="Verdana" w:eastAsia="Verdana" w:hAnsi="Verdana" w:cs="Verdana"/>
          <w:b/>
          <w:sz w:val="22"/>
          <w:szCs w:val="22"/>
        </w:rPr>
        <w:t xml:space="preserve"> de la holgura del SIN</w:t>
      </w:r>
      <w:r w:rsidRPr="006A051F">
        <w:rPr>
          <w:rFonts w:ascii="Verdana" w:eastAsia="Verdana" w:hAnsi="Verdana" w:cs="Verdana"/>
          <w:b/>
          <w:sz w:val="22"/>
          <w:szCs w:val="22"/>
        </w:rPr>
        <w:t>.</w:t>
      </w:r>
    </w:p>
    <w:p w14:paraId="7EB9CBB1" w14:textId="65FF82B6" w:rsidR="004F30A8" w:rsidRPr="006A051F" w:rsidRDefault="004F30A8" w:rsidP="004F30A8">
      <w:pPr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1751C24D" w14:textId="6C12FB2F" w:rsidR="004F30A8" w:rsidRPr="006A051F" w:rsidRDefault="002F4B9A" w:rsidP="004F30A8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>En la Tabla 1 se presentan diez casos identificados desde junio de 2018 hasta agosto de 2020</w:t>
      </w:r>
      <w:r w:rsidR="00EE3F5B" w:rsidRPr="006A051F">
        <w:rPr>
          <w:rFonts w:ascii="Verdana" w:eastAsia="Verdana" w:hAnsi="Verdana" w:cs="Verdana"/>
          <w:sz w:val="22"/>
          <w:szCs w:val="22"/>
        </w:rPr>
        <w:t>,</w:t>
      </w:r>
      <w:r w:rsidRPr="006A051F">
        <w:rPr>
          <w:rFonts w:ascii="Verdana" w:eastAsia="Verdana" w:hAnsi="Verdana" w:cs="Verdana"/>
          <w:sz w:val="22"/>
          <w:szCs w:val="22"/>
        </w:rPr>
        <w:t xml:space="preserve"> en los cuales se </w:t>
      </w:r>
      <w:r w:rsidR="00DB532F" w:rsidRPr="006A051F">
        <w:rPr>
          <w:rFonts w:ascii="Verdana" w:eastAsia="Verdana" w:hAnsi="Verdana" w:cs="Verdana"/>
          <w:sz w:val="22"/>
          <w:szCs w:val="22"/>
        </w:rPr>
        <w:t>produjo</w:t>
      </w:r>
      <w:r w:rsidRPr="006A051F">
        <w:rPr>
          <w:rFonts w:ascii="Verdana" w:eastAsia="Verdana" w:hAnsi="Verdana" w:cs="Verdana"/>
          <w:sz w:val="22"/>
          <w:szCs w:val="22"/>
        </w:rPr>
        <w:t xml:space="preserve"> la pérdida de </w:t>
      </w:r>
      <w:r w:rsidR="00CB0EA1" w:rsidRPr="006A051F">
        <w:rPr>
          <w:rFonts w:ascii="Verdana" w:eastAsia="Verdana" w:hAnsi="Verdana" w:cs="Verdana"/>
          <w:sz w:val="22"/>
          <w:szCs w:val="22"/>
        </w:rPr>
        <w:t xml:space="preserve">la holgura de </w:t>
      </w:r>
      <w:r w:rsidRPr="006A051F">
        <w:rPr>
          <w:rFonts w:ascii="Verdana" w:eastAsia="Verdana" w:hAnsi="Verdana" w:cs="Verdana"/>
          <w:sz w:val="22"/>
          <w:szCs w:val="22"/>
        </w:rPr>
        <w:t>la planta que c</w:t>
      </w:r>
      <w:r w:rsidR="00DB532F" w:rsidRPr="006A051F">
        <w:rPr>
          <w:rFonts w:ascii="Verdana" w:eastAsia="Verdana" w:hAnsi="Verdana" w:cs="Verdana"/>
          <w:sz w:val="22"/>
          <w:szCs w:val="22"/>
        </w:rPr>
        <w:t>ontaba</w:t>
      </w:r>
      <w:r w:rsidRPr="006A051F">
        <w:rPr>
          <w:rFonts w:ascii="Verdana" w:eastAsia="Verdana" w:hAnsi="Verdana" w:cs="Verdana"/>
          <w:sz w:val="22"/>
          <w:szCs w:val="22"/>
        </w:rPr>
        <w:t xml:space="preserve"> con una asignación superior al 70% de la holgura definida </w:t>
      </w:r>
      <w:r w:rsidR="00984F96" w:rsidRPr="006A051F">
        <w:rPr>
          <w:rFonts w:ascii="Verdana" w:eastAsia="Verdana" w:hAnsi="Verdana" w:cs="Verdana"/>
          <w:sz w:val="22"/>
          <w:szCs w:val="22"/>
        </w:rPr>
        <w:t xml:space="preserve">en </w:t>
      </w:r>
      <w:r w:rsidRPr="006A051F">
        <w:rPr>
          <w:rFonts w:ascii="Verdana" w:eastAsia="Verdana" w:hAnsi="Verdana" w:cs="Verdana"/>
          <w:sz w:val="22"/>
          <w:szCs w:val="22"/>
        </w:rPr>
        <w:t>el periodo</w:t>
      </w:r>
      <w:r w:rsidR="00CB0EA1" w:rsidRPr="006A051F">
        <w:rPr>
          <w:rFonts w:ascii="Verdana" w:eastAsia="Verdana" w:hAnsi="Verdana" w:cs="Verdana"/>
          <w:sz w:val="22"/>
          <w:szCs w:val="22"/>
        </w:rPr>
        <w:t xml:space="preserve"> para todo el Sistema</w:t>
      </w:r>
      <w:r w:rsidRPr="006A051F">
        <w:rPr>
          <w:rFonts w:ascii="Verdana" w:eastAsia="Verdana" w:hAnsi="Verdana" w:cs="Verdana"/>
          <w:sz w:val="22"/>
          <w:szCs w:val="22"/>
        </w:rPr>
        <w:t>.</w:t>
      </w:r>
      <w:r w:rsidR="00EA5DAD" w:rsidRPr="006A051F">
        <w:rPr>
          <w:rFonts w:ascii="Verdana" w:eastAsia="Verdana" w:hAnsi="Verdana" w:cs="Verdana"/>
          <w:sz w:val="22"/>
          <w:szCs w:val="22"/>
        </w:rPr>
        <w:t xml:space="preserve"> </w:t>
      </w:r>
    </w:p>
    <w:p w14:paraId="7531CAC6" w14:textId="77777777" w:rsidR="004F30A8" w:rsidRPr="006A051F" w:rsidRDefault="004F30A8" w:rsidP="004F30A8">
      <w:pPr>
        <w:jc w:val="both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92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202"/>
        <w:gridCol w:w="965"/>
        <w:gridCol w:w="1031"/>
        <w:gridCol w:w="1418"/>
        <w:gridCol w:w="1559"/>
        <w:gridCol w:w="2418"/>
      </w:tblGrid>
      <w:tr w:rsidR="00EA5DAD" w:rsidRPr="006A051F" w14:paraId="03E664F2" w14:textId="77777777" w:rsidTr="00D438D1">
        <w:trPr>
          <w:trHeight w:val="290"/>
          <w:tblHeader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7C99" w14:textId="77777777" w:rsidR="00EA5DAD" w:rsidRPr="006A051F" w:rsidRDefault="00EA5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Caso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A7E3" w14:textId="77777777" w:rsidR="00EA5DAD" w:rsidRPr="006A051F" w:rsidRDefault="00EA5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930B" w14:textId="77777777" w:rsidR="00EA5DAD" w:rsidRPr="006A051F" w:rsidRDefault="00EA5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F632" w14:textId="20B95B65" w:rsidR="00EA5DAD" w:rsidRPr="006A051F" w:rsidRDefault="00EA5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Holgura periodo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6E7" w14:textId="701B3B71" w:rsidR="00EA5DAD" w:rsidRPr="006A051F" w:rsidRDefault="00EA5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Porcentaje [%] de la holgura asignado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275A" w14:textId="1508E95F" w:rsidR="00EA5DAD" w:rsidRPr="006A051F" w:rsidRDefault="00EA5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Unidades involucradas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5540D" w14:textId="1B3CE09E" w:rsidR="00EA5DAD" w:rsidRPr="006A051F" w:rsidRDefault="00EA5D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Descripción</w:t>
            </w:r>
          </w:p>
        </w:tc>
      </w:tr>
      <w:tr w:rsidR="00EA5DAD" w:rsidRPr="006A051F" w14:paraId="5A5E933B" w14:textId="77777777" w:rsidTr="00D438D1">
        <w:trPr>
          <w:trHeight w:val="95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52CF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033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20/06/2018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8592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D8A0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60DE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DB78" w14:textId="12B4CDEA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E16B" w14:textId="77777777" w:rsidR="00504B32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tres (3) unidades salieron de línea.</w:t>
            </w:r>
          </w:p>
          <w:p w14:paraId="6187F1AC" w14:textId="77777777" w:rsidR="00504B32" w:rsidRPr="006A051F" w:rsidRDefault="00504B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F708301" w14:textId="043D5BDE" w:rsidR="00EA5DAD" w:rsidRPr="006A051F" w:rsidRDefault="00504B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En el cambio de periodo del 8 al 9, el operador de la planta cofunde el programa de generación, sacando las tres unidades que no eran.</w:t>
            </w:r>
            <w:r w:rsidR="00EA5DAD" w:rsidRPr="006A0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A5DAD" w:rsidRPr="006A051F" w14:paraId="77626DF6" w14:textId="77777777" w:rsidTr="00D438D1">
        <w:trPr>
          <w:trHeight w:val="103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E6A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BC80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28/08/2018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4DE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597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461A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3B1" w14:textId="305875CC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729A" w14:textId="412443BF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seis (6) unidades se desconectaron más de 5 veces en un mismo periodo, y fueron retiradas del AGC según Acuerdo 1023.</w:t>
            </w:r>
          </w:p>
        </w:tc>
      </w:tr>
      <w:tr w:rsidR="00EA5DAD" w:rsidRPr="006A051F" w14:paraId="46E95076" w14:textId="77777777" w:rsidTr="00D438D1">
        <w:trPr>
          <w:trHeight w:val="93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656A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4E7B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14/09/2018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764A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B1CC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D2CD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DEF1" w14:textId="7AE4957D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C64C" w14:textId="0E3553D6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seis (6) unidades se “desengancharon” del AGC</w:t>
            </w:r>
            <w:r w:rsidR="00504B32" w:rsidRPr="006A0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desviación durante más de 60 segundos</w:t>
            </w: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EA5DAD" w:rsidRPr="006A051F" w14:paraId="19774C7B" w14:textId="77777777" w:rsidTr="00D438D1">
        <w:trPr>
          <w:trHeight w:val="724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ACA2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C707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7/01/2019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1AE7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F513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959F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AB02" w14:textId="1599A834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3CCD" w14:textId="2917A14E" w:rsidR="00EA5DAD" w:rsidRPr="006A051F" w:rsidRDefault="00504B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seis (6) unidades se “desengancharon” del AGC por desviación durante más de 60 segundos.</w:t>
            </w:r>
          </w:p>
        </w:tc>
      </w:tr>
      <w:tr w:rsidR="00EA5DAD" w:rsidRPr="006A051F" w14:paraId="3505D6C9" w14:textId="77777777" w:rsidTr="00D438D1">
        <w:trPr>
          <w:trHeight w:val="73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384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7B5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23/01/2019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02E9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431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D156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4E90" w14:textId="3A49BD31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ED5D" w14:textId="11DBDD6B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cinco (5) unidades se “desengancharon” del AGC</w:t>
            </w:r>
            <w:r w:rsidR="00504B32" w:rsidRPr="006A0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desviación durante más de 60 segundos</w:t>
            </w: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EA5DAD" w:rsidRPr="006A051F" w14:paraId="54914F7F" w14:textId="77777777" w:rsidTr="00D438D1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BA3B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41C5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5/08/2019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28B0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72C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B7A7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0B16" w14:textId="28D36FE1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25BA" w14:textId="0F5CB850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(cuatro) 4 unidades se “desengancharon” del AGC</w:t>
            </w:r>
            <w:r w:rsidR="00504B32" w:rsidRPr="006A0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desviación durante más de 60 segundos.</w:t>
            </w:r>
          </w:p>
        </w:tc>
      </w:tr>
      <w:tr w:rsidR="00EA5DAD" w:rsidRPr="006A051F" w14:paraId="332B8CDF" w14:textId="77777777" w:rsidTr="00D438D1">
        <w:trPr>
          <w:trHeight w:val="79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AFF3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DDEF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20/02/2020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FCE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D7B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1A3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C44" w14:textId="5BC27C5C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B83B" w14:textId="6C7E5E08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tres (3) unidades se “desengancharon” del AGC</w:t>
            </w:r>
            <w:r w:rsidR="00504B32" w:rsidRPr="006A0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desviación durante más de 60 segundos</w:t>
            </w: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EA5DAD" w:rsidRPr="006A051F" w14:paraId="2D9A42AD" w14:textId="77777777" w:rsidTr="00D438D1">
        <w:trPr>
          <w:trHeight w:val="694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0DE5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DD97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12/05/2020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A3B3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EC90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FE51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674" w14:textId="0F82B481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03FBF" w14:textId="4655780E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siete (7) unidades se “desengancharon” del AGC</w:t>
            </w:r>
            <w:r w:rsidR="00504B32" w:rsidRPr="006A0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que las mismas llegaron a su mínimo técnico para prestar este servicio</w:t>
            </w: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EA5DAD" w:rsidRPr="006A051F" w14:paraId="61766EE1" w14:textId="77777777" w:rsidTr="00D438D1">
        <w:trPr>
          <w:trHeight w:val="55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BAD8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BBB3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4/08/2020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8397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0F39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CF9A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4D63" w14:textId="2F3F397A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9BD7" w14:textId="30AEC7D8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dos (2) unidades se “desengancharon” del AGC</w:t>
            </w:r>
            <w:r w:rsidR="00504B32" w:rsidRPr="006A0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que las mismas llegaron a su mínimo técnico para prestar este servicio</w:t>
            </w: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EA5DAD" w:rsidRPr="006A051F" w14:paraId="33B61E45" w14:textId="77777777" w:rsidTr="00D438D1">
        <w:trPr>
          <w:trHeight w:val="593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9D9C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246A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23/08/2020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FEE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9D2D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C0E1" w14:textId="7777777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4321" w14:textId="6015FDDA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1AF5" w14:textId="58422587" w:rsidR="00EA5DAD" w:rsidRPr="006A051F" w:rsidRDefault="00EA5D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Las dos (2) unidades se “desengancharon” del AGC</w:t>
            </w:r>
            <w:r w:rsidR="00504B32" w:rsidRPr="006A0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desviación durante más de 60 segundos</w:t>
            </w:r>
            <w:r w:rsidRPr="006A051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6C65B6B0" w14:textId="73C6D19C" w:rsidR="004F30A8" w:rsidRPr="006A051F" w:rsidRDefault="004F30A8" w:rsidP="004F30A8">
      <w:pPr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2D6453DF" w14:textId="214C0D8B" w:rsidR="002F4B9A" w:rsidRPr="006A051F" w:rsidRDefault="002F4B9A" w:rsidP="002F4B9A">
      <w:pPr>
        <w:jc w:val="center"/>
        <w:rPr>
          <w:rStyle w:val="Ttulodellibro"/>
          <w:rFonts w:ascii="Verdana" w:eastAsia="Verdana" w:hAnsi="Verdana"/>
          <w:i w:val="0"/>
          <w:iCs w:val="0"/>
          <w:color w:val="7F7F7F" w:themeColor="text1" w:themeTint="80"/>
          <w:sz w:val="20"/>
          <w:szCs w:val="20"/>
        </w:rPr>
      </w:pPr>
      <w:r w:rsidRPr="006A051F">
        <w:rPr>
          <w:rStyle w:val="Ttulodellibro"/>
          <w:rFonts w:ascii="Verdana" w:eastAsia="Verdana" w:hAnsi="Verdana"/>
          <w:i w:val="0"/>
          <w:iCs w:val="0"/>
          <w:color w:val="7F7F7F" w:themeColor="text1" w:themeTint="80"/>
          <w:sz w:val="20"/>
          <w:szCs w:val="20"/>
        </w:rPr>
        <w:t>Tabla 1. Eventos de perdida de planta con asignación de holgura superior al 70%</w:t>
      </w:r>
    </w:p>
    <w:p w14:paraId="114F4A71" w14:textId="08A1F4A5" w:rsidR="002F4B9A" w:rsidRPr="006A051F" w:rsidRDefault="002F4B9A" w:rsidP="002F4B9A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eastAsia="Verdana" w:hAnsi="Verdana" w:cs="Verdana"/>
          <w:bCs/>
          <w:sz w:val="22"/>
          <w:szCs w:val="22"/>
        </w:rPr>
        <w:t>Ante la pérdida de</w:t>
      </w:r>
      <w:r w:rsidR="00CB0EA1" w:rsidRPr="006A051F">
        <w:rPr>
          <w:rFonts w:ascii="Verdana" w:eastAsia="Verdana" w:hAnsi="Verdana" w:cs="Verdana"/>
          <w:bCs/>
          <w:sz w:val="22"/>
          <w:szCs w:val="22"/>
        </w:rPr>
        <w:t xml:space="preserve"> la holgura de</w:t>
      </w:r>
      <w:r w:rsidRPr="006A051F">
        <w:rPr>
          <w:rFonts w:ascii="Verdana" w:eastAsia="Verdana" w:hAnsi="Verdana" w:cs="Verdana"/>
          <w:bCs/>
          <w:sz w:val="22"/>
          <w:szCs w:val="22"/>
        </w:rPr>
        <w:t xml:space="preserve"> una planta que tiene el total o la mayor parte del AGC</w:t>
      </w:r>
      <w:r w:rsidR="00D438D1" w:rsidRPr="006A051F">
        <w:rPr>
          <w:rFonts w:ascii="Verdana" w:eastAsia="Verdana" w:hAnsi="Verdana" w:cs="Verdana"/>
          <w:bCs/>
          <w:sz w:val="22"/>
          <w:szCs w:val="22"/>
        </w:rPr>
        <w:t>,</w:t>
      </w:r>
      <w:r w:rsidRPr="006A051F">
        <w:rPr>
          <w:rFonts w:ascii="Verdana" w:eastAsia="Verdana" w:hAnsi="Verdana" w:cs="Verdana"/>
          <w:bCs/>
          <w:sz w:val="22"/>
          <w:szCs w:val="22"/>
        </w:rPr>
        <w:t xml:space="preserve"> se </w:t>
      </w:r>
      <w:r w:rsidR="009457A2" w:rsidRPr="006A051F">
        <w:rPr>
          <w:rFonts w:ascii="Verdana" w:eastAsia="Verdana" w:hAnsi="Verdana" w:cs="Verdana"/>
          <w:bCs/>
          <w:sz w:val="22"/>
          <w:szCs w:val="22"/>
        </w:rPr>
        <w:t>identifican</w:t>
      </w:r>
      <w:r w:rsidRPr="006A051F">
        <w:rPr>
          <w:rFonts w:ascii="Verdana" w:eastAsia="Verdana" w:hAnsi="Verdana" w:cs="Verdana"/>
          <w:bCs/>
          <w:sz w:val="22"/>
          <w:szCs w:val="22"/>
        </w:rPr>
        <w:t xml:space="preserve"> los siguientes riesgos:</w:t>
      </w:r>
    </w:p>
    <w:p w14:paraId="61DCEEEC" w14:textId="77777777" w:rsidR="002F4B9A" w:rsidRPr="006A051F" w:rsidRDefault="002F4B9A" w:rsidP="00AB1D9E">
      <w:pPr>
        <w:jc w:val="both"/>
        <w:rPr>
          <w:rFonts w:ascii="Verdana" w:eastAsia="Verdana" w:hAnsi="Verdana" w:cs="Verdana"/>
          <w:bCs/>
          <w:sz w:val="22"/>
          <w:szCs w:val="22"/>
        </w:rPr>
      </w:pPr>
    </w:p>
    <w:p w14:paraId="29E7832E" w14:textId="052EC0B0" w:rsidR="002F4B9A" w:rsidRPr="006A051F" w:rsidRDefault="002F4B9A" w:rsidP="00AB1D9E">
      <w:pPr>
        <w:pStyle w:val="Prrafodelista"/>
        <w:numPr>
          <w:ilvl w:val="0"/>
          <w:numId w:val="14"/>
        </w:numPr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eastAsia="Verdana" w:hAnsi="Verdana" w:cs="Verdana"/>
          <w:bCs/>
          <w:sz w:val="22"/>
          <w:szCs w:val="22"/>
        </w:rPr>
        <w:t>El sistema presenta una condición de vulnerabilidad ante la ocurrencia de eventos en frecuencia</w:t>
      </w:r>
      <w:r w:rsidR="005A1853" w:rsidRPr="006A051F">
        <w:rPr>
          <w:rFonts w:ascii="Verdana" w:eastAsia="Verdana" w:hAnsi="Verdana" w:cs="Verdana"/>
          <w:bCs/>
          <w:sz w:val="22"/>
          <w:szCs w:val="22"/>
        </w:rPr>
        <w:t>,</w:t>
      </w:r>
      <w:r w:rsidR="009457A2" w:rsidRPr="006A051F">
        <w:rPr>
          <w:rFonts w:ascii="Verdana" w:eastAsia="Verdana" w:hAnsi="Verdana" w:cs="Verdana"/>
          <w:bCs/>
          <w:sz w:val="22"/>
          <w:szCs w:val="22"/>
        </w:rPr>
        <w:t xml:space="preserve"> dado que no se cuenta con </w:t>
      </w:r>
      <w:r w:rsidR="005A1853" w:rsidRPr="006A051F">
        <w:rPr>
          <w:rFonts w:ascii="Verdana" w:eastAsia="Verdana" w:hAnsi="Verdana" w:cs="Verdana"/>
          <w:bCs/>
          <w:sz w:val="22"/>
          <w:szCs w:val="22"/>
        </w:rPr>
        <w:t xml:space="preserve">la </w:t>
      </w:r>
      <w:r w:rsidR="009457A2" w:rsidRPr="006A051F">
        <w:rPr>
          <w:rFonts w:ascii="Verdana" w:eastAsia="Verdana" w:hAnsi="Verdana" w:cs="Verdana"/>
          <w:bCs/>
          <w:sz w:val="22"/>
          <w:szCs w:val="22"/>
        </w:rPr>
        <w:t>holgura para recuperar la frecuencia</w:t>
      </w:r>
      <w:r w:rsidRPr="006A051F">
        <w:rPr>
          <w:rFonts w:ascii="Verdana" w:eastAsia="Verdana" w:hAnsi="Verdana" w:cs="Verdana"/>
          <w:bCs/>
          <w:sz w:val="22"/>
          <w:szCs w:val="22"/>
        </w:rPr>
        <w:t>.</w:t>
      </w:r>
    </w:p>
    <w:p w14:paraId="38F540E0" w14:textId="77777777" w:rsidR="005A1853" w:rsidRPr="006A051F" w:rsidRDefault="005A1853" w:rsidP="00AB1D9E">
      <w:pPr>
        <w:tabs>
          <w:tab w:val="num" w:pos="720"/>
        </w:tabs>
        <w:ind w:left="360"/>
        <w:jc w:val="both"/>
        <w:rPr>
          <w:rFonts w:ascii="Verdana" w:eastAsia="Verdana" w:hAnsi="Verdana" w:cs="Verdana"/>
          <w:bCs/>
          <w:sz w:val="22"/>
          <w:szCs w:val="22"/>
        </w:rPr>
      </w:pPr>
    </w:p>
    <w:p w14:paraId="31A0430B" w14:textId="7D9704FB" w:rsidR="002F4B9A" w:rsidRPr="006A051F" w:rsidRDefault="00CB0EA1" w:rsidP="00AB1D9E">
      <w:pPr>
        <w:numPr>
          <w:ilvl w:val="0"/>
          <w:numId w:val="14"/>
        </w:numPr>
        <w:tabs>
          <w:tab w:val="num" w:pos="720"/>
        </w:tabs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eastAsia="Verdana" w:hAnsi="Verdana" w:cs="Verdana"/>
          <w:bCs/>
          <w:sz w:val="22"/>
          <w:szCs w:val="22"/>
        </w:rPr>
        <w:t>Ante esta condición de emergencia e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t>l operador tiene que acudir a control manual</w:t>
      </w:r>
      <w:r w:rsidR="005A1853" w:rsidRPr="006A051F">
        <w:rPr>
          <w:rFonts w:ascii="Verdana" w:eastAsia="Verdana" w:hAnsi="Verdana" w:cs="Verdana"/>
          <w:bCs/>
          <w:sz w:val="22"/>
          <w:szCs w:val="22"/>
        </w:rPr>
        <w:t>,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t xml:space="preserve"> que no tiene los tiempos de respuesta requeridos por la gestión de los 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lastRenderedPageBreak/>
        <w:t>recursos</w:t>
      </w:r>
      <w:r w:rsidR="005A1853" w:rsidRPr="006A051F">
        <w:rPr>
          <w:rFonts w:ascii="Verdana" w:eastAsia="Verdana" w:hAnsi="Verdana" w:cs="Verdana"/>
          <w:bCs/>
          <w:sz w:val="22"/>
          <w:szCs w:val="22"/>
        </w:rPr>
        <w:t xml:space="preserve"> de generación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t xml:space="preserve">. </w:t>
      </w:r>
      <w:r w:rsidR="005A1853" w:rsidRPr="006A051F">
        <w:rPr>
          <w:rFonts w:ascii="Verdana" w:eastAsia="Verdana" w:hAnsi="Verdana" w:cs="Verdana"/>
          <w:bCs/>
          <w:sz w:val="22"/>
          <w:szCs w:val="22"/>
        </w:rPr>
        <w:t>Si es</w:t>
      </w:r>
      <w:r w:rsidRPr="006A051F">
        <w:rPr>
          <w:rFonts w:ascii="Verdana" w:eastAsia="Verdana" w:hAnsi="Verdana" w:cs="Verdana"/>
          <w:bCs/>
          <w:sz w:val="22"/>
          <w:szCs w:val="22"/>
        </w:rPr>
        <w:t xml:space="preserve"> necesario que 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t xml:space="preserve">dos o más recursos </w:t>
      </w:r>
      <w:r w:rsidRPr="006A051F">
        <w:rPr>
          <w:rFonts w:ascii="Verdana" w:eastAsia="Verdana" w:hAnsi="Verdana" w:cs="Verdana"/>
          <w:bCs/>
          <w:sz w:val="22"/>
          <w:szCs w:val="22"/>
        </w:rPr>
        <w:t xml:space="preserve">realicen 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t>control manual, los operadores de las plantas pueden tomar acciones descoordinadas</w:t>
      </w:r>
      <w:r w:rsidR="005A1853" w:rsidRPr="006A051F">
        <w:rPr>
          <w:rFonts w:ascii="Verdana" w:eastAsia="Verdana" w:hAnsi="Verdana" w:cs="Verdana"/>
          <w:bCs/>
          <w:sz w:val="22"/>
          <w:szCs w:val="22"/>
        </w:rPr>
        <w:t>,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="005A1853" w:rsidRPr="006A051F">
        <w:rPr>
          <w:rFonts w:ascii="Verdana" w:eastAsia="Verdana" w:hAnsi="Verdana" w:cs="Verdana"/>
          <w:bCs/>
          <w:sz w:val="22"/>
          <w:szCs w:val="22"/>
        </w:rPr>
        <w:t>a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t>fecta</w:t>
      </w:r>
      <w:r w:rsidR="005A1853" w:rsidRPr="006A051F">
        <w:rPr>
          <w:rFonts w:ascii="Verdana" w:eastAsia="Verdana" w:hAnsi="Verdana" w:cs="Verdana"/>
          <w:bCs/>
          <w:sz w:val="22"/>
          <w:szCs w:val="22"/>
        </w:rPr>
        <w:t>ndo</w:t>
      </w:r>
      <w:r w:rsidR="002F4B9A" w:rsidRPr="006A051F">
        <w:rPr>
          <w:rFonts w:ascii="Verdana" w:eastAsia="Verdana" w:hAnsi="Verdana" w:cs="Verdana"/>
          <w:bCs/>
          <w:sz w:val="22"/>
          <w:szCs w:val="22"/>
        </w:rPr>
        <w:t xml:space="preserve"> la calidad de la frecuencia.</w:t>
      </w:r>
    </w:p>
    <w:p w14:paraId="66A63A08" w14:textId="77777777" w:rsidR="005A1853" w:rsidRPr="006A051F" w:rsidRDefault="005A1853" w:rsidP="00AB1D9E">
      <w:pPr>
        <w:tabs>
          <w:tab w:val="num" w:pos="720"/>
        </w:tabs>
        <w:ind w:left="360"/>
        <w:jc w:val="both"/>
        <w:rPr>
          <w:rFonts w:ascii="Verdana" w:eastAsia="Verdana" w:hAnsi="Verdana" w:cs="Verdana"/>
          <w:bCs/>
          <w:sz w:val="22"/>
          <w:szCs w:val="22"/>
        </w:rPr>
      </w:pPr>
    </w:p>
    <w:p w14:paraId="6C38D3D6" w14:textId="33C6A49F" w:rsidR="002F4B9A" w:rsidRPr="006A051F" w:rsidRDefault="002F4B9A" w:rsidP="00AB1D9E">
      <w:pPr>
        <w:numPr>
          <w:ilvl w:val="0"/>
          <w:numId w:val="14"/>
        </w:numPr>
        <w:tabs>
          <w:tab w:val="num" w:pos="720"/>
        </w:tabs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eastAsia="Verdana" w:hAnsi="Verdana" w:cs="Verdana"/>
          <w:bCs/>
          <w:sz w:val="22"/>
          <w:szCs w:val="22"/>
        </w:rPr>
        <w:t xml:space="preserve">El riesgo operativo del control manual de frecuencia es mayor considerando el efecto combinado del control manual y el control de intercambio ejercido por el AGC de Ecuador. </w:t>
      </w:r>
    </w:p>
    <w:p w14:paraId="1EEAF9D5" w14:textId="77777777" w:rsidR="005A1853" w:rsidRPr="006A051F" w:rsidRDefault="005A1853" w:rsidP="00AB1D9E">
      <w:pPr>
        <w:tabs>
          <w:tab w:val="num" w:pos="720"/>
        </w:tabs>
        <w:ind w:left="360"/>
        <w:jc w:val="both"/>
        <w:rPr>
          <w:rFonts w:ascii="Verdana" w:eastAsia="Verdana" w:hAnsi="Verdana" w:cs="Verdana"/>
          <w:bCs/>
          <w:sz w:val="22"/>
          <w:szCs w:val="22"/>
        </w:rPr>
      </w:pPr>
    </w:p>
    <w:p w14:paraId="0FA4EF0F" w14:textId="25A714C2" w:rsidR="002F4B9A" w:rsidRPr="006A051F" w:rsidRDefault="002F4B9A" w:rsidP="00AB1D9E">
      <w:pPr>
        <w:numPr>
          <w:ilvl w:val="0"/>
          <w:numId w:val="14"/>
        </w:numPr>
        <w:tabs>
          <w:tab w:val="num" w:pos="720"/>
        </w:tabs>
        <w:jc w:val="both"/>
        <w:rPr>
          <w:rFonts w:ascii="Verdana" w:eastAsia="Verdana" w:hAnsi="Verdana" w:cs="Verdana"/>
          <w:bCs/>
          <w:sz w:val="22"/>
          <w:szCs w:val="22"/>
        </w:rPr>
      </w:pPr>
      <w:r w:rsidRPr="006A051F">
        <w:rPr>
          <w:rFonts w:ascii="Verdana" w:eastAsia="Verdana" w:hAnsi="Verdana" w:cs="Verdana"/>
          <w:bCs/>
          <w:sz w:val="22"/>
          <w:szCs w:val="22"/>
          <w:lang w:val="es-ES"/>
        </w:rPr>
        <w:t>Se compromete la calidad de la frecuencia al incrementarse el tiempo de recuperación ante eventos.</w:t>
      </w:r>
    </w:p>
    <w:p w14:paraId="2189DF16" w14:textId="77777777" w:rsidR="0044391A" w:rsidRPr="006A051F" w:rsidRDefault="0044391A" w:rsidP="002D35F3">
      <w:pPr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4B2D2DD8" w14:textId="53B9618B" w:rsidR="00686255" w:rsidRPr="006A051F" w:rsidRDefault="00686255" w:rsidP="0044391A">
      <w:pPr>
        <w:pStyle w:val="Prrafodelista"/>
        <w:numPr>
          <w:ilvl w:val="0"/>
          <w:numId w:val="11"/>
        </w:numPr>
        <w:jc w:val="both"/>
        <w:rPr>
          <w:rFonts w:ascii="Verdana" w:eastAsia="Verdana" w:hAnsi="Verdana" w:cs="Verdana"/>
          <w:b/>
          <w:sz w:val="22"/>
          <w:szCs w:val="22"/>
        </w:rPr>
      </w:pPr>
      <w:r w:rsidRPr="006A051F">
        <w:rPr>
          <w:rFonts w:ascii="Verdana" w:eastAsia="Verdana" w:hAnsi="Verdana" w:cs="Verdana"/>
          <w:b/>
          <w:sz w:val="22"/>
          <w:szCs w:val="22"/>
        </w:rPr>
        <w:t>Análisis normativo.</w:t>
      </w:r>
    </w:p>
    <w:p w14:paraId="22A74AF8" w14:textId="77777777" w:rsidR="00686255" w:rsidRPr="006A051F" w:rsidRDefault="00686255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3DF43B59" w14:textId="2749A149" w:rsidR="00686255" w:rsidRPr="006A051F" w:rsidRDefault="008D443B" w:rsidP="00686255">
      <w:pPr>
        <w:pStyle w:val="Textoindependiente2"/>
      </w:pPr>
      <w:r w:rsidRPr="006A051F">
        <w:t>E</w:t>
      </w:r>
      <w:r w:rsidR="00686255" w:rsidRPr="006A051F">
        <w:t xml:space="preserve">l Acuerdo CNO </w:t>
      </w:r>
      <w:r w:rsidR="005B0CC2" w:rsidRPr="006A051F">
        <w:t>1365</w:t>
      </w:r>
      <w:r w:rsidR="00154C17" w:rsidRPr="006A051F">
        <w:t>,</w:t>
      </w:r>
      <w:r w:rsidRPr="006A051F">
        <w:t xml:space="preserve"> en concordancia con el numeral 2 de la Resolución CREG 198 de 1997, </w:t>
      </w:r>
      <w:r w:rsidR="00686255" w:rsidRPr="006A051F">
        <w:t xml:space="preserve">establece los </w:t>
      </w:r>
      <w:r w:rsidRPr="006A051F">
        <w:t xml:space="preserve">requisitos y </w:t>
      </w:r>
      <w:r w:rsidR="00686255" w:rsidRPr="006A051F">
        <w:t xml:space="preserve">criterios de seguridad y calidad del control integrado secundario de frecuencia, </w:t>
      </w:r>
      <w:r w:rsidRPr="006A051F">
        <w:t>entre los cuales destacan</w:t>
      </w:r>
      <w:r w:rsidR="00686255" w:rsidRPr="006A051F">
        <w:t>:</w:t>
      </w:r>
    </w:p>
    <w:p w14:paraId="5D95A131" w14:textId="77777777" w:rsidR="00686255" w:rsidRPr="006A051F" w:rsidRDefault="00686255" w:rsidP="00686255">
      <w:pPr>
        <w:pStyle w:val="Textoindependiente2"/>
      </w:pPr>
    </w:p>
    <w:p w14:paraId="15A5FB0C" w14:textId="35703D08" w:rsidR="00686255" w:rsidRPr="006A051F" w:rsidRDefault="00686255" w:rsidP="00686255">
      <w:pPr>
        <w:pStyle w:val="Textoindependiente2"/>
        <w:numPr>
          <w:ilvl w:val="0"/>
          <w:numId w:val="10"/>
        </w:numPr>
      </w:pPr>
      <w:r w:rsidRPr="006A051F">
        <w:t xml:space="preserve">Velocidad </w:t>
      </w:r>
      <w:r w:rsidR="008D443B" w:rsidRPr="006A051F">
        <w:t>máxima de cambio de c</w:t>
      </w:r>
      <w:r w:rsidRPr="006A051F">
        <w:t>arga</w:t>
      </w:r>
      <w:r w:rsidR="008D443B" w:rsidRPr="006A051F">
        <w:t xml:space="preserve"> del SIN</w:t>
      </w:r>
      <w:r w:rsidRPr="006A051F">
        <w:t>.</w:t>
      </w:r>
    </w:p>
    <w:p w14:paraId="7A3C4970" w14:textId="77777777" w:rsidR="005A1853" w:rsidRPr="006A051F" w:rsidRDefault="005A1853" w:rsidP="00AB1D9E">
      <w:pPr>
        <w:pStyle w:val="Textoindependiente2"/>
        <w:ind w:left="360"/>
      </w:pPr>
    </w:p>
    <w:p w14:paraId="2DE21B12" w14:textId="4B64EF47" w:rsidR="008D443B" w:rsidRPr="006A051F" w:rsidRDefault="008D443B" w:rsidP="00686255">
      <w:pPr>
        <w:pStyle w:val="Textoindependiente2"/>
        <w:numPr>
          <w:ilvl w:val="0"/>
          <w:numId w:val="10"/>
        </w:numPr>
      </w:pPr>
      <w:r w:rsidRPr="006A051F">
        <w:t>Velocidad mínima de cambio de carga por unidad.</w:t>
      </w:r>
    </w:p>
    <w:p w14:paraId="6C1E714C" w14:textId="77777777" w:rsidR="00D438D1" w:rsidRPr="006A051F" w:rsidRDefault="00D438D1" w:rsidP="00D438D1">
      <w:pPr>
        <w:pStyle w:val="Textoindependiente2"/>
        <w:ind w:left="360"/>
      </w:pPr>
    </w:p>
    <w:p w14:paraId="1016C941" w14:textId="48331E4E" w:rsidR="00686255" w:rsidRPr="006A051F" w:rsidRDefault="00686255" w:rsidP="00686255">
      <w:pPr>
        <w:pStyle w:val="Textoindependiente2"/>
        <w:numPr>
          <w:ilvl w:val="0"/>
          <w:numId w:val="10"/>
        </w:numPr>
      </w:pPr>
      <w:r w:rsidRPr="006A051F">
        <w:t xml:space="preserve">Número mínimo </w:t>
      </w:r>
      <w:r w:rsidR="00CB0EA1" w:rsidRPr="006A051F">
        <w:t xml:space="preserve">de unidades </w:t>
      </w:r>
      <w:r w:rsidRPr="006A051F">
        <w:t>participando en el AGC.</w:t>
      </w:r>
    </w:p>
    <w:p w14:paraId="77E80A93" w14:textId="77777777" w:rsidR="00D87412" w:rsidRPr="006A051F" w:rsidRDefault="00D87412" w:rsidP="00D87412">
      <w:pPr>
        <w:pStyle w:val="Textoindependiente2"/>
        <w:ind w:left="360"/>
      </w:pPr>
    </w:p>
    <w:p w14:paraId="3FFC0CF0" w14:textId="59ED1914" w:rsidR="00686255" w:rsidRPr="006A051F" w:rsidRDefault="00686255" w:rsidP="00686255">
      <w:pPr>
        <w:pStyle w:val="Textoindependiente2"/>
        <w:numPr>
          <w:ilvl w:val="0"/>
          <w:numId w:val="10"/>
        </w:numPr>
      </w:pPr>
      <w:r w:rsidRPr="006A051F">
        <w:t>Reserva para Regulación Secundaria de Frecuencia</w:t>
      </w:r>
      <w:r w:rsidR="008D443B" w:rsidRPr="006A051F">
        <w:t xml:space="preserve"> por planta y unidad</w:t>
      </w:r>
      <w:r w:rsidRPr="006A051F">
        <w:t>.</w:t>
      </w:r>
    </w:p>
    <w:p w14:paraId="69A8C9DA" w14:textId="77777777" w:rsidR="00EA5DAD" w:rsidRPr="006A051F" w:rsidRDefault="00EA5DAD" w:rsidP="00EA5DAD">
      <w:pPr>
        <w:pStyle w:val="Textoindependiente2"/>
        <w:ind w:left="360"/>
      </w:pPr>
    </w:p>
    <w:p w14:paraId="7076A6C1" w14:textId="6939CE36" w:rsidR="008D443B" w:rsidRPr="006A051F" w:rsidRDefault="00686255" w:rsidP="008D443B">
      <w:pPr>
        <w:pStyle w:val="Textoindependiente2"/>
        <w:numPr>
          <w:ilvl w:val="0"/>
          <w:numId w:val="10"/>
        </w:numPr>
      </w:pPr>
      <w:r w:rsidRPr="006A051F">
        <w:t>Tiempos y Bandas de la recuperación de la frecuencia por medio del AGC.</w:t>
      </w:r>
    </w:p>
    <w:p w14:paraId="50F04029" w14:textId="77777777" w:rsidR="008D443B" w:rsidRPr="006A051F" w:rsidRDefault="008D443B" w:rsidP="008D443B">
      <w:pPr>
        <w:pStyle w:val="Textoindependiente2"/>
      </w:pPr>
    </w:p>
    <w:p w14:paraId="2BDA4C4C" w14:textId="1DC926A1" w:rsidR="008D443B" w:rsidRPr="006A051F" w:rsidRDefault="008D443B" w:rsidP="008D443B">
      <w:pPr>
        <w:pStyle w:val="Textoindependiente2"/>
      </w:pPr>
      <w:r w:rsidRPr="006A051F">
        <w:t>Asimismo, los numerales 3 y 4 del Artículo 1 de la citada Resolución establecen:</w:t>
      </w:r>
    </w:p>
    <w:p w14:paraId="43893BA3" w14:textId="77777777" w:rsidR="00686255" w:rsidRPr="006A051F" w:rsidRDefault="00686255" w:rsidP="00686255">
      <w:pPr>
        <w:pStyle w:val="Textoindependiente2"/>
      </w:pPr>
    </w:p>
    <w:p w14:paraId="4BE012C3" w14:textId="6F593637" w:rsidR="008D443B" w:rsidRPr="006A051F" w:rsidRDefault="004845CB" w:rsidP="004845CB">
      <w:pPr>
        <w:pStyle w:val="Textoindependiente3"/>
      </w:pPr>
      <w:r w:rsidRPr="006A051F">
        <w:tab/>
      </w:r>
      <w:r w:rsidR="008D443B" w:rsidRPr="006A051F">
        <w:t>“(…)</w:t>
      </w:r>
    </w:p>
    <w:p w14:paraId="30D39609" w14:textId="24344954" w:rsidR="004845CB" w:rsidRPr="006A051F" w:rsidRDefault="008D443B" w:rsidP="004845CB">
      <w:pPr>
        <w:pStyle w:val="Textoindependiente3"/>
      </w:pPr>
      <w:r w:rsidRPr="006A051F">
        <w:tab/>
      </w:r>
      <w:r w:rsidR="004845CB" w:rsidRPr="006A051F">
        <w:t xml:space="preserve">3. OFERTAS DE DISPONIBILIDAD PARA LA PRESTACION DEL SERVICIO </w:t>
      </w:r>
      <w:r w:rsidR="004845CB" w:rsidRPr="006A051F">
        <w:tab/>
        <w:t>DE REGULACION SECUNDARIA DE FRECUENCIA</w:t>
      </w:r>
    </w:p>
    <w:p w14:paraId="402FA81F" w14:textId="77777777" w:rsidR="004845CB" w:rsidRPr="006A051F" w:rsidRDefault="004845CB" w:rsidP="004845CB">
      <w:pPr>
        <w:jc w:val="both"/>
        <w:rPr>
          <w:rFonts w:ascii="Verdana" w:eastAsia="Verdana" w:hAnsi="Verdana" w:cs="Verdana"/>
          <w:i/>
          <w:sz w:val="22"/>
          <w:szCs w:val="22"/>
        </w:rPr>
      </w:pPr>
    </w:p>
    <w:p w14:paraId="4C81DCB5" w14:textId="77777777" w:rsidR="008D443B" w:rsidRPr="006A051F" w:rsidRDefault="004845CB" w:rsidP="008D443B">
      <w:pPr>
        <w:pStyle w:val="Textoindependiente3"/>
      </w:pPr>
      <w:r w:rsidRPr="006A051F">
        <w:tab/>
        <w:t xml:space="preserve">Las plantas y/o unidades de generación Elegibles, podrán libremente </w:t>
      </w:r>
      <w:r w:rsidRPr="006A051F">
        <w:tab/>
        <w:t xml:space="preserve">Ofertar para cada día y período horario su Disponibilidad para prestar el </w:t>
      </w:r>
      <w:r w:rsidRPr="006A051F">
        <w:tab/>
        <w:t xml:space="preserve">Servicio. La Oferta de Disponibilidad para la prestación del Servicio de </w:t>
      </w:r>
      <w:r w:rsidRPr="006A051F">
        <w:tab/>
        <w:t xml:space="preserve">Regulación Secundaria de Frecuencia, se hará bajo las condiciones del </w:t>
      </w:r>
      <w:r w:rsidRPr="006A051F">
        <w:tab/>
        <w:t xml:space="preserve">esquema actual de Ofertas en la Bolsa de Energía y deberá cumplir las </w:t>
      </w:r>
      <w:r w:rsidRPr="006A051F">
        <w:tab/>
        <w:t xml:space="preserve">siguientes condiciones: </w:t>
      </w:r>
    </w:p>
    <w:p w14:paraId="326A3AC6" w14:textId="7D5CC5C0" w:rsidR="004845CB" w:rsidRPr="006A051F" w:rsidRDefault="008D443B" w:rsidP="004845C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</w:r>
      <w:r w:rsidR="004845CB" w:rsidRPr="006A051F">
        <w:rPr>
          <w:rFonts w:ascii="Verdana" w:eastAsia="Verdana" w:hAnsi="Verdana" w:cs="Verdana"/>
          <w:i/>
          <w:sz w:val="22"/>
          <w:szCs w:val="22"/>
        </w:rPr>
        <w:t>(…)”.</w:t>
      </w:r>
    </w:p>
    <w:p w14:paraId="6B1B45B7" w14:textId="77777777" w:rsidR="008D443B" w:rsidRPr="006A051F" w:rsidRDefault="008D443B" w:rsidP="004845CB">
      <w:pPr>
        <w:jc w:val="both"/>
        <w:rPr>
          <w:rFonts w:ascii="Verdana" w:eastAsia="Verdana" w:hAnsi="Verdana" w:cs="Verdana"/>
          <w:i/>
          <w:sz w:val="22"/>
          <w:szCs w:val="22"/>
        </w:rPr>
      </w:pPr>
    </w:p>
    <w:p w14:paraId="452C84B6" w14:textId="0567D0A3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  <w:t>“(…)</w:t>
      </w:r>
    </w:p>
    <w:p w14:paraId="13F7D003" w14:textId="77777777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</w:p>
    <w:p w14:paraId="645CB78C" w14:textId="33C9B4B2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lastRenderedPageBreak/>
        <w:tab/>
        <w:t>4. ASIGNACION DE LA RESERVA DE REGULACIÓN</w:t>
      </w:r>
    </w:p>
    <w:p w14:paraId="53FA6307" w14:textId="77777777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</w:p>
    <w:p w14:paraId="47B5F655" w14:textId="333B0436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  <w:t xml:space="preserve">El CND distribuirá los requerimientos de reserva entre las plantas y/o </w:t>
      </w:r>
      <w:r w:rsidRPr="006A051F">
        <w:rPr>
          <w:rFonts w:ascii="Verdana" w:eastAsia="Verdana" w:hAnsi="Verdana" w:cs="Verdana"/>
          <w:i/>
          <w:sz w:val="22"/>
          <w:szCs w:val="22"/>
        </w:rPr>
        <w:tab/>
        <w:t>unidades Elegibles teniendo en cuenta los siguientes criterios:</w:t>
      </w:r>
    </w:p>
    <w:p w14:paraId="2AB7FF36" w14:textId="77777777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</w:p>
    <w:p w14:paraId="6FC67668" w14:textId="3ACEA033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  <w:t xml:space="preserve">a) El precio horario a considerar para asignar la regulación entre las plantas </w:t>
      </w:r>
      <w:r w:rsidRPr="006A051F">
        <w:rPr>
          <w:rFonts w:ascii="Verdana" w:eastAsia="Verdana" w:hAnsi="Verdana" w:cs="Verdana"/>
          <w:i/>
          <w:sz w:val="22"/>
          <w:szCs w:val="22"/>
        </w:rPr>
        <w:tab/>
        <w:t xml:space="preserve">y/o unidades Elegibles, es el mismo precio de oferta de energía que hayan </w:t>
      </w:r>
      <w:r w:rsidRPr="006A051F">
        <w:rPr>
          <w:rFonts w:ascii="Verdana" w:eastAsia="Verdana" w:hAnsi="Verdana" w:cs="Verdana"/>
          <w:i/>
          <w:sz w:val="22"/>
          <w:szCs w:val="22"/>
        </w:rPr>
        <w:tab/>
        <w:t>efectuado los agentes para dichas plantas y/o unidades en la Bolsa.</w:t>
      </w:r>
    </w:p>
    <w:p w14:paraId="2BB97209" w14:textId="77777777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</w:p>
    <w:p w14:paraId="606EA53B" w14:textId="5BC7048C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  <w:t xml:space="preserve">b) La asignación de la reserva necesaria se hará por estricto orden de </w:t>
      </w:r>
      <w:r w:rsidRPr="006A051F">
        <w:rPr>
          <w:rFonts w:ascii="Verdana" w:eastAsia="Verdana" w:hAnsi="Verdana" w:cs="Verdana"/>
          <w:i/>
          <w:sz w:val="22"/>
          <w:szCs w:val="22"/>
        </w:rPr>
        <w:tab/>
        <w:t xml:space="preserve">mérito de precios de oferta de menor a mayor, hasta cubrir las necesidades </w:t>
      </w:r>
      <w:r w:rsidRPr="006A051F">
        <w:rPr>
          <w:rFonts w:ascii="Verdana" w:eastAsia="Verdana" w:hAnsi="Verdana" w:cs="Verdana"/>
          <w:i/>
          <w:sz w:val="22"/>
          <w:szCs w:val="22"/>
        </w:rPr>
        <w:tab/>
        <w:t>del SIN en el período horario (…)”.</w:t>
      </w:r>
    </w:p>
    <w:p w14:paraId="0FC5AC2B" w14:textId="77777777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</w:p>
    <w:p w14:paraId="63A7156B" w14:textId="4A409108" w:rsidR="0044391A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</w:r>
      <w:r w:rsidR="0044391A" w:rsidRPr="006A051F">
        <w:rPr>
          <w:rFonts w:ascii="Verdana" w:eastAsia="Verdana" w:hAnsi="Verdana" w:cs="Verdana"/>
          <w:i/>
          <w:sz w:val="22"/>
          <w:szCs w:val="22"/>
        </w:rPr>
        <w:t xml:space="preserve">“(…) </w:t>
      </w:r>
    </w:p>
    <w:p w14:paraId="2914A504" w14:textId="77777777" w:rsidR="0044391A" w:rsidRPr="006A051F" w:rsidRDefault="0044391A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</w:r>
    </w:p>
    <w:p w14:paraId="2D6A9808" w14:textId="06027AB8" w:rsidR="008D443B" w:rsidRPr="006A051F" w:rsidRDefault="0044391A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</w:r>
      <w:r w:rsidR="008D443B" w:rsidRPr="006A051F">
        <w:rPr>
          <w:rFonts w:ascii="Verdana" w:eastAsia="Verdana" w:hAnsi="Verdana" w:cs="Verdana"/>
          <w:i/>
          <w:sz w:val="22"/>
          <w:szCs w:val="22"/>
        </w:rPr>
        <w:t>e) En caso de ocurrir igualdad de precios de oferta, se dará preferencia</w:t>
      </w:r>
      <w:r w:rsidR="008D443B" w:rsidRPr="006A051F">
        <w:rPr>
          <w:rFonts w:ascii="Verdana" w:eastAsia="Verdana" w:hAnsi="Verdana" w:cs="Verdana"/>
          <w:i/>
          <w:sz w:val="22"/>
          <w:szCs w:val="22"/>
        </w:rPr>
        <w:tab/>
        <w:t xml:space="preserve">aquella planta y/o unidad que presente la menor generación mínima por </w:t>
      </w:r>
      <w:r w:rsidR="008D443B" w:rsidRPr="006A051F">
        <w:rPr>
          <w:rFonts w:ascii="Verdana" w:eastAsia="Verdana" w:hAnsi="Verdana" w:cs="Verdana"/>
          <w:i/>
          <w:sz w:val="22"/>
          <w:szCs w:val="22"/>
        </w:rPr>
        <w:tab/>
        <w:t xml:space="preserve">inflexibilidad o por generación de seguridad, siguiendo el procedimiento del </w:t>
      </w:r>
      <w:r w:rsidR="008D443B" w:rsidRPr="006A051F">
        <w:rPr>
          <w:rFonts w:ascii="Verdana" w:eastAsia="Verdana" w:hAnsi="Verdana" w:cs="Verdana"/>
          <w:i/>
          <w:sz w:val="22"/>
          <w:szCs w:val="22"/>
        </w:rPr>
        <w:tab/>
        <w:t>presente Numeral.</w:t>
      </w:r>
    </w:p>
    <w:p w14:paraId="6D573D66" w14:textId="77777777" w:rsidR="008D443B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</w:p>
    <w:p w14:paraId="7608F937" w14:textId="147AFD59" w:rsidR="001879C4" w:rsidRPr="006A051F" w:rsidRDefault="008D443B" w:rsidP="008D443B">
      <w:pPr>
        <w:jc w:val="both"/>
        <w:rPr>
          <w:rFonts w:ascii="Verdana" w:eastAsia="Verdana" w:hAnsi="Verdana" w:cs="Verdana"/>
          <w:i/>
          <w:sz w:val="22"/>
          <w:szCs w:val="22"/>
        </w:rPr>
      </w:pPr>
      <w:r w:rsidRPr="006A051F">
        <w:rPr>
          <w:rFonts w:ascii="Verdana" w:eastAsia="Verdana" w:hAnsi="Verdana" w:cs="Verdana"/>
          <w:i/>
          <w:sz w:val="22"/>
          <w:szCs w:val="22"/>
        </w:rPr>
        <w:tab/>
      </w:r>
      <w:r w:rsidR="0044391A" w:rsidRPr="006A051F">
        <w:rPr>
          <w:rFonts w:ascii="Verdana" w:eastAsia="Verdana" w:hAnsi="Verdana" w:cs="Verdana"/>
          <w:i/>
          <w:sz w:val="22"/>
          <w:szCs w:val="22"/>
        </w:rPr>
        <w:t xml:space="preserve"> (…)”</w:t>
      </w:r>
      <w:r w:rsidRPr="006A051F">
        <w:rPr>
          <w:rFonts w:ascii="Verdana" w:eastAsia="Verdana" w:hAnsi="Verdana" w:cs="Verdana"/>
          <w:i/>
          <w:sz w:val="22"/>
          <w:szCs w:val="22"/>
        </w:rPr>
        <w:t>.</w:t>
      </w:r>
    </w:p>
    <w:p w14:paraId="3B3F0DA4" w14:textId="77777777" w:rsidR="00D438D1" w:rsidRPr="006A051F" w:rsidRDefault="00D438D1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1F251DE1" w14:textId="66ED5E14" w:rsidR="00E102EF" w:rsidRPr="006A051F" w:rsidRDefault="0044391A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>En este sentido, es claro que actualmente no existe un criterio de mínimo número de plantas prestando el servicio de regulación secundaria de frecuencia, y su asignación se hace en estricto orden de mérito, permitiendo ello, si económicamente es viable, que todas las reservas de regulación sean asignadas a una sola planta. Por lo anterior,</w:t>
      </w:r>
      <w:r w:rsidR="000652AC" w:rsidRPr="006A051F">
        <w:rPr>
          <w:rFonts w:ascii="Verdana" w:eastAsia="Verdana" w:hAnsi="Verdana" w:cs="Verdana"/>
          <w:sz w:val="22"/>
          <w:szCs w:val="22"/>
        </w:rPr>
        <w:t xml:space="preserve"> desde el punto de vista del Consejo, el CNO no podría</w:t>
      </w:r>
      <w:r w:rsidRPr="006A051F">
        <w:rPr>
          <w:rFonts w:ascii="Verdana" w:eastAsia="Verdana" w:hAnsi="Verdana" w:cs="Verdana"/>
          <w:sz w:val="22"/>
          <w:szCs w:val="22"/>
        </w:rPr>
        <w:t xml:space="preserve"> </w:t>
      </w:r>
      <w:r w:rsidR="000652AC" w:rsidRPr="006A051F">
        <w:rPr>
          <w:rFonts w:ascii="Verdana" w:eastAsia="Verdana" w:hAnsi="Verdana" w:cs="Verdana"/>
          <w:sz w:val="22"/>
          <w:szCs w:val="22"/>
        </w:rPr>
        <w:t>vía acuerdo definir un criterio adicional de confiabilidad para la asignación del AGC.</w:t>
      </w:r>
      <w:r w:rsidRPr="006A051F">
        <w:rPr>
          <w:rFonts w:ascii="Verdana" w:eastAsia="Verdana" w:hAnsi="Verdana" w:cs="Verdana"/>
          <w:sz w:val="22"/>
          <w:szCs w:val="22"/>
        </w:rPr>
        <w:t xml:space="preserve">  </w:t>
      </w:r>
    </w:p>
    <w:p w14:paraId="2D62474E" w14:textId="77777777" w:rsidR="0044391A" w:rsidRPr="006A051F" w:rsidRDefault="0044391A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4C8D30C2" w14:textId="498F4DB4" w:rsidR="000652AC" w:rsidRPr="006A051F" w:rsidRDefault="000652AC" w:rsidP="000652AC">
      <w:pPr>
        <w:pStyle w:val="Prrafodelista"/>
        <w:numPr>
          <w:ilvl w:val="0"/>
          <w:numId w:val="11"/>
        </w:numPr>
        <w:jc w:val="both"/>
        <w:rPr>
          <w:rFonts w:ascii="Verdana" w:eastAsia="Verdana" w:hAnsi="Verdana" w:cs="Verdana"/>
          <w:b/>
          <w:sz w:val="22"/>
          <w:szCs w:val="22"/>
        </w:rPr>
      </w:pPr>
      <w:r w:rsidRPr="006A051F">
        <w:rPr>
          <w:rFonts w:ascii="Verdana" w:eastAsia="Verdana" w:hAnsi="Verdana" w:cs="Verdana"/>
          <w:b/>
          <w:sz w:val="22"/>
          <w:szCs w:val="22"/>
        </w:rPr>
        <w:t>Alternativas para incluir un criterio de confiabilidad adicional en la asignación de las reservas de AGC.</w:t>
      </w:r>
    </w:p>
    <w:p w14:paraId="30FF8C28" w14:textId="5F945E69" w:rsidR="000652AC" w:rsidRPr="006A051F" w:rsidRDefault="000652AC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 xml:space="preserve"> </w:t>
      </w:r>
    </w:p>
    <w:p w14:paraId="338F785E" w14:textId="66DF6274" w:rsidR="006A051F" w:rsidRPr="006A051F" w:rsidRDefault="006A051F" w:rsidP="006A051F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>El Consejo ha analizado preliminarmente las condiciones de asignación del servicio de AGC y ha podido validar que pueden existir alternativas que agreguen eficiencia y confiabilidad en la prestación de este servicio</w:t>
      </w:r>
      <w:r>
        <w:rPr>
          <w:rFonts w:ascii="Verdana" w:eastAsia="Verdana" w:hAnsi="Verdana" w:cs="Verdana"/>
          <w:sz w:val="22"/>
          <w:szCs w:val="22"/>
        </w:rPr>
        <w:t xml:space="preserve"> (localización de reservas por área eléctrica, máximo porcentaje de asignación de la Holgura, mínimo número de plantas prestando el servicio de AGC, entre otros)</w:t>
      </w:r>
      <w:r w:rsidRPr="006A051F">
        <w:rPr>
          <w:rFonts w:ascii="Verdana" w:eastAsia="Verdana" w:hAnsi="Verdana" w:cs="Verdana"/>
          <w:sz w:val="22"/>
          <w:szCs w:val="22"/>
        </w:rPr>
        <w:t>. Sin embargo, aunque estas opciones técnicamente son factibles y se encuentran implementadas en varios sistemas de potencia, se deben valorar sus impactos económicos para lograr identificar la mejor alternativa</w:t>
      </w:r>
      <w:r w:rsidR="004A7B51">
        <w:rPr>
          <w:rFonts w:ascii="Verdana" w:eastAsia="Verdana" w:hAnsi="Verdana" w:cs="Verdana"/>
          <w:sz w:val="22"/>
          <w:szCs w:val="22"/>
        </w:rPr>
        <w:t xml:space="preserve"> para el caso colombiano</w:t>
      </w:r>
      <w:r w:rsidRPr="006A051F">
        <w:rPr>
          <w:rFonts w:ascii="Verdana" w:eastAsia="Verdana" w:hAnsi="Verdana" w:cs="Verdana"/>
          <w:sz w:val="22"/>
          <w:szCs w:val="22"/>
        </w:rPr>
        <w:t>.</w:t>
      </w:r>
    </w:p>
    <w:p w14:paraId="22098BD0" w14:textId="77777777" w:rsidR="006A051F" w:rsidRPr="006A051F" w:rsidRDefault="006A051F" w:rsidP="006A051F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67CFC7F1" w14:textId="25057E26" w:rsidR="006A051F" w:rsidRPr="006A051F" w:rsidRDefault="006A051F" w:rsidP="006A051F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 xml:space="preserve">En este sentido, proponemos analizar conjuntamente entre la CREG, el CND, el CNO eléctrico y el CNO gas la asignación del servicio de AGC e identificar si existen </w:t>
      </w:r>
      <w:r w:rsidRPr="006A051F">
        <w:rPr>
          <w:rFonts w:ascii="Verdana" w:eastAsia="Verdana" w:hAnsi="Verdana" w:cs="Verdana"/>
          <w:sz w:val="22"/>
          <w:szCs w:val="22"/>
        </w:rPr>
        <w:lastRenderedPageBreak/>
        <w:t xml:space="preserve">opciones de mejoramiento, realizando un análisis técnico-económico de las </w:t>
      </w:r>
      <w:r w:rsidR="004A7B51">
        <w:rPr>
          <w:rFonts w:ascii="Verdana" w:eastAsia="Verdana" w:hAnsi="Verdana" w:cs="Verdana"/>
          <w:sz w:val="22"/>
          <w:szCs w:val="22"/>
        </w:rPr>
        <w:t>alternativas</w:t>
      </w:r>
      <w:r w:rsidRPr="006A051F">
        <w:rPr>
          <w:rFonts w:ascii="Verdana" w:eastAsia="Verdana" w:hAnsi="Verdana" w:cs="Verdana"/>
          <w:sz w:val="22"/>
          <w:szCs w:val="22"/>
        </w:rPr>
        <w:t>.</w:t>
      </w:r>
    </w:p>
    <w:p w14:paraId="23E82D9F" w14:textId="77777777" w:rsidR="006A051F" w:rsidRPr="006A051F" w:rsidRDefault="006A051F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B5149A1" w14:textId="77777777" w:rsidR="003E2999" w:rsidRPr="006A051F" w:rsidRDefault="003E2999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1F4A423B" w14:textId="60617AAB" w:rsidR="007845E1" w:rsidRPr="006A051F" w:rsidRDefault="003E2999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 xml:space="preserve">Atentamente, </w:t>
      </w:r>
    </w:p>
    <w:p w14:paraId="75372A5F" w14:textId="77777777" w:rsidR="003E2999" w:rsidRPr="006A051F" w:rsidRDefault="003E2999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38A66437" w14:textId="77777777" w:rsidR="003E2999" w:rsidRPr="006A051F" w:rsidRDefault="003E2999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625F538A" w14:textId="77777777" w:rsidR="003E2999" w:rsidRPr="006A051F" w:rsidRDefault="003E2999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579FAF55" w14:textId="024C8E50" w:rsidR="003E2999" w:rsidRPr="006A051F" w:rsidRDefault="003E2999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6A051F">
        <w:rPr>
          <w:rFonts w:ascii="Verdana" w:eastAsia="Verdana" w:hAnsi="Verdana" w:cs="Verdana"/>
          <w:sz w:val="22"/>
          <w:szCs w:val="22"/>
        </w:rPr>
        <w:t>Alberto Olarte Aguirre</w:t>
      </w:r>
    </w:p>
    <w:p w14:paraId="7936C24C" w14:textId="38D98194" w:rsidR="003E2999" w:rsidRPr="003E2999" w:rsidRDefault="003E2999" w:rsidP="003E2999">
      <w:pPr>
        <w:pStyle w:val="Ttulo7"/>
      </w:pPr>
      <w:r w:rsidRPr="006A051F">
        <w:t>Secretario Técnico CNO</w:t>
      </w:r>
    </w:p>
    <w:p w14:paraId="7AB3FC09" w14:textId="624C2C3E" w:rsidR="004845CB" w:rsidRDefault="004845CB" w:rsidP="002D35F3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 </w:t>
      </w:r>
    </w:p>
    <w:p w14:paraId="5BFF80DE" w14:textId="77777777" w:rsidR="007845E1" w:rsidRDefault="007845E1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73FFBF14" w14:textId="77777777" w:rsidR="007845E1" w:rsidRPr="0020487C" w:rsidRDefault="007845E1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007845E1" w:rsidRPr="002048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84921" w14:textId="77777777" w:rsidR="00046D83" w:rsidRDefault="00046D83">
      <w:r>
        <w:separator/>
      </w:r>
    </w:p>
  </w:endnote>
  <w:endnote w:type="continuationSeparator" w:id="0">
    <w:p w14:paraId="007C33A0" w14:textId="77777777" w:rsidR="00046D83" w:rsidRDefault="0004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688FA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C304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</w:p>
  <w:p w14:paraId="14234799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Avenida Calle 26 No. 69-76, Oficina 1302, Torre 3, Edificio Elemento</w:t>
    </w:r>
  </w:p>
  <w:p w14:paraId="287E7593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Teléfonos: 3906549 –7429083-7427465</w:t>
    </w:r>
  </w:p>
  <w:p w14:paraId="16715CB3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 xml:space="preserve">E-Mail </w:t>
    </w:r>
    <w:hyperlink r:id="rId1">
      <w:r>
        <w:rPr>
          <w:rFonts w:ascii="Verdana" w:eastAsia="Verdana" w:hAnsi="Verdana" w:cs="Verdana"/>
          <w:b/>
          <w:color w:val="0000FF"/>
          <w:sz w:val="20"/>
          <w:szCs w:val="20"/>
          <w:u w:val="single"/>
        </w:rPr>
        <w:t>aolarte@cno.org.co</w:t>
      </w:r>
    </w:hyperlink>
    <w:r>
      <w:rPr>
        <w:rFonts w:ascii="Verdana" w:eastAsia="Verdana" w:hAnsi="Verdana" w:cs="Verdana"/>
        <w:b/>
        <w:color w:val="000000"/>
        <w:sz w:val="20"/>
        <w:szCs w:val="20"/>
      </w:rPr>
      <w:t xml:space="preserve">-Internet: </w:t>
    </w:r>
    <w:hyperlink r:id="rId2">
      <w:r>
        <w:rPr>
          <w:rFonts w:ascii="Verdana" w:eastAsia="Verdana" w:hAnsi="Verdana" w:cs="Verdana"/>
          <w:b/>
          <w:color w:val="0000FF"/>
          <w:sz w:val="20"/>
          <w:szCs w:val="20"/>
          <w:u w:val="single"/>
        </w:rPr>
        <w:t>www.cno.org.co</w:t>
      </w:r>
    </w:hyperlink>
  </w:p>
  <w:p w14:paraId="15FDFFC5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1953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3C6B8" w14:textId="77777777" w:rsidR="00046D83" w:rsidRDefault="00046D83">
      <w:r>
        <w:separator/>
      </w:r>
    </w:p>
  </w:footnote>
  <w:footnote w:type="continuationSeparator" w:id="0">
    <w:p w14:paraId="5CA63033" w14:textId="77777777" w:rsidR="00046D83" w:rsidRDefault="0004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1EA36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F5BA1" w14:textId="4558C6BF" w:rsidR="00666E05" w:rsidRDefault="002258D2" w:rsidP="00425D36">
    <w:pPr>
      <w:jc w:val="center"/>
      <w:rPr>
        <w:b/>
        <w:color w:val="000000"/>
        <w:sz w:val="40"/>
        <w:szCs w:val="40"/>
      </w:rPr>
    </w:pPr>
    <w:sdt>
      <w:sdtPr>
        <w:rPr>
          <w:b/>
          <w:color w:val="000000"/>
          <w:sz w:val="40"/>
          <w:szCs w:val="40"/>
        </w:rPr>
        <w:id w:val="1268500148"/>
        <w:docPartObj>
          <w:docPartGallery w:val="Watermarks"/>
          <w:docPartUnique/>
        </w:docPartObj>
      </w:sdtPr>
      <w:sdtContent>
        <w:r w:rsidRPr="002258D2">
          <w:rPr>
            <w:b/>
            <w:color w:val="000000"/>
            <w:sz w:val="40"/>
            <w:szCs w:val="40"/>
          </w:rPr>
          <w:pict w14:anchorId="00D521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666E05">
      <w:rPr>
        <w:noProof/>
        <w:color w:val="000000"/>
        <w:lang w:eastAsia="es-CO"/>
      </w:rPr>
      <w:drawing>
        <wp:inline distT="0" distB="0" distL="0" distR="0" wp14:anchorId="54F4503F" wp14:editId="3BB76BA9">
          <wp:extent cx="2117284" cy="806584"/>
          <wp:effectExtent l="0" t="0" r="0" b="0"/>
          <wp:docPr id="18" name="image2.jpg" descr="cid:image003.jpg@01D3FCA7.940CA1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id:image003.jpg@01D3FCA7.940CA1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7284" cy="806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F67CE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3666A"/>
    <w:multiLevelType w:val="multilevel"/>
    <w:tmpl w:val="72664A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3EA38A1"/>
    <w:multiLevelType w:val="hybridMultilevel"/>
    <w:tmpl w:val="3F68F7B4"/>
    <w:lvl w:ilvl="0" w:tplc="2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C4929E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21A04D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0C796A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64EB1FC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05243E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DEBF9E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1701630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CF26BEA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C5345"/>
    <w:multiLevelType w:val="multilevel"/>
    <w:tmpl w:val="9C58512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28660E5F"/>
    <w:multiLevelType w:val="hybridMultilevel"/>
    <w:tmpl w:val="E408A85C"/>
    <w:lvl w:ilvl="0" w:tplc="85FA53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5CBB"/>
    <w:multiLevelType w:val="hybridMultilevel"/>
    <w:tmpl w:val="5E58C2B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AF3AA7"/>
    <w:multiLevelType w:val="hybridMultilevel"/>
    <w:tmpl w:val="CE3A12FE"/>
    <w:lvl w:ilvl="0" w:tplc="85FA53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D4E34"/>
    <w:multiLevelType w:val="hybridMultilevel"/>
    <w:tmpl w:val="1AB6067A"/>
    <w:lvl w:ilvl="0" w:tplc="DEC00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F5FDE"/>
    <w:multiLevelType w:val="hybridMultilevel"/>
    <w:tmpl w:val="383A7690"/>
    <w:lvl w:ilvl="0" w:tplc="DD280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C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E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08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83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21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EE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40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2E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E126BE"/>
    <w:multiLevelType w:val="hybridMultilevel"/>
    <w:tmpl w:val="119028E6"/>
    <w:lvl w:ilvl="0" w:tplc="77CAE0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492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A04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C79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4EB1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243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EBF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7016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26B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F7785"/>
    <w:multiLevelType w:val="hybridMultilevel"/>
    <w:tmpl w:val="1C1EFD6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45A40"/>
    <w:multiLevelType w:val="multilevel"/>
    <w:tmpl w:val="3BEC17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2F0B70"/>
    <w:multiLevelType w:val="hybridMultilevel"/>
    <w:tmpl w:val="DA08186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D003F1"/>
    <w:multiLevelType w:val="hybridMultilevel"/>
    <w:tmpl w:val="A5424A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A013B"/>
    <w:multiLevelType w:val="multilevel"/>
    <w:tmpl w:val="ABF8D31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2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76"/>
    <w:rsid w:val="00001D5F"/>
    <w:rsid w:val="00001EBA"/>
    <w:rsid w:val="00004812"/>
    <w:rsid w:val="00021148"/>
    <w:rsid w:val="00022C76"/>
    <w:rsid w:val="0002411C"/>
    <w:rsid w:val="0003466F"/>
    <w:rsid w:val="00037B34"/>
    <w:rsid w:val="00046D83"/>
    <w:rsid w:val="000652AC"/>
    <w:rsid w:val="00096310"/>
    <w:rsid w:val="000A0567"/>
    <w:rsid w:val="000A0C6C"/>
    <w:rsid w:val="000A12A3"/>
    <w:rsid w:val="000B70BC"/>
    <w:rsid w:val="000D1637"/>
    <w:rsid w:val="000D23BE"/>
    <w:rsid w:val="000D4CB4"/>
    <w:rsid w:val="000E709C"/>
    <w:rsid w:val="000F1186"/>
    <w:rsid w:val="0011721E"/>
    <w:rsid w:val="0011761B"/>
    <w:rsid w:val="001278FF"/>
    <w:rsid w:val="0013082F"/>
    <w:rsid w:val="00136241"/>
    <w:rsid w:val="00144098"/>
    <w:rsid w:val="00154C17"/>
    <w:rsid w:val="00155C76"/>
    <w:rsid w:val="001645D0"/>
    <w:rsid w:val="001667CA"/>
    <w:rsid w:val="00166C4B"/>
    <w:rsid w:val="00167D65"/>
    <w:rsid w:val="00173BDC"/>
    <w:rsid w:val="001760F2"/>
    <w:rsid w:val="00181CCF"/>
    <w:rsid w:val="00185E81"/>
    <w:rsid w:val="00186D64"/>
    <w:rsid w:val="001879C4"/>
    <w:rsid w:val="00193070"/>
    <w:rsid w:val="001B5276"/>
    <w:rsid w:val="001B531E"/>
    <w:rsid w:val="001B5BD8"/>
    <w:rsid w:val="001B69EC"/>
    <w:rsid w:val="001B7F20"/>
    <w:rsid w:val="001C1166"/>
    <w:rsid w:val="001C4F9D"/>
    <w:rsid w:val="001D0A9A"/>
    <w:rsid w:val="001E399F"/>
    <w:rsid w:val="001F1BD4"/>
    <w:rsid w:val="001F24AB"/>
    <w:rsid w:val="001F7463"/>
    <w:rsid w:val="00203AA1"/>
    <w:rsid w:val="0020487C"/>
    <w:rsid w:val="00205A31"/>
    <w:rsid w:val="00211863"/>
    <w:rsid w:val="0021432E"/>
    <w:rsid w:val="0021703C"/>
    <w:rsid w:val="00222885"/>
    <w:rsid w:val="00224AF2"/>
    <w:rsid w:val="002258D2"/>
    <w:rsid w:val="002366F4"/>
    <w:rsid w:val="00244048"/>
    <w:rsid w:val="00244D69"/>
    <w:rsid w:val="00256B12"/>
    <w:rsid w:val="00261028"/>
    <w:rsid w:val="00267161"/>
    <w:rsid w:val="002700B9"/>
    <w:rsid w:val="002777CC"/>
    <w:rsid w:val="00284220"/>
    <w:rsid w:val="00287D7F"/>
    <w:rsid w:val="00295C7E"/>
    <w:rsid w:val="00296B0C"/>
    <w:rsid w:val="002A7750"/>
    <w:rsid w:val="002B00DC"/>
    <w:rsid w:val="002B4233"/>
    <w:rsid w:val="002C0677"/>
    <w:rsid w:val="002D00FB"/>
    <w:rsid w:val="002D35F3"/>
    <w:rsid w:val="002D5AAE"/>
    <w:rsid w:val="002D7821"/>
    <w:rsid w:val="002D7BBA"/>
    <w:rsid w:val="002E1F07"/>
    <w:rsid w:val="002E5ECC"/>
    <w:rsid w:val="002E729F"/>
    <w:rsid w:val="002F094C"/>
    <w:rsid w:val="002F2612"/>
    <w:rsid w:val="002F2F1E"/>
    <w:rsid w:val="002F4B9A"/>
    <w:rsid w:val="00300BA5"/>
    <w:rsid w:val="003011D9"/>
    <w:rsid w:val="00301304"/>
    <w:rsid w:val="003052E6"/>
    <w:rsid w:val="003058A8"/>
    <w:rsid w:val="00311B86"/>
    <w:rsid w:val="003176F7"/>
    <w:rsid w:val="00320BE2"/>
    <w:rsid w:val="0032555B"/>
    <w:rsid w:val="00337199"/>
    <w:rsid w:val="003374BF"/>
    <w:rsid w:val="00340FFE"/>
    <w:rsid w:val="003441AB"/>
    <w:rsid w:val="00357570"/>
    <w:rsid w:val="003652E1"/>
    <w:rsid w:val="00367043"/>
    <w:rsid w:val="0038472C"/>
    <w:rsid w:val="00384929"/>
    <w:rsid w:val="00392480"/>
    <w:rsid w:val="0039501E"/>
    <w:rsid w:val="00395030"/>
    <w:rsid w:val="003A08D4"/>
    <w:rsid w:val="003A13BB"/>
    <w:rsid w:val="003A4E53"/>
    <w:rsid w:val="003A57C9"/>
    <w:rsid w:val="003B0294"/>
    <w:rsid w:val="003D16A1"/>
    <w:rsid w:val="003D1A70"/>
    <w:rsid w:val="003E2999"/>
    <w:rsid w:val="003E3EB2"/>
    <w:rsid w:val="003F0401"/>
    <w:rsid w:val="003F0A80"/>
    <w:rsid w:val="003F1114"/>
    <w:rsid w:val="00404A8B"/>
    <w:rsid w:val="00411FDA"/>
    <w:rsid w:val="00412B2D"/>
    <w:rsid w:val="0042203B"/>
    <w:rsid w:val="00425D36"/>
    <w:rsid w:val="00430E81"/>
    <w:rsid w:val="00434DD3"/>
    <w:rsid w:val="00436B86"/>
    <w:rsid w:val="00440B27"/>
    <w:rsid w:val="0044391A"/>
    <w:rsid w:val="00443F14"/>
    <w:rsid w:val="0044658E"/>
    <w:rsid w:val="00447812"/>
    <w:rsid w:val="004503AD"/>
    <w:rsid w:val="004557DC"/>
    <w:rsid w:val="00455D80"/>
    <w:rsid w:val="0046273F"/>
    <w:rsid w:val="00470DE3"/>
    <w:rsid w:val="00472834"/>
    <w:rsid w:val="00482227"/>
    <w:rsid w:val="004845CB"/>
    <w:rsid w:val="004A2561"/>
    <w:rsid w:val="004A4AF1"/>
    <w:rsid w:val="004A6E04"/>
    <w:rsid w:val="004A7B51"/>
    <w:rsid w:val="004C6E92"/>
    <w:rsid w:val="004D001C"/>
    <w:rsid w:val="004D6CED"/>
    <w:rsid w:val="004D6F58"/>
    <w:rsid w:val="004D7A1C"/>
    <w:rsid w:val="004E3926"/>
    <w:rsid w:val="004E6EC6"/>
    <w:rsid w:val="004F0253"/>
    <w:rsid w:val="004F30A8"/>
    <w:rsid w:val="00501D9A"/>
    <w:rsid w:val="00504B32"/>
    <w:rsid w:val="00504F8C"/>
    <w:rsid w:val="00505E4D"/>
    <w:rsid w:val="00513CA2"/>
    <w:rsid w:val="00513FFC"/>
    <w:rsid w:val="00533CC9"/>
    <w:rsid w:val="00556122"/>
    <w:rsid w:val="005617CD"/>
    <w:rsid w:val="00567916"/>
    <w:rsid w:val="005727D4"/>
    <w:rsid w:val="00573B6B"/>
    <w:rsid w:val="00590BEA"/>
    <w:rsid w:val="0059291B"/>
    <w:rsid w:val="005A1853"/>
    <w:rsid w:val="005A2857"/>
    <w:rsid w:val="005A501A"/>
    <w:rsid w:val="005A64D2"/>
    <w:rsid w:val="005A7514"/>
    <w:rsid w:val="005B0CC2"/>
    <w:rsid w:val="005B483B"/>
    <w:rsid w:val="005B5C8A"/>
    <w:rsid w:val="005B5F9D"/>
    <w:rsid w:val="005B7EC8"/>
    <w:rsid w:val="005C731B"/>
    <w:rsid w:val="005D1FBA"/>
    <w:rsid w:val="005D25F0"/>
    <w:rsid w:val="005D3957"/>
    <w:rsid w:val="005D52EF"/>
    <w:rsid w:val="005D570B"/>
    <w:rsid w:val="005F469F"/>
    <w:rsid w:val="00600050"/>
    <w:rsid w:val="00600B68"/>
    <w:rsid w:val="006057F4"/>
    <w:rsid w:val="00606424"/>
    <w:rsid w:val="00616134"/>
    <w:rsid w:val="0064103C"/>
    <w:rsid w:val="00645835"/>
    <w:rsid w:val="0064665B"/>
    <w:rsid w:val="00651A67"/>
    <w:rsid w:val="00666E05"/>
    <w:rsid w:val="006743FE"/>
    <w:rsid w:val="00674413"/>
    <w:rsid w:val="00680B7B"/>
    <w:rsid w:val="00682F45"/>
    <w:rsid w:val="00686255"/>
    <w:rsid w:val="00690517"/>
    <w:rsid w:val="006919DA"/>
    <w:rsid w:val="006935BB"/>
    <w:rsid w:val="00696033"/>
    <w:rsid w:val="00696E1E"/>
    <w:rsid w:val="006A051F"/>
    <w:rsid w:val="006A41E8"/>
    <w:rsid w:val="006A4D25"/>
    <w:rsid w:val="006A75AB"/>
    <w:rsid w:val="006B123D"/>
    <w:rsid w:val="006B5AE2"/>
    <w:rsid w:val="006B71DA"/>
    <w:rsid w:val="006B7A05"/>
    <w:rsid w:val="006D65D2"/>
    <w:rsid w:val="006E087D"/>
    <w:rsid w:val="006E71B9"/>
    <w:rsid w:val="006F1E32"/>
    <w:rsid w:val="006F2AA4"/>
    <w:rsid w:val="006F371F"/>
    <w:rsid w:val="006F3A1B"/>
    <w:rsid w:val="007044B7"/>
    <w:rsid w:val="007108E6"/>
    <w:rsid w:val="007152E6"/>
    <w:rsid w:val="00721823"/>
    <w:rsid w:val="007443AD"/>
    <w:rsid w:val="00751170"/>
    <w:rsid w:val="00757084"/>
    <w:rsid w:val="007621CD"/>
    <w:rsid w:val="00763499"/>
    <w:rsid w:val="00767824"/>
    <w:rsid w:val="00771EA9"/>
    <w:rsid w:val="00780230"/>
    <w:rsid w:val="00783834"/>
    <w:rsid w:val="0078419C"/>
    <w:rsid w:val="007845E1"/>
    <w:rsid w:val="00785628"/>
    <w:rsid w:val="007A529C"/>
    <w:rsid w:val="007B1EA1"/>
    <w:rsid w:val="007B778C"/>
    <w:rsid w:val="007B7F8A"/>
    <w:rsid w:val="007D017B"/>
    <w:rsid w:val="007D163F"/>
    <w:rsid w:val="007D480B"/>
    <w:rsid w:val="007E13E2"/>
    <w:rsid w:val="007E7121"/>
    <w:rsid w:val="007F6DDE"/>
    <w:rsid w:val="00807022"/>
    <w:rsid w:val="00807694"/>
    <w:rsid w:val="00812967"/>
    <w:rsid w:val="00815A86"/>
    <w:rsid w:val="00824D24"/>
    <w:rsid w:val="00841D81"/>
    <w:rsid w:val="00842350"/>
    <w:rsid w:val="00842AB0"/>
    <w:rsid w:val="008473A7"/>
    <w:rsid w:val="00856A4D"/>
    <w:rsid w:val="00861C68"/>
    <w:rsid w:val="008650BD"/>
    <w:rsid w:val="00866822"/>
    <w:rsid w:val="00873C7E"/>
    <w:rsid w:val="0087639B"/>
    <w:rsid w:val="008819E8"/>
    <w:rsid w:val="0088394A"/>
    <w:rsid w:val="008917EB"/>
    <w:rsid w:val="008A0EC5"/>
    <w:rsid w:val="008B0B96"/>
    <w:rsid w:val="008B5BAD"/>
    <w:rsid w:val="008C1114"/>
    <w:rsid w:val="008C3AD3"/>
    <w:rsid w:val="008C7803"/>
    <w:rsid w:val="008D443B"/>
    <w:rsid w:val="008D4D57"/>
    <w:rsid w:val="008D7393"/>
    <w:rsid w:val="008D7DE3"/>
    <w:rsid w:val="008E007A"/>
    <w:rsid w:val="008E2BEB"/>
    <w:rsid w:val="008E3AEA"/>
    <w:rsid w:val="008F28D7"/>
    <w:rsid w:val="009024BB"/>
    <w:rsid w:val="0090388D"/>
    <w:rsid w:val="009116B4"/>
    <w:rsid w:val="00912E2D"/>
    <w:rsid w:val="00917DA1"/>
    <w:rsid w:val="00927A9D"/>
    <w:rsid w:val="00935E1E"/>
    <w:rsid w:val="00940373"/>
    <w:rsid w:val="00941710"/>
    <w:rsid w:val="009457A2"/>
    <w:rsid w:val="00947287"/>
    <w:rsid w:val="00950237"/>
    <w:rsid w:val="0095098F"/>
    <w:rsid w:val="0096409C"/>
    <w:rsid w:val="00970CC5"/>
    <w:rsid w:val="009801A5"/>
    <w:rsid w:val="00983189"/>
    <w:rsid w:val="00984F96"/>
    <w:rsid w:val="009875CF"/>
    <w:rsid w:val="009A0BFE"/>
    <w:rsid w:val="009A1613"/>
    <w:rsid w:val="009A75F6"/>
    <w:rsid w:val="009B548A"/>
    <w:rsid w:val="009C0BAD"/>
    <w:rsid w:val="009C0E94"/>
    <w:rsid w:val="009F04F8"/>
    <w:rsid w:val="009F518F"/>
    <w:rsid w:val="00A00151"/>
    <w:rsid w:val="00A051CE"/>
    <w:rsid w:val="00A055D6"/>
    <w:rsid w:val="00A10D6B"/>
    <w:rsid w:val="00A167FC"/>
    <w:rsid w:val="00A24A97"/>
    <w:rsid w:val="00A30135"/>
    <w:rsid w:val="00A30EC2"/>
    <w:rsid w:val="00A3420E"/>
    <w:rsid w:val="00A3619B"/>
    <w:rsid w:val="00A414BE"/>
    <w:rsid w:val="00A43EB3"/>
    <w:rsid w:val="00A45A70"/>
    <w:rsid w:val="00A45CB3"/>
    <w:rsid w:val="00A45DA6"/>
    <w:rsid w:val="00A477A1"/>
    <w:rsid w:val="00A52B69"/>
    <w:rsid w:val="00A54128"/>
    <w:rsid w:val="00A57687"/>
    <w:rsid w:val="00A70B9A"/>
    <w:rsid w:val="00A7273E"/>
    <w:rsid w:val="00A73D07"/>
    <w:rsid w:val="00A7462E"/>
    <w:rsid w:val="00A77EF3"/>
    <w:rsid w:val="00A84702"/>
    <w:rsid w:val="00A92099"/>
    <w:rsid w:val="00AB0FE4"/>
    <w:rsid w:val="00AB1D9E"/>
    <w:rsid w:val="00AB344A"/>
    <w:rsid w:val="00AC57A3"/>
    <w:rsid w:val="00AE53D9"/>
    <w:rsid w:val="00AE6047"/>
    <w:rsid w:val="00AF24E9"/>
    <w:rsid w:val="00AF27AE"/>
    <w:rsid w:val="00AF2EBE"/>
    <w:rsid w:val="00B066B1"/>
    <w:rsid w:val="00B12D00"/>
    <w:rsid w:val="00B14B98"/>
    <w:rsid w:val="00B15098"/>
    <w:rsid w:val="00B15E1B"/>
    <w:rsid w:val="00B226FB"/>
    <w:rsid w:val="00B30F92"/>
    <w:rsid w:val="00B3562A"/>
    <w:rsid w:val="00B361F2"/>
    <w:rsid w:val="00B42B72"/>
    <w:rsid w:val="00B43F87"/>
    <w:rsid w:val="00B45E71"/>
    <w:rsid w:val="00B50D4C"/>
    <w:rsid w:val="00B55B8E"/>
    <w:rsid w:val="00B655EE"/>
    <w:rsid w:val="00B745B3"/>
    <w:rsid w:val="00BA3F8D"/>
    <w:rsid w:val="00BA57E2"/>
    <w:rsid w:val="00BA70A4"/>
    <w:rsid w:val="00BA7CBB"/>
    <w:rsid w:val="00BB62B0"/>
    <w:rsid w:val="00BD614A"/>
    <w:rsid w:val="00BE14EA"/>
    <w:rsid w:val="00BE3BF4"/>
    <w:rsid w:val="00BF177E"/>
    <w:rsid w:val="00BF2AAF"/>
    <w:rsid w:val="00BF5A33"/>
    <w:rsid w:val="00C002F4"/>
    <w:rsid w:val="00C0166C"/>
    <w:rsid w:val="00C03961"/>
    <w:rsid w:val="00C04F62"/>
    <w:rsid w:val="00C07D2A"/>
    <w:rsid w:val="00C1196D"/>
    <w:rsid w:val="00C25986"/>
    <w:rsid w:val="00C364E5"/>
    <w:rsid w:val="00C41162"/>
    <w:rsid w:val="00C43C6B"/>
    <w:rsid w:val="00C45AD7"/>
    <w:rsid w:val="00C54601"/>
    <w:rsid w:val="00C61B1D"/>
    <w:rsid w:val="00C73DF3"/>
    <w:rsid w:val="00C76DEB"/>
    <w:rsid w:val="00C8046F"/>
    <w:rsid w:val="00C8054D"/>
    <w:rsid w:val="00C8283B"/>
    <w:rsid w:val="00C935B5"/>
    <w:rsid w:val="00C94421"/>
    <w:rsid w:val="00CA34D9"/>
    <w:rsid w:val="00CB0EA1"/>
    <w:rsid w:val="00CB1117"/>
    <w:rsid w:val="00CC07C0"/>
    <w:rsid w:val="00CC52B6"/>
    <w:rsid w:val="00CD2E16"/>
    <w:rsid w:val="00CD50DC"/>
    <w:rsid w:val="00CE1CA0"/>
    <w:rsid w:val="00CE3EF7"/>
    <w:rsid w:val="00CE5805"/>
    <w:rsid w:val="00CF132B"/>
    <w:rsid w:val="00D04E41"/>
    <w:rsid w:val="00D1206B"/>
    <w:rsid w:val="00D17B97"/>
    <w:rsid w:val="00D23BC8"/>
    <w:rsid w:val="00D2767B"/>
    <w:rsid w:val="00D27D58"/>
    <w:rsid w:val="00D37C5C"/>
    <w:rsid w:val="00D4360C"/>
    <w:rsid w:val="00D438D1"/>
    <w:rsid w:val="00D54C4C"/>
    <w:rsid w:val="00D54E2C"/>
    <w:rsid w:val="00D635CD"/>
    <w:rsid w:val="00D749CB"/>
    <w:rsid w:val="00D76187"/>
    <w:rsid w:val="00D8122D"/>
    <w:rsid w:val="00D85A0C"/>
    <w:rsid w:val="00D87412"/>
    <w:rsid w:val="00D91304"/>
    <w:rsid w:val="00DA4C4C"/>
    <w:rsid w:val="00DA4F37"/>
    <w:rsid w:val="00DB0E65"/>
    <w:rsid w:val="00DB5041"/>
    <w:rsid w:val="00DB532F"/>
    <w:rsid w:val="00DB5B13"/>
    <w:rsid w:val="00DB5D66"/>
    <w:rsid w:val="00DC0A72"/>
    <w:rsid w:val="00DC4D50"/>
    <w:rsid w:val="00DD0794"/>
    <w:rsid w:val="00DD13B6"/>
    <w:rsid w:val="00DD360A"/>
    <w:rsid w:val="00DD7A5A"/>
    <w:rsid w:val="00DE26F9"/>
    <w:rsid w:val="00DE6B5B"/>
    <w:rsid w:val="00E01291"/>
    <w:rsid w:val="00E01855"/>
    <w:rsid w:val="00E102EF"/>
    <w:rsid w:val="00E11B86"/>
    <w:rsid w:val="00E16B4D"/>
    <w:rsid w:val="00E23008"/>
    <w:rsid w:val="00E30141"/>
    <w:rsid w:val="00E418AF"/>
    <w:rsid w:val="00E43A05"/>
    <w:rsid w:val="00E4531D"/>
    <w:rsid w:val="00E468ED"/>
    <w:rsid w:val="00E645C1"/>
    <w:rsid w:val="00E64EE9"/>
    <w:rsid w:val="00E716E9"/>
    <w:rsid w:val="00E7357F"/>
    <w:rsid w:val="00E84B1A"/>
    <w:rsid w:val="00EA2DC0"/>
    <w:rsid w:val="00EA3FEB"/>
    <w:rsid w:val="00EA5DAD"/>
    <w:rsid w:val="00EC2974"/>
    <w:rsid w:val="00ED73FF"/>
    <w:rsid w:val="00EE18F0"/>
    <w:rsid w:val="00EE1AC5"/>
    <w:rsid w:val="00EE3B6E"/>
    <w:rsid w:val="00EE3F5B"/>
    <w:rsid w:val="00EE6B84"/>
    <w:rsid w:val="00EF1688"/>
    <w:rsid w:val="00F03F90"/>
    <w:rsid w:val="00F0407D"/>
    <w:rsid w:val="00F05907"/>
    <w:rsid w:val="00F15D13"/>
    <w:rsid w:val="00F20A00"/>
    <w:rsid w:val="00F25682"/>
    <w:rsid w:val="00F319A7"/>
    <w:rsid w:val="00F31D89"/>
    <w:rsid w:val="00F320A2"/>
    <w:rsid w:val="00F36306"/>
    <w:rsid w:val="00F36E2D"/>
    <w:rsid w:val="00F4529E"/>
    <w:rsid w:val="00F45650"/>
    <w:rsid w:val="00F52BEF"/>
    <w:rsid w:val="00F538E2"/>
    <w:rsid w:val="00F53BCC"/>
    <w:rsid w:val="00F55D51"/>
    <w:rsid w:val="00F67D69"/>
    <w:rsid w:val="00F72872"/>
    <w:rsid w:val="00F87424"/>
    <w:rsid w:val="00F9298C"/>
    <w:rsid w:val="00F92FA3"/>
    <w:rsid w:val="00FA0BD4"/>
    <w:rsid w:val="00FA3A41"/>
    <w:rsid w:val="00FB2F4C"/>
    <w:rsid w:val="00FC03DD"/>
    <w:rsid w:val="00FC5917"/>
    <w:rsid w:val="00FD074A"/>
    <w:rsid w:val="00FD0FA4"/>
    <w:rsid w:val="00FD51E9"/>
    <w:rsid w:val="00FD7F98"/>
    <w:rsid w:val="00FE1B1D"/>
    <w:rsid w:val="00FE6501"/>
    <w:rsid w:val="00FF2E7B"/>
    <w:rsid w:val="00FF525D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D0AD49"/>
  <w15:docId w15:val="{71F45C92-7AEE-4DB0-80EC-EF0ECC7D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D35F3"/>
    <w:pPr>
      <w:keepNext/>
      <w:jc w:val="both"/>
      <w:outlineLvl w:val="6"/>
    </w:pPr>
    <w:rPr>
      <w:rFonts w:ascii="Verdana" w:eastAsia="Verdana" w:hAnsi="Verdana" w:cs="Verdana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A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AD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04A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4A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4A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A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A8B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5A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5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5AA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64EE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4EE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D35F3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rsid w:val="002D35F3"/>
    <w:rPr>
      <w:rFonts w:ascii="Verdana" w:eastAsia="Verdana" w:hAnsi="Verdana" w:cs="Verdana"/>
      <w:b/>
      <w:sz w:val="22"/>
      <w:szCs w:val="22"/>
    </w:rPr>
  </w:style>
  <w:style w:type="table" w:styleId="Tablaconcuadrcula">
    <w:name w:val="Table Grid"/>
    <w:basedOn w:val="Tablanormal"/>
    <w:uiPriority w:val="39"/>
    <w:rsid w:val="00C1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D480B"/>
    <w:pPr>
      <w:jc w:val="both"/>
    </w:pPr>
    <w:rPr>
      <w:rFonts w:ascii="Verdana" w:eastAsia="Verdana" w:hAnsi="Verdana" w:cs="Verdana"/>
      <w:b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D480B"/>
    <w:rPr>
      <w:rFonts w:ascii="Verdana" w:eastAsia="Verdana" w:hAnsi="Verdana" w:cs="Verdana"/>
      <w:b/>
      <w:sz w:val="22"/>
      <w:szCs w:val="22"/>
    </w:rPr>
  </w:style>
  <w:style w:type="paragraph" w:styleId="Revisin">
    <w:name w:val="Revision"/>
    <w:hidden/>
    <w:uiPriority w:val="99"/>
    <w:semiHidden/>
    <w:rsid w:val="00866822"/>
  </w:style>
  <w:style w:type="paragraph" w:styleId="Textoindependiente2">
    <w:name w:val="Body Text 2"/>
    <w:basedOn w:val="Normal"/>
    <w:link w:val="Textoindependiente2Car"/>
    <w:uiPriority w:val="99"/>
    <w:unhideWhenUsed/>
    <w:rsid w:val="00154C17"/>
    <w:pPr>
      <w:jc w:val="both"/>
    </w:pPr>
    <w:rPr>
      <w:rFonts w:ascii="Verdana" w:eastAsia="Verdana" w:hAnsi="Verdana" w:cs="Verdana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54C17"/>
    <w:rPr>
      <w:rFonts w:ascii="Verdana" w:eastAsia="Verdana" w:hAnsi="Verdana" w:cs="Verdana"/>
      <w:sz w:val="22"/>
      <w:szCs w:val="22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845CB"/>
    <w:pPr>
      <w:jc w:val="both"/>
    </w:pPr>
    <w:rPr>
      <w:rFonts w:ascii="Verdana" w:eastAsia="Verdana" w:hAnsi="Verdana" w:cs="Verdana"/>
      <w:i/>
      <w:sz w:val="22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845CB"/>
    <w:rPr>
      <w:rFonts w:ascii="Verdana" w:eastAsia="Verdana" w:hAnsi="Verdana" w:cs="Verdana"/>
      <w:i/>
      <w:sz w:val="22"/>
      <w:szCs w:val="22"/>
    </w:rPr>
  </w:style>
  <w:style w:type="character" w:styleId="Ttulodellibro">
    <w:name w:val="Book Title"/>
    <w:basedOn w:val="Fuentedeprrafopredeter"/>
    <w:uiPriority w:val="33"/>
    <w:qFormat/>
    <w:rsid w:val="002F4B9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o.org.co" TargetMode="External"/><Relationship Id="rId1" Type="http://schemas.openxmlformats.org/officeDocument/2006/relationships/hyperlink" Target="mailto:aolarte@cno.org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A623F91637842B1AA2E6EC3D4C6A4" ma:contentTypeVersion="5" ma:contentTypeDescription="Create a new document." ma:contentTypeScope="" ma:versionID="36feeed32129819516109099e6e319d4">
  <xsd:schema xmlns:xsd="http://www.w3.org/2001/XMLSchema" xmlns:xs="http://www.w3.org/2001/XMLSchema" xmlns:p="http://schemas.microsoft.com/office/2006/metadata/properties" xmlns:ns3="fa08d7e0-1251-4dc7-87b9-13a3435fd2c9" xmlns:ns4="d785b8fc-d22c-4ba9-b454-aea9cb9fa48f" targetNamespace="http://schemas.microsoft.com/office/2006/metadata/properties" ma:root="true" ma:fieldsID="ad2500fa6e6877f894e0cf118b006665" ns3:_="" ns4:_="">
    <xsd:import namespace="fa08d7e0-1251-4dc7-87b9-13a3435fd2c9"/>
    <xsd:import namespace="d785b8fc-d22c-4ba9-b454-aea9cb9fa4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d7e0-1251-4dc7-87b9-13a3435fd2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b8fc-d22c-4ba9-b454-aea9cb9f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9AC23-485F-4B4B-BDCE-2ED3E182E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8618D-41C2-47A2-AD07-FF91E8288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B1795D-AD52-475F-A5C9-C325A1BF20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E8B32-36C6-48FB-B1E1-7CBAD2C7B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8d7e0-1251-4dc7-87b9-13a3435fd2c9"/>
    <ds:schemaRef ds:uri="d785b8fc-d22c-4ba9-b454-aea9cb9fa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Gaitan, John Alberto, Enel Colombia</dc:creator>
  <cp:keywords/>
  <dc:description/>
  <cp:lastModifiedBy>ALBERTO OLARTE</cp:lastModifiedBy>
  <cp:revision>2</cp:revision>
  <dcterms:created xsi:type="dcterms:W3CDTF">2020-12-03T12:36:00Z</dcterms:created>
  <dcterms:modified xsi:type="dcterms:W3CDTF">2020-12-03T12:36:00Z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0x0101008A0A623F91637842B1AA2E6EC3D4C6A4</vt:lpwstr>
  </property>
</Properties>
</file>