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42EF6" w14:textId="77777777" w:rsidR="00657818" w:rsidRDefault="00657818" w:rsidP="002620B9">
      <w:pPr>
        <w:pStyle w:val="Ttulo"/>
        <w:rPr>
          <w:rFonts w:ascii="Verdana" w:eastAsia="Cambria" w:hAnsi="Verdana" w:cs="Arial"/>
          <w:b w:val="0"/>
          <w:iCs/>
          <w:sz w:val="22"/>
          <w:szCs w:val="22"/>
        </w:rPr>
      </w:pPr>
    </w:p>
    <w:p w14:paraId="484A7AD8" w14:textId="77777777" w:rsidR="002620B9" w:rsidRPr="002E47F5" w:rsidRDefault="002620B9" w:rsidP="002620B9">
      <w:pPr>
        <w:pStyle w:val="Ttulo"/>
        <w:rPr>
          <w:rFonts w:ascii="Verdana" w:eastAsia="Cambria" w:hAnsi="Verdana" w:cs="Arial"/>
          <w:iCs/>
          <w:sz w:val="22"/>
          <w:szCs w:val="22"/>
        </w:rPr>
      </w:pPr>
      <w:r w:rsidRPr="002E47F5">
        <w:rPr>
          <w:rFonts w:ascii="Verdana" w:eastAsia="Cambria" w:hAnsi="Verdana" w:cs="Arial"/>
          <w:iCs/>
          <w:sz w:val="22"/>
          <w:szCs w:val="22"/>
        </w:rPr>
        <w:t>ANEXO</w:t>
      </w:r>
    </w:p>
    <w:p w14:paraId="6C579B64" w14:textId="77777777" w:rsidR="002620B9" w:rsidRPr="002E47F5" w:rsidRDefault="002620B9" w:rsidP="002620B9">
      <w:pPr>
        <w:pStyle w:val="Ttulo"/>
        <w:rPr>
          <w:rFonts w:ascii="Verdana" w:eastAsia="Cambria" w:hAnsi="Verdana" w:cs="Arial"/>
          <w:b w:val="0"/>
          <w:iCs/>
          <w:sz w:val="22"/>
          <w:szCs w:val="22"/>
        </w:rPr>
      </w:pPr>
    </w:p>
    <w:p w14:paraId="77F12CE2" w14:textId="77777777" w:rsidR="002620B9" w:rsidRPr="002E47F5" w:rsidRDefault="002620B9" w:rsidP="002620B9">
      <w:pPr>
        <w:pStyle w:val="Ttulo"/>
        <w:jc w:val="both"/>
        <w:rPr>
          <w:rFonts w:ascii="Verdana" w:eastAsia="Cambria" w:hAnsi="Verdana" w:cs="Arial"/>
          <w:b w:val="0"/>
          <w:iCs/>
          <w:sz w:val="22"/>
          <w:szCs w:val="22"/>
        </w:rPr>
      </w:pPr>
    </w:p>
    <w:p w14:paraId="7A53C71E" w14:textId="77777777" w:rsidR="002620B9" w:rsidRPr="002E47F5" w:rsidRDefault="002620B9" w:rsidP="002620B9">
      <w:pPr>
        <w:pStyle w:val="Ttulo"/>
        <w:rPr>
          <w:rFonts w:ascii="Verdana" w:eastAsia="Cambria" w:hAnsi="Verdana" w:cs="Arial"/>
          <w:b w:val="0"/>
          <w:iCs/>
          <w:sz w:val="22"/>
          <w:szCs w:val="22"/>
        </w:rPr>
      </w:pPr>
      <w:r w:rsidRPr="002E47F5">
        <w:rPr>
          <w:rFonts w:ascii="Verdana" w:eastAsia="Cambria" w:hAnsi="Verdana" w:cs="Arial"/>
          <w:b w:val="0"/>
          <w:iCs/>
          <w:sz w:val="22"/>
          <w:szCs w:val="22"/>
        </w:rPr>
        <w:t>PROCEDIMIENTO PARA LA ACTUALIZACIÓN Y UTILIZACIÓN DE CURVAS TÍPICAS EN LAS FRONTERAS COMERCIALES DEL MERCADO DE ENERGÍA MAYORISTA</w:t>
      </w:r>
    </w:p>
    <w:p w14:paraId="7B0AD530" w14:textId="77777777" w:rsidR="002620B9" w:rsidRPr="002E47F5" w:rsidRDefault="002620B9" w:rsidP="002620B9">
      <w:pPr>
        <w:pStyle w:val="Ttulo"/>
        <w:jc w:val="both"/>
        <w:rPr>
          <w:rFonts w:ascii="Verdana" w:eastAsia="Cambria" w:hAnsi="Verdana" w:cs="Arial"/>
          <w:b w:val="0"/>
          <w:iCs/>
          <w:sz w:val="22"/>
          <w:szCs w:val="22"/>
        </w:rPr>
      </w:pPr>
    </w:p>
    <w:p w14:paraId="69A1860D" w14:textId="77777777" w:rsidR="002620B9" w:rsidRPr="002E47F5" w:rsidRDefault="002620B9" w:rsidP="002620B9">
      <w:pPr>
        <w:pStyle w:val="Ttulo"/>
        <w:jc w:val="both"/>
        <w:rPr>
          <w:rFonts w:ascii="Verdana" w:eastAsia="Cambria" w:hAnsi="Verdana" w:cs="Arial"/>
          <w:b w:val="0"/>
          <w:iCs/>
          <w:sz w:val="22"/>
          <w:szCs w:val="22"/>
        </w:rPr>
      </w:pPr>
    </w:p>
    <w:p w14:paraId="74A0850C" w14:textId="77777777" w:rsidR="002620B9" w:rsidRPr="002E47F5" w:rsidRDefault="002620B9" w:rsidP="002620B9">
      <w:pPr>
        <w:pStyle w:val="Ttulo"/>
        <w:jc w:val="both"/>
        <w:rPr>
          <w:rFonts w:ascii="Verdana" w:eastAsia="Cambria" w:hAnsi="Verdana" w:cs="Arial"/>
          <w:b w:val="0"/>
          <w:iCs/>
          <w:sz w:val="22"/>
          <w:szCs w:val="22"/>
        </w:rPr>
      </w:pPr>
    </w:p>
    <w:p w14:paraId="4D1D25E1" w14:textId="77777777" w:rsidR="002620B9" w:rsidRPr="002E47F5" w:rsidRDefault="002620B9" w:rsidP="002620B9">
      <w:pPr>
        <w:pStyle w:val="Ttulo"/>
        <w:jc w:val="both"/>
        <w:rPr>
          <w:rFonts w:ascii="Verdana" w:eastAsia="Cambria" w:hAnsi="Verdana" w:cs="Arial"/>
          <w:iCs/>
          <w:sz w:val="22"/>
          <w:szCs w:val="22"/>
        </w:rPr>
      </w:pPr>
      <w:r w:rsidRPr="002E47F5">
        <w:rPr>
          <w:rFonts w:ascii="Verdana" w:eastAsia="Cambria" w:hAnsi="Verdana" w:cs="Arial"/>
          <w:iCs/>
          <w:sz w:val="22"/>
          <w:szCs w:val="22"/>
        </w:rPr>
        <w:t>1. OBJETIVO</w:t>
      </w:r>
    </w:p>
    <w:p w14:paraId="724300C7" w14:textId="77777777" w:rsidR="002620B9" w:rsidRPr="002E47F5" w:rsidRDefault="002620B9" w:rsidP="002620B9">
      <w:pPr>
        <w:pStyle w:val="Ttulo"/>
        <w:jc w:val="both"/>
        <w:rPr>
          <w:rFonts w:ascii="Verdana" w:eastAsia="Cambria" w:hAnsi="Verdana" w:cs="Arial"/>
          <w:b w:val="0"/>
          <w:iCs/>
          <w:sz w:val="22"/>
          <w:szCs w:val="22"/>
        </w:rPr>
      </w:pPr>
    </w:p>
    <w:p w14:paraId="0F81BC8B" w14:textId="77777777" w:rsidR="002620B9" w:rsidRPr="002E47F5" w:rsidRDefault="002620B9" w:rsidP="002620B9">
      <w:pPr>
        <w:pStyle w:val="Ttulo"/>
        <w:jc w:val="both"/>
        <w:rPr>
          <w:rFonts w:ascii="Verdana" w:eastAsia="Cambria" w:hAnsi="Verdana" w:cs="Arial"/>
          <w:b w:val="0"/>
          <w:iCs/>
          <w:sz w:val="22"/>
          <w:szCs w:val="22"/>
        </w:rPr>
      </w:pPr>
      <w:r w:rsidRPr="002E47F5">
        <w:rPr>
          <w:rFonts w:ascii="Verdana" w:eastAsia="Cambria" w:hAnsi="Verdana" w:cs="Arial"/>
          <w:b w:val="0"/>
          <w:iCs/>
          <w:sz w:val="22"/>
          <w:szCs w:val="22"/>
        </w:rPr>
        <w:t>Modificar el procedimiento utilizado por el ASIC para el cálculo de curvas típicas a aplicar en las fronteras comerciales del Mercado de Energía Mayorista.</w:t>
      </w:r>
    </w:p>
    <w:p w14:paraId="7F2AE9D9" w14:textId="77777777" w:rsidR="002620B9" w:rsidRPr="002E47F5" w:rsidRDefault="002620B9" w:rsidP="002620B9">
      <w:pPr>
        <w:pStyle w:val="Ttulo"/>
        <w:jc w:val="both"/>
        <w:rPr>
          <w:rFonts w:ascii="Verdana" w:eastAsia="Cambria" w:hAnsi="Verdana" w:cs="Arial"/>
          <w:b w:val="0"/>
          <w:iCs/>
          <w:sz w:val="22"/>
          <w:szCs w:val="22"/>
        </w:rPr>
      </w:pPr>
    </w:p>
    <w:p w14:paraId="2C5A235E" w14:textId="77777777" w:rsidR="002620B9" w:rsidRPr="002E47F5" w:rsidRDefault="002620B9" w:rsidP="002620B9">
      <w:pPr>
        <w:pStyle w:val="Ttulo"/>
        <w:jc w:val="both"/>
        <w:rPr>
          <w:rFonts w:ascii="Verdana" w:eastAsia="Cambria" w:hAnsi="Verdana" w:cs="Arial"/>
          <w:iCs/>
          <w:sz w:val="22"/>
          <w:szCs w:val="22"/>
        </w:rPr>
      </w:pPr>
      <w:r w:rsidRPr="002E47F5">
        <w:rPr>
          <w:rFonts w:ascii="Verdana" w:eastAsia="Cambria" w:hAnsi="Verdana" w:cs="Arial"/>
          <w:iCs/>
          <w:sz w:val="22"/>
          <w:szCs w:val="22"/>
        </w:rPr>
        <w:t>2. ANTECEDENTES</w:t>
      </w:r>
    </w:p>
    <w:p w14:paraId="190B989B" w14:textId="77777777" w:rsidR="002620B9" w:rsidRPr="002E47F5" w:rsidRDefault="002620B9" w:rsidP="002620B9">
      <w:pPr>
        <w:pStyle w:val="Ttulo"/>
        <w:jc w:val="both"/>
        <w:rPr>
          <w:rFonts w:ascii="Verdana" w:eastAsia="Cambria" w:hAnsi="Verdana" w:cs="Arial"/>
          <w:b w:val="0"/>
          <w:iCs/>
          <w:sz w:val="22"/>
          <w:szCs w:val="22"/>
        </w:rPr>
      </w:pPr>
    </w:p>
    <w:p w14:paraId="6CEA2269" w14:textId="77777777" w:rsidR="002620B9" w:rsidRPr="002E47F5" w:rsidRDefault="002620B9" w:rsidP="002620B9">
      <w:pPr>
        <w:pStyle w:val="Ttulo"/>
        <w:jc w:val="both"/>
        <w:rPr>
          <w:rFonts w:ascii="Verdana" w:eastAsia="Cambria" w:hAnsi="Verdana" w:cs="Arial"/>
          <w:b w:val="0"/>
          <w:iCs/>
          <w:sz w:val="22"/>
          <w:szCs w:val="22"/>
        </w:rPr>
      </w:pPr>
      <w:r w:rsidRPr="002E47F5">
        <w:rPr>
          <w:rFonts w:ascii="Verdana" w:eastAsia="Cambria" w:hAnsi="Verdana" w:cs="Arial"/>
          <w:b w:val="0"/>
          <w:iCs/>
          <w:sz w:val="22"/>
          <w:szCs w:val="22"/>
        </w:rPr>
        <w:t>La CREG expidió la Resolución 038 de 2014 “Por la cual se modifica el Código de Medida contenido en el Anexo general del Código de Redes”, la cual fue publicada en el Diario Oficial el 14 de mayo de 2014.</w:t>
      </w:r>
    </w:p>
    <w:p w14:paraId="6D370782" w14:textId="77777777" w:rsidR="002620B9" w:rsidRPr="002E47F5" w:rsidRDefault="002620B9" w:rsidP="002620B9">
      <w:pPr>
        <w:pStyle w:val="Ttulo"/>
        <w:jc w:val="both"/>
        <w:rPr>
          <w:rFonts w:ascii="Verdana" w:eastAsia="Cambria" w:hAnsi="Verdana" w:cs="Arial"/>
          <w:b w:val="0"/>
          <w:iCs/>
          <w:sz w:val="22"/>
          <w:szCs w:val="22"/>
        </w:rPr>
      </w:pPr>
    </w:p>
    <w:p w14:paraId="7327FFAF" w14:textId="77777777" w:rsidR="002620B9" w:rsidRPr="002E47F5" w:rsidRDefault="002620B9" w:rsidP="002620B9">
      <w:pPr>
        <w:pStyle w:val="Ttulo"/>
        <w:jc w:val="both"/>
        <w:rPr>
          <w:rFonts w:ascii="Verdana" w:eastAsia="Cambria" w:hAnsi="Verdana" w:cs="Arial"/>
          <w:b w:val="0"/>
          <w:iCs/>
          <w:sz w:val="22"/>
          <w:szCs w:val="22"/>
        </w:rPr>
      </w:pPr>
      <w:r w:rsidRPr="002E47F5">
        <w:rPr>
          <w:rFonts w:ascii="Verdana" w:eastAsia="Cambria" w:hAnsi="Verdana" w:cs="Arial"/>
          <w:b w:val="0"/>
          <w:iCs/>
          <w:sz w:val="22"/>
          <w:szCs w:val="22"/>
        </w:rPr>
        <w:t>En el artículo 38 de la Resolución CREG 038 de 2014 se prevé lo siguiente:</w:t>
      </w:r>
    </w:p>
    <w:p w14:paraId="6088C758" w14:textId="77777777" w:rsidR="002620B9" w:rsidRPr="002E47F5" w:rsidRDefault="002620B9" w:rsidP="002620B9">
      <w:pPr>
        <w:pStyle w:val="Ttulo"/>
        <w:jc w:val="both"/>
        <w:rPr>
          <w:rFonts w:ascii="Verdana" w:eastAsia="Cambria" w:hAnsi="Verdana" w:cs="Arial"/>
          <w:b w:val="0"/>
          <w:iCs/>
          <w:sz w:val="22"/>
          <w:szCs w:val="22"/>
        </w:rPr>
      </w:pPr>
    </w:p>
    <w:p w14:paraId="7A547506" w14:textId="77777777" w:rsidR="002620B9" w:rsidRPr="002E47F5" w:rsidRDefault="002620B9" w:rsidP="002620B9">
      <w:pPr>
        <w:pStyle w:val="Ttulo"/>
        <w:jc w:val="both"/>
        <w:rPr>
          <w:rFonts w:ascii="Verdana" w:eastAsia="Cambria" w:hAnsi="Verdana" w:cs="Arial"/>
          <w:b w:val="0"/>
          <w:iCs/>
          <w:sz w:val="22"/>
          <w:szCs w:val="22"/>
        </w:rPr>
      </w:pPr>
      <w:r w:rsidRPr="002E47F5">
        <w:rPr>
          <w:rFonts w:ascii="Verdana" w:eastAsia="Cambria" w:hAnsi="Verdana" w:cs="Arial"/>
          <w:b w:val="0"/>
          <w:iCs/>
          <w:sz w:val="22"/>
          <w:szCs w:val="22"/>
        </w:rPr>
        <w:t>“Artículo 38.</w:t>
      </w:r>
      <w:r w:rsidRPr="002E47F5">
        <w:rPr>
          <w:rFonts w:ascii="Verdana" w:eastAsia="Cambria" w:hAnsi="Verdana" w:cs="Arial"/>
          <w:b w:val="0"/>
          <w:iCs/>
          <w:sz w:val="22"/>
          <w:szCs w:val="22"/>
        </w:rPr>
        <w:tab/>
        <w:t>Estimación de lecturas. Mientras se reparan o reponen los elementos de los sistemas de medición que se encuentran en falla o hayan sido hurtados, las lecturas deben ser estimadas empleando los métodos establecidos a continuación.</w:t>
      </w:r>
    </w:p>
    <w:p w14:paraId="151A6344" w14:textId="77777777" w:rsidR="002620B9" w:rsidRPr="002E47F5" w:rsidRDefault="002620B9" w:rsidP="002620B9">
      <w:pPr>
        <w:pStyle w:val="Ttulo"/>
        <w:jc w:val="both"/>
        <w:rPr>
          <w:rFonts w:ascii="Verdana" w:eastAsia="Cambria" w:hAnsi="Verdana" w:cs="Arial"/>
          <w:b w:val="0"/>
          <w:iCs/>
          <w:sz w:val="22"/>
          <w:szCs w:val="22"/>
        </w:rPr>
      </w:pPr>
    </w:p>
    <w:p w14:paraId="305ED363" w14:textId="77777777" w:rsidR="002620B9" w:rsidRPr="002E47F5" w:rsidRDefault="002620B9" w:rsidP="002620B9">
      <w:pPr>
        <w:pStyle w:val="Ttulo"/>
        <w:jc w:val="both"/>
        <w:rPr>
          <w:rFonts w:ascii="Verdana" w:eastAsia="Cambria" w:hAnsi="Verdana" w:cs="Arial"/>
          <w:b w:val="0"/>
          <w:iCs/>
          <w:sz w:val="22"/>
          <w:szCs w:val="22"/>
        </w:rPr>
      </w:pPr>
      <w:r w:rsidRPr="002E47F5">
        <w:rPr>
          <w:rFonts w:ascii="Verdana" w:eastAsia="Cambria" w:hAnsi="Verdana" w:cs="Arial"/>
          <w:b w:val="0"/>
          <w:iCs/>
          <w:sz w:val="22"/>
          <w:szCs w:val="22"/>
        </w:rPr>
        <w:t xml:space="preserve">Para el caso de las fronteras con reporte al ASIC, se debe aplicar los siguientes medios de estimación: </w:t>
      </w:r>
    </w:p>
    <w:p w14:paraId="40E052D5" w14:textId="77777777" w:rsidR="002620B9" w:rsidRPr="002E47F5" w:rsidRDefault="002620B9" w:rsidP="002620B9">
      <w:pPr>
        <w:pStyle w:val="Subttulo"/>
        <w:spacing w:before="0" w:after="0"/>
        <w:jc w:val="both"/>
        <w:rPr>
          <w:rFonts w:ascii="Verdana" w:hAnsi="Verdana"/>
          <w:i w:val="0"/>
          <w:sz w:val="22"/>
          <w:szCs w:val="22"/>
          <w:lang w:val="es-MX" w:eastAsia="ar-SA"/>
        </w:rPr>
      </w:pPr>
    </w:p>
    <w:p w14:paraId="78D6955C" w14:textId="77777777" w:rsidR="002620B9" w:rsidRPr="002E47F5" w:rsidRDefault="002620B9" w:rsidP="002620B9">
      <w:pPr>
        <w:pStyle w:val="Ttulo"/>
        <w:jc w:val="both"/>
        <w:rPr>
          <w:rFonts w:ascii="Verdana" w:eastAsia="Cambria" w:hAnsi="Verdana" w:cs="Arial"/>
          <w:b w:val="0"/>
          <w:iCs/>
          <w:sz w:val="22"/>
          <w:szCs w:val="22"/>
        </w:rPr>
      </w:pPr>
      <w:r w:rsidRPr="002E47F5">
        <w:rPr>
          <w:rFonts w:ascii="Verdana" w:eastAsia="Cambria" w:hAnsi="Verdana" w:cs="Arial"/>
          <w:b w:val="0"/>
          <w:iCs/>
          <w:sz w:val="22"/>
          <w:szCs w:val="22"/>
        </w:rPr>
        <w:t>a)</w:t>
      </w:r>
      <w:r w:rsidRPr="002E47F5">
        <w:rPr>
          <w:rFonts w:ascii="Verdana" w:eastAsia="Cambria" w:hAnsi="Verdana" w:cs="Arial"/>
          <w:b w:val="0"/>
          <w:iCs/>
          <w:sz w:val="22"/>
          <w:szCs w:val="22"/>
        </w:rPr>
        <w:tab/>
        <w:t>Integración de la medida de potencia activa, cuando esta se encuentre en la cobertura del Sistema de Supervisión y Control del CND o de otros Centros de Control.</w:t>
      </w:r>
    </w:p>
    <w:p w14:paraId="5B2CDE69" w14:textId="77777777" w:rsidR="002620B9" w:rsidRPr="002E47F5" w:rsidRDefault="002620B9" w:rsidP="002620B9">
      <w:pPr>
        <w:pStyle w:val="Ttulo"/>
        <w:jc w:val="both"/>
        <w:rPr>
          <w:rFonts w:ascii="Verdana" w:eastAsia="Cambria" w:hAnsi="Verdana" w:cs="Arial"/>
          <w:b w:val="0"/>
          <w:iCs/>
          <w:sz w:val="22"/>
          <w:szCs w:val="22"/>
        </w:rPr>
      </w:pPr>
      <w:r w:rsidRPr="002E47F5">
        <w:rPr>
          <w:rFonts w:ascii="Verdana" w:eastAsia="Cambria" w:hAnsi="Verdana" w:cs="Arial"/>
          <w:b w:val="0"/>
          <w:iCs/>
          <w:sz w:val="22"/>
          <w:szCs w:val="22"/>
        </w:rPr>
        <w:t>b)</w:t>
      </w:r>
      <w:r w:rsidRPr="002E47F5">
        <w:rPr>
          <w:rFonts w:ascii="Verdana" w:eastAsia="Cambria" w:hAnsi="Verdana" w:cs="Arial"/>
          <w:b w:val="0"/>
          <w:iCs/>
          <w:sz w:val="22"/>
          <w:szCs w:val="22"/>
        </w:rPr>
        <w:tab/>
        <w:t xml:space="preserve">Curvas típicas elaboradas de conformidad con el acuerdo del Consejo Nacional de Operación 094 de 2000 o aquel que lo modifique, adicione o sustituya. </w:t>
      </w:r>
    </w:p>
    <w:p w14:paraId="635D42E0" w14:textId="77777777" w:rsidR="002620B9" w:rsidRPr="002E47F5" w:rsidRDefault="002620B9" w:rsidP="002620B9">
      <w:pPr>
        <w:pStyle w:val="Ttulo"/>
        <w:jc w:val="both"/>
        <w:rPr>
          <w:rFonts w:ascii="Verdana" w:eastAsia="Cambria" w:hAnsi="Verdana" w:cs="Arial"/>
          <w:b w:val="0"/>
          <w:iCs/>
          <w:sz w:val="22"/>
          <w:szCs w:val="22"/>
        </w:rPr>
      </w:pPr>
      <w:r w:rsidRPr="002E47F5">
        <w:rPr>
          <w:rFonts w:ascii="Verdana" w:eastAsia="Cambria" w:hAnsi="Verdana" w:cs="Arial"/>
          <w:b w:val="0"/>
          <w:iCs/>
          <w:sz w:val="22"/>
          <w:szCs w:val="22"/>
        </w:rPr>
        <w:t>c)</w:t>
      </w:r>
      <w:r w:rsidRPr="002E47F5">
        <w:rPr>
          <w:rFonts w:ascii="Verdana" w:eastAsia="Cambria" w:hAnsi="Verdana" w:cs="Arial"/>
          <w:b w:val="0"/>
          <w:iCs/>
          <w:sz w:val="22"/>
          <w:szCs w:val="22"/>
        </w:rPr>
        <w:tab/>
        <w:t xml:space="preserve">En el caso de enlaces internacionales, adicionalmente se podrá tener en cuenta el valor del despacho programado del enlace internacional establecido por el CND además de las normas aplicables a las Transacciones Internacionales de Electricidad de Corto Plazo, TIE. </w:t>
      </w:r>
    </w:p>
    <w:p w14:paraId="0BDB7853" w14:textId="77777777" w:rsidR="002620B9" w:rsidRPr="002E47F5" w:rsidRDefault="002620B9" w:rsidP="002620B9">
      <w:pPr>
        <w:pStyle w:val="Ttulo"/>
        <w:jc w:val="both"/>
        <w:rPr>
          <w:rFonts w:ascii="Verdana" w:eastAsia="Cambria" w:hAnsi="Verdana" w:cs="Arial"/>
          <w:b w:val="0"/>
          <w:iCs/>
          <w:sz w:val="22"/>
          <w:szCs w:val="22"/>
        </w:rPr>
      </w:pPr>
    </w:p>
    <w:p w14:paraId="7DA3BFAC" w14:textId="77777777" w:rsidR="002620B9" w:rsidRPr="002E47F5" w:rsidRDefault="002620B9" w:rsidP="002620B9">
      <w:pPr>
        <w:pStyle w:val="Ttulo"/>
        <w:jc w:val="both"/>
        <w:rPr>
          <w:rFonts w:ascii="Verdana" w:eastAsia="Cambria" w:hAnsi="Verdana" w:cs="Arial"/>
          <w:b w:val="0"/>
          <w:iCs/>
          <w:sz w:val="22"/>
          <w:szCs w:val="22"/>
        </w:rPr>
      </w:pPr>
      <w:r w:rsidRPr="002E47F5">
        <w:rPr>
          <w:rFonts w:ascii="Verdana" w:eastAsia="Cambria" w:hAnsi="Verdana" w:cs="Arial"/>
          <w:b w:val="0"/>
          <w:iCs/>
          <w:sz w:val="22"/>
          <w:szCs w:val="22"/>
        </w:rPr>
        <w:t>El ASIC debe emplear las alternativas que sean aplicables según el orden mencionado anteriormente.</w:t>
      </w:r>
    </w:p>
    <w:p w14:paraId="0DFD1A2E" w14:textId="77777777" w:rsidR="002620B9" w:rsidRPr="002E47F5" w:rsidRDefault="002620B9" w:rsidP="002620B9">
      <w:pPr>
        <w:pStyle w:val="Ttulo"/>
        <w:jc w:val="both"/>
        <w:rPr>
          <w:rFonts w:ascii="Verdana" w:eastAsia="Cambria" w:hAnsi="Verdana" w:cs="Arial"/>
          <w:b w:val="0"/>
          <w:iCs/>
          <w:sz w:val="22"/>
          <w:szCs w:val="22"/>
        </w:rPr>
      </w:pPr>
    </w:p>
    <w:p w14:paraId="41E21161" w14:textId="77777777" w:rsidR="002620B9" w:rsidRPr="002E47F5" w:rsidRDefault="002620B9" w:rsidP="002620B9">
      <w:pPr>
        <w:pStyle w:val="Ttulo"/>
        <w:jc w:val="both"/>
        <w:rPr>
          <w:rFonts w:ascii="Verdana" w:eastAsia="Cambria" w:hAnsi="Verdana" w:cs="Arial"/>
          <w:b w:val="0"/>
          <w:iCs/>
          <w:sz w:val="22"/>
          <w:szCs w:val="22"/>
        </w:rPr>
      </w:pPr>
      <w:r w:rsidRPr="002E47F5">
        <w:rPr>
          <w:rFonts w:ascii="Verdana" w:eastAsia="Cambria" w:hAnsi="Verdana" w:cs="Arial"/>
          <w:b w:val="0"/>
          <w:iCs/>
          <w:sz w:val="22"/>
          <w:szCs w:val="22"/>
        </w:rPr>
        <w:lastRenderedPageBreak/>
        <w:t xml:space="preserve">El medio empleado por el ASIC para la estimación de las mediciones debe incluirse en el informe establecido en el numeral 7 del literal a) del Anexo 8 de la presente resolución. </w:t>
      </w:r>
    </w:p>
    <w:p w14:paraId="18C198B2" w14:textId="77777777" w:rsidR="002620B9" w:rsidRPr="002E47F5" w:rsidRDefault="002620B9" w:rsidP="002620B9">
      <w:pPr>
        <w:pStyle w:val="Ttulo"/>
        <w:jc w:val="both"/>
        <w:rPr>
          <w:rFonts w:ascii="Verdana" w:eastAsia="Cambria" w:hAnsi="Verdana" w:cs="Arial"/>
          <w:b w:val="0"/>
          <w:iCs/>
          <w:sz w:val="22"/>
          <w:szCs w:val="22"/>
        </w:rPr>
      </w:pPr>
    </w:p>
    <w:p w14:paraId="560BB210" w14:textId="77777777" w:rsidR="002620B9" w:rsidRPr="002E47F5" w:rsidRDefault="002620B9" w:rsidP="002620B9">
      <w:pPr>
        <w:pStyle w:val="Ttulo"/>
        <w:jc w:val="both"/>
        <w:rPr>
          <w:rFonts w:ascii="Verdana" w:eastAsia="Cambria" w:hAnsi="Verdana" w:cs="Arial"/>
          <w:b w:val="0"/>
          <w:iCs/>
          <w:sz w:val="22"/>
          <w:szCs w:val="22"/>
        </w:rPr>
      </w:pPr>
      <w:r w:rsidRPr="002E47F5">
        <w:rPr>
          <w:rFonts w:ascii="Verdana" w:eastAsia="Cambria" w:hAnsi="Verdana" w:cs="Arial"/>
          <w:b w:val="0"/>
          <w:iCs/>
          <w:sz w:val="22"/>
          <w:szCs w:val="22"/>
        </w:rPr>
        <w:t xml:space="preserve">Para la determinación del consumo facturable en las fronteras sin reporte al ASIC se debe aplicar lo señalado en la Ley 142 de 1994, así como el artículo 31 de la Resolución CREG 108 de 1997 o aquella que la modifique, adicione o sustituya. </w:t>
      </w:r>
    </w:p>
    <w:p w14:paraId="19BB0202" w14:textId="77777777" w:rsidR="002620B9" w:rsidRPr="002E47F5" w:rsidRDefault="002620B9" w:rsidP="002620B9">
      <w:pPr>
        <w:pStyle w:val="Ttulo"/>
        <w:jc w:val="both"/>
        <w:rPr>
          <w:rFonts w:ascii="Verdana" w:eastAsia="Cambria" w:hAnsi="Verdana" w:cs="Arial"/>
          <w:b w:val="0"/>
          <w:iCs/>
          <w:sz w:val="22"/>
          <w:szCs w:val="22"/>
        </w:rPr>
      </w:pPr>
    </w:p>
    <w:p w14:paraId="3648B34F" w14:textId="77777777" w:rsidR="002620B9" w:rsidRPr="002E47F5" w:rsidRDefault="002620B9" w:rsidP="002620B9">
      <w:pPr>
        <w:pStyle w:val="Ttulo"/>
        <w:jc w:val="both"/>
        <w:rPr>
          <w:rFonts w:ascii="Verdana" w:eastAsia="Cambria" w:hAnsi="Verdana" w:cs="Arial"/>
          <w:b w:val="0"/>
          <w:iCs/>
          <w:sz w:val="22"/>
          <w:szCs w:val="22"/>
        </w:rPr>
      </w:pPr>
      <w:r w:rsidRPr="002E47F5">
        <w:rPr>
          <w:rFonts w:ascii="Verdana" w:eastAsia="Cambria" w:hAnsi="Verdana" w:cs="Arial"/>
          <w:b w:val="0"/>
          <w:iCs/>
          <w:sz w:val="22"/>
          <w:szCs w:val="22"/>
        </w:rPr>
        <w:t xml:space="preserve">Parágrafo: El Consejo Nacional de Operación, dentro de los cuatro (4) meses siguientes a la entrada en vigencia de la presente resolución, debe ajustar, de ser necesario, el Acuerdo No 094 de 2000 para considerar los criterios de coherencia establecidos en el Anexo 8 de la presente resolución. </w:t>
      </w:r>
    </w:p>
    <w:p w14:paraId="1E13BA76" w14:textId="77777777" w:rsidR="002620B9" w:rsidRPr="002E47F5" w:rsidRDefault="002620B9" w:rsidP="002620B9">
      <w:pPr>
        <w:pStyle w:val="Ttulo"/>
        <w:jc w:val="both"/>
        <w:rPr>
          <w:rFonts w:ascii="Verdana" w:eastAsia="Cambria" w:hAnsi="Verdana" w:cs="Arial"/>
          <w:b w:val="0"/>
          <w:iCs/>
          <w:sz w:val="22"/>
          <w:szCs w:val="22"/>
        </w:rPr>
      </w:pPr>
    </w:p>
    <w:p w14:paraId="75E515C2" w14:textId="77777777" w:rsidR="002620B9" w:rsidRDefault="002620B9" w:rsidP="002620B9">
      <w:pPr>
        <w:pStyle w:val="Ttulo"/>
        <w:jc w:val="both"/>
        <w:rPr>
          <w:rFonts w:ascii="Verdana" w:eastAsia="Cambria" w:hAnsi="Verdana" w:cs="Arial"/>
          <w:b w:val="0"/>
          <w:iCs/>
          <w:sz w:val="22"/>
          <w:szCs w:val="22"/>
        </w:rPr>
      </w:pPr>
      <w:r w:rsidRPr="002E47F5">
        <w:rPr>
          <w:rFonts w:ascii="Verdana" w:eastAsia="Cambria" w:hAnsi="Verdana" w:cs="Arial"/>
          <w:b w:val="0"/>
          <w:iCs/>
          <w:sz w:val="22"/>
          <w:szCs w:val="22"/>
        </w:rPr>
        <w:t>El CNO pondrá en conocimiento del Comité Asesor de Comercialización, para sus comentarios, los ajustes que considere necesarios al Acuerdo No 094 de 2000.”</w:t>
      </w:r>
    </w:p>
    <w:p w14:paraId="7080ABF5" w14:textId="77777777" w:rsidR="00615806" w:rsidRDefault="00615806" w:rsidP="002620B9">
      <w:pPr>
        <w:pStyle w:val="Ttulo"/>
        <w:jc w:val="both"/>
        <w:rPr>
          <w:rFonts w:ascii="Verdana" w:eastAsia="Cambria" w:hAnsi="Verdana" w:cs="Arial"/>
          <w:b w:val="0"/>
          <w:iCs/>
          <w:sz w:val="22"/>
          <w:szCs w:val="22"/>
        </w:rPr>
      </w:pPr>
    </w:p>
    <w:p w14:paraId="1351D935" w14:textId="77777777" w:rsidR="00615806" w:rsidRDefault="00615806" w:rsidP="00615806">
      <w:pPr>
        <w:pStyle w:val="Ttulo"/>
        <w:jc w:val="both"/>
        <w:rPr>
          <w:rFonts w:ascii="Verdana" w:eastAsia="Cambria" w:hAnsi="Verdana" w:cs="Arial"/>
          <w:b w:val="0"/>
          <w:iCs/>
          <w:sz w:val="22"/>
          <w:szCs w:val="22"/>
        </w:rPr>
      </w:pPr>
      <w:r>
        <w:rPr>
          <w:rFonts w:ascii="Verdana" w:eastAsia="Cambria" w:hAnsi="Verdana" w:cs="Arial"/>
          <w:b w:val="0"/>
          <w:iCs/>
          <w:sz w:val="22"/>
          <w:szCs w:val="22"/>
        </w:rPr>
        <w:t>La Res</w:t>
      </w:r>
      <w:r w:rsidR="00A5743E">
        <w:rPr>
          <w:rFonts w:ascii="Verdana" w:eastAsia="Cambria" w:hAnsi="Verdana" w:cs="Arial"/>
          <w:b w:val="0"/>
          <w:iCs/>
          <w:sz w:val="22"/>
          <w:szCs w:val="22"/>
        </w:rPr>
        <w:t xml:space="preserve">olución </w:t>
      </w:r>
      <w:r>
        <w:rPr>
          <w:rFonts w:ascii="Verdana" w:eastAsia="Cambria" w:hAnsi="Verdana" w:cs="Arial"/>
          <w:b w:val="0"/>
          <w:iCs/>
          <w:sz w:val="22"/>
          <w:szCs w:val="22"/>
        </w:rPr>
        <w:t>CREG 051 de 2020 estable</w:t>
      </w:r>
      <w:r w:rsidR="00A5743E">
        <w:rPr>
          <w:rFonts w:ascii="Verdana" w:eastAsia="Cambria" w:hAnsi="Verdana" w:cs="Arial"/>
          <w:b w:val="0"/>
          <w:iCs/>
          <w:sz w:val="22"/>
          <w:szCs w:val="22"/>
        </w:rPr>
        <w:t>ce</w:t>
      </w:r>
      <w:r>
        <w:rPr>
          <w:rFonts w:ascii="Verdana" w:eastAsia="Cambria" w:hAnsi="Verdana" w:cs="Arial"/>
          <w:b w:val="0"/>
          <w:iCs/>
          <w:sz w:val="22"/>
          <w:szCs w:val="22"/>
        </w:rPr>
        <w:t xml:space="preserve"> en el parágrafo 2 del artículo 1 que:</w:t>
      </w:r>
    </w:p>
    <w:p w14:paraId="46067BD4" w14:textId="77777777" w:rsidR="00615806" w:rsidRDefault="00615806" w:rsidP="00615806">
      <w:pPr>
        <w:pStyle w:val="Ttulo"/>
        <w:jc w:val="both"/>
        <w:rPr>
          <w:rFonts w:ascii="Verdana" w:eastAsia="Cambria" w:hAnsi="Verdana" w:cs="Arial"/>
          <w:b w:val="0"/>
          <w:iCs/>
          <w:sz w:val="22"/>
          <w:szCs w:val="22"/>
        </w:rPr>
      </w:pPr>
    </w:p>
    <w:p w14:paraId="01C948FD" w14:textId="77777777" w:rsidR="00615806" w:rsidRPr="00A5743E" w:rsidRDefault="00615806" w:rsidP="00615806">
      <w:pPr>
        <w:pStyle w:val="Ttulo"/>
        <w:jc w:val="both"/>
        <w:rPr>
          <w:rFonts w:ascii="Verdana" w:eastAsia="Cambria" w:hAnsi="Verdana" w:cs="Arial"/>
          <w:b w:val="0"/>
          <w:i/>
          <w:sz w:val="22"/>
          <w:szCs w:val="22"/>
        </w:rPr>
      </w:pPr>
      <w:r w:rsidRPr="00A5743E">
        <w:rPr>
          <w:rFonts w:ascii="Verdana" w:eastAsia="Cambria" w:hAnsi="Verdana" w:cs="Arial"/>
          <w:b w:val="0"/>
          <w:i/>
          <w:sz w:val="22"/>
          <w:szCs w:val="22"/>
        </w:rPr>
        <w:t>“El Consejo Nacional de Operación deberá actualizar en un plazo de cinco (5) días hábiles siguientes a la entrada en vigencia de la presente resolución, en caso de que lo considere procedente, el Acuerdo 700 del 16 de septiembre de 2014 para la estimación de curvas típicas de carga”.</w:t>
      </w:r>
    </w:p>
    <w:p w14:paraId="2201C4A4" w14:textId="77777777" w:rsidR="00615806" w:rsidRPr="002E47F5" w:rsidRDefault="00615806" w:rsidP="002620B9">
      <w:pPr>
        <w:pStyle w:val="Ttulo"/>
        <w:jc w:val="both"/>
        <w:rPr>
          <w:rFonts w:ascii="Verdana" w:eastAsia="Cambria" w:hAnsi="Verdana" w:cs="Arial"/>
          <w:b w:val="0"/>
          <w:iCs/>
          <w:sz w:val="22"/>
          <w:szCs w:val="22"/>
        </w:rPr>
      </w:pPr>
    </w:p>
    <w:p w14:paraId="38E179EF" w14:textId="77777777" w:rsidR="002620B9" w:rsidRPr="002E47F5" w:rsidRDefault="002620B9" w:rsidP="002620B9">
      <w:pPr>
        <w:pStyle w:val="Ttulo"/>
        <w:jc w:val="both"/>
        <w:rPr>
          <w:rFonts w:ascii="Verdana" w:eastAsia="Cambria" w:hAnsi="Verdana" w:cs="Arial"/>
          <w:b w:val="0"/>
          <w:iCs/>
          <w:sz w:val="22"/>
          <w:szCs w:val="22"/>
        </w:rPr>
      </w:pPr>
    </w:p>
    <w:p w14:paraId="3D0F92B3" w14:textId="77777777" w:rsidR="002620B9" w:rsidRPr="002E47F5" w:rsidRDefault="002620B9" w:rsidP="002620B9">
      <w:pPr>
        <w:pStyle w:val="Ttulo"/>
        <w:jc w:val="both"/>
        <w:rPr>
          <w:rFonts w:ascii="Verdana" w:eastAsia="Cambria" w:hAnsi="Verdana" w:cs="Arial"/>
          <w:iCs/>
          <w:sz w:val="22"/>
          <w:szCs w:val="22"/>
        </w:rPr>
      </w:pPr>
      <w:r w:rsidRPr="002E47F5">
        <w:rPr>
          <w:rFonts w:ascii="Verdana" w:eastAsia="Cambria" w:hAnsi="Verdana" w:cs="Arial"/>
          <w:iCs/>
          <w:sz w:val="22"/>
          <w:szCs w:val="22"/>
        </w:rPr>
        <w:t xml:space="preserve">3. CÁLCULO DE CURVAS TÍPICAS </w:t>
      </w:r>
    </w:p>
    <w:p w14:paraId="197BC4CE" w14:textId="77777777" w:rsidR="002620B9" w:rsidRPr="002E47F5" w:rsidRDefault="002620B9" w:rsidP="002620B9">
      <w:pPr>
        <w:pStyle w:val="Ttulo"/>
        <w:jc w:val="both"/>
        <w:rPr>
          <w:rFonts w:ascii="Verdana" w:eastAsia="Cambria" w:hAnsi="Verdana" w:cs="Arial"/>
          <w:b w:val="0"/>
          <w:iCs/>
          <w:sz w:val="22"/>
          <w:szCs w:val="22"/>
        </w:rPr>
      </w:pPr>
    </w:p>
    <w:p w14:paraId="3C39DC44" w14:textId="77777777" w:rsidR="002620B9" w:rsidRPr="002E47F5" w:rsidRDefault="002620B9" w:rsidP="002620B9">
      <w:pPr>
        <w:pStyle w:val="Ttulo"/>
        <w:jc w:val="both"/>
        <w:rPr>
          <w:rFonts w:ascii="Verdana" w:eastAsia="Cambria" w:hAnsi="Verdana" w:cs="Arial"/>
          <w:b w:val="0"/>
          <w:iCs/>
          <w:sz w:val="22"/>
          <w:szCs w:val="22"/>
        </w:rPr>
      </w:pPr>
      <w:r w:rsidRPr="002E47F5">
        <w:rPr>
          <w:rFonts w:ascii="Verdana" w:eastAsia="Cambria" w:hAnsi="Verdana" w:cs="Arial"/>
          <w:b w:val="0"/>
          <w:iCs/>
          <w:sz w:val="22"/>
          <w:szCs w:val="22"/>
        </w:rPr>
        <w:t>Los agentes comercializadores, en el momento de solicitar el registro de una  frontera comercial que se registra por primera vez en el ASIC, deben enviar al ASIC las curvas típicas de dicha frontera, en el formato que hace parte de los documentos que se deben presentar en el procedimiento de registro de fronteras comerciales.</w:t>
      </w:r>
    </w:p>
    <w:p w14:paraId="12C3F6D8" w14:textId="77777777" w:rsidR="002620B9" w:rsidRPr="002E47F5" w:rsidRDefault="002620B9" w:rsidP="002620B9">
      <w:pPr>
        <w:pStyle w:val="Ttulo"/>
        <w:jc w:val="both"/>
        <w:rPr>
          <w:rFonts w:ascii="Verdana" w:eastAsia="Cambria" w:hAnsi="Verdana" w:cs="Arial"/>
          <w:b w:val="0"/>
          <w:iCs/>
          <w:sz w:val="22"/>
          <w:szCs w:val="22"/>
        </w:rPr>
      </w:pPr>
    </w:p>
    <w:p w14:paraId="02E183A8" w14:textId="77777777" w:rsidR="002620B9" w:rsidRPr="002E47F5" w:rsidRDefault="002620B9" w:rsidP="002620B9">
      <w:pPr>
        <w:pStyle w:val="Ttulo"/>
        <w:jc w:val="both"/>
        <w:rPr>
          <w:rFonts w:ascii="Verdana" w:eastAsia="Cambria" w:hAnsi="Verdana" w:cs="Arial"/>
          <w:b w:val="0"/>
          <w:iCs/>
          <w:sz w:val="22"/>
          <w:szCs w:val="22"/>
        </w:rPr>
      </w:pPr>
      <w:r w:rsidRPr="002E47F5">
        <w:rPr>
          <w:rFonts w:ascii="Verdana" w:eastAsia="Cambria" w:hAnsi="Verdana" w:cs="Arial"/>
          <w:b w:val="0"/>
          <w:iCs/>
          <w:sz w:val="22"/>
          <w:szCs w:val="22"/>
        </w:rPr>
        <w:t>El procedimiento para el cálculo de las curvas típicas para las fronteras comerciales del mercado de energía mayorista es el siguiente:</w:t>
      </w:r>
    </w:p>
    <w:p w14:paraId="20846693" w14:textId="77777777" w:rsidR="002620B9" w:rsidRPr="002E47F5" w:rsidRDefault="002620B9" w:rsidP="002620B9">
      <w:pPr>
        <w:pStyle w:val="Ttulo"/>
        <w:jc w:val="both"/>
        <w:rPr>
          <w:rFonts w:ascii="Verdana" w:eastAsia="Cambria" w:hAnsi="Verdana" w:cs="Arial"/>
          <w:b w:val="0"/>
          <w:iCs/>
          <w:sz w:val="22"/>
          <w:szCs w:val="22"/>
        </w:rPr>
      </w:pPr>
    </w:p>
    <w:p w14:paraId="125FE522" w14:textId="77777777" w:rsidR="002620B9" w:rsidRPr="002E47F5" w:rsidRDefault="002620B9" w:rsidP="002620B9">
      <w:pPr>
        <w:pStyle w:val="Ttulo"/>
        <w:jc w:val="both"/>
        <w:rPr>
          <w:rFonts w:ascii="Verdana" w:eastAsia="Cambria" w:hAnsi="Verdana" w:cs="Arial"/>
          <w:iCs/>
          <w:sz w:val="22"/>
          <w:szCs w:val="22"/>
        </w:rPr>
      </w:pPr>
      <w:r w:rsidRPr="002E47F5">
        <w:rPr>
          <w:rFonts w:ascii="Verdana" w:eastAsia="Cambria" w:hAnsi="Verdana" w:cs="Arial"/>
          <w:iCs/>
          <w:sz w:val="22"/>
          <w:szCs w:val="22"/>
        </w:rPr>
        <w:t>a. Para fronteras de Usuarios Finales, Consumos Propios de Generación o de Subestaciones:</w:t>
      </w:r>
    </w:p>
    <w:p w14:paraId="03E5F7A9" w14:textId="77777777" w:rsidR="002620B9" w:rsidRPr="002E47F5" w:rsidRDefault="002620B9" w:rsidP="002620B9">
      <w:pPr>
        <w:pStyle w:val="Subttulo"/>
        <w:spacing w:before="0" w:after="0"/>
        <w:jc w:val="both"/>
        <w:rPr>
          <w:rFonts w:ascii="Verdana" w:hAnsi="Verdana"/>
          <w:i w:val="0"/>
          <w:sz w:val="22"/>
          <w:szCs w:val="22"/>
          <w:lang w:val="es-MX" w:eastAsia="ar-SA"/>
        </w:rPr>
      </w:pPr>
    </w:p>
    <w:p w14:paraId="285ACB9D" w14:textId="77777777" w:rsidR="002620B9" w:rsidRPr="002E47F5" w:rsidRDefault="002620B9" w:rsidP="002620B9">
      <w:pPr>
        <w:pStyle w:val="Ttulo"/>
        <w:jc w:val="both"/>
        <w:rPr>
          <w:rFonts w:ascii="Verdana" w:eastAsia="Cambria" w:hAnsi="Verdana" w:cs="Arial"/>
          <w:b w:val="0"/>
          <w:iCs/>
          <w:sz w:val="22"/>
          <w:szCs w:val="22"/>
        </w:rPr>
      </w:pPr>
      <w:r w:rsidRPr="002E47F5">
        <w:rPr>
          <w:rFonts w:ascii="Verdana" w:eastAsia="Cambria" w:hAnsi="Verdana" w:cs="Arial"/>
          <w:b w:val="0"/>
          <w:iCs/>
          <w:sz w:val="22"/>
          <w:szCs w:val="22"/>
        </w:rPr>
        <w:t xml:space="preserve">• El ASIC calcula mensualmente las curvas típicas de carga por frontera de consumo, tomando como base la información de los últimos seis meses facturados, discriminando curvas típicas para cada uno de los ocho tipos de día definidos (Lunes, Martes, Miércoles, Jueves, Viernes, Sábado, Domingo, y Festivo). El valor asignado como curva típica de demanda,  corresponde a la media aritmética de los últimos seis meses para cada uno de los tipos de día señalados. </w:t>
      </w:r>
    </w:p>
    <w:p w14:paraId="3E4208DF" w14:textId="77777777" w:rsidR="002620B9" w:rsidRPr="002E47F5" w:rsidRDefault="002620B9" w:rsidP="002620B9">
      <w:pPr>
        <w:pStyle w:val="Ttulo"/>
        <w:jc w:val="both"/>
        <w:rPr>
          <w:rFonts w:ascii="Verdana" w:eastAsia="Cambria" w:hAnsi="Verdana" w:cs="Arial"/>
          <w:b w:val="0"/>
          <w:iCs/>
          <w:sz w:val="22"/>
          <w:szCs w:val="22"/>
        </w:rPr>
      </w:pPr>
    </w:p>
    <w:p w14:paraId="065B2DC1" w14:textId="77777777" w:rsidR="002620B9" w:rsidRPr="002E47F5" w:rsidRDefault="002620B9" w:rsidP="002620B9">
      <w:pPr>
        <w:pStyle w:val="Ttulo"/>
        <w:jc w:val="both"/>
        <w:rPr>
          <w:rFonts w:ascii="Verdana" w:eastAsia="Cambria" w:hAnsi="Verdana" w:cs="Arial"/>
          <w:b w:val="0"/>
          <w:iCs/>
          <w:sz w:val="22"/>
          <w:szCs w:val="22"/>
        </w:rPr>
      </w:pPr>
      <w:r w:rsidRPr="002E47F5">
        <w:rPr>
          <w:rFonts w:ascii="Verdana" w:eastAsia="Cambria" w:hAnsi="Verdana" w:cs="Arial"/>
          <w:b w:val="0"/>
          <w:iCs/>
          <w:sz w:val="22"/>
          <w:szCs w:val="22"/>
        </w:rPr>
        <w:lastRenderedPageBreak/>
        <w:t>• Cuando se dispone de información histórica parcial para los seis meses seleccionados, el ASIC usará para el cálculo, la información de los meses que tenga disponible a la fecha en que se realiza el cálculo.</w:t>
      </w:r>
    </w:p>
    <w:p w14:paraId="72F6F750" w14:textId="77777777" w:rsidR="002620B9" w:rsidRPr="002E47F5" w:rsidRDefault="002620B9" w:rsidP="002620B9">
      <w:pPr>
        <w:pStyle w:val="Ttulo"/>
        <w:jc w:val="both"/>
        <w:rPr>
          <w:rFonts w:ascii="Verdana" w:eastAsia="Cambria" w:hAnsi="Verdana" w:cs="Arial"/>
          <w:b w:val="0"/>
          <w:iCs/>
          <w:sz w:val="22"/>
          <w:szCs w:val="22"/>
        </w:rPr>
      </w:pPr>
    </w:p>
    <w:p w14:paraId="077AACBB" w14:textId="77777777" w:rsidR="002620B9" w:rsidRPr="002E47F5" w:rsidRDefault="002620B9" w:rsidP="002620B9">
      <w:pPr>
        <w:pStyle w:val="Ttulo"/>
        <w:jc w:val="both"/>
        <w:rPr>
          <w:rFonts w:ascii="Verdana" w:eastAsia="Cambria" w:hAnsi="Verdana" w:cs="Arial"/>
          <w:b w:val="0"/>
          <w:iCs/>
          <w:sz w:val="22"/>
          <w:szCs w:val="22"/>
        </w:rPr>
      </w:pPr>
      <w:r w:rsidRPr="002E47F5">
        <w:rPr>
          <w:rFonts w:ascii="Verdana" w:eastAsia="Cambria" w:hAnsi="Verdana" w:cs="Arial"/>
          <w:b w:val="0"/>
          <w:iCs/>
          <w:sz w:val="22"/>
          <w:szCs w:val="22"/>
        </w:rPr>
        <w:t>• Curva típica actualizada por el agente: Corresponde a la curva enviada por el agente representante de la frontera comercial con posterioridad al registro de la misma, la cual permite considerar cambios en la demanda como los relacionados con consumos estacionales. Se debe relacionar claramente su fecha inicial de vigencia, y se debe indicar los valores para cada uno de los ocho tipos de día (Lunes, Martes, Miércoles, Jueves, Viernes, Sábado, Domingo, y Festivo) en sus veinticuatro periodos. La curva típica podrá ser actualizada por el agente representante de la frontera comercial cumpliendo con los formatos</w:t>
      </w:r>
      <w:r w:rsidR="00615806">
        <w:rPr>
          <w:rFonts w:ascii="Verdana" w:eastAsia="Cambria" w:hAnsi="Verdana" w:cs="Arial"/>
          <w:b w:val="0"/>
          <w:iCs/>
          <w:sz w:val="22"/>
          <w:szCs w:val="22"/>
        </w:rPr>
        <w:t xml:space="preserve"> y</w:t>
      </w:r>
      <w:r w:rsidR="00615806" w:rsidRPr="002E47F5">
        <w:rPr>
          <w:rFonts w:ascii="Verdana" w:eastAsia="Cambria" w:hAnsi="Verdana" w:cs="Arial"/>
          <w:b w:val="0"/>
          <w:iCs/>
          <w:sz w:val="22"/>
          <w:szCs w:val="22"/>
        </w:rPr>
        <w:t xml:space="preserve"> </w:t>
      </w:r>
      <w:r w:rsidRPr="002E47F5">
        <w:rPr>
          <w:rFonts w:ascii="Verdana" w:eastAsia="Cambria" w:hAnsi="Verdana" w:cs="Arial"/>
          <w:b w:val="0"/>
          <w:iCs/>
          <w:sz w:val="22"/>
          <w:szCs w:val="22"/>
        </w:rPr>
        <w:t xml:space="preserve">procedimientos </w:t>
      </w:r>
      <w:r w:rsidR="00615806">
        <w:rPr>
          <w:rFonts w:ascii="Verdana" w:eastAsia="Cambria" w:hAnsi="Verdana" w:cs="Arial"/>
          <w:b w:val="0"/>
          <w:iCs/>
          <w:sz w:val="22"/>
          <w:szCs w:val="22"/>
        </w:rPr>
        <w:t>establecidos para tal fin, y el ASIC deberá realizar la respectiva actualización en sus sistemas de información a más tardar el tercer día calendario posterior a la solicitud</w:t>
      </w:r>
      <w:r w:rsidR="00A5743E">
        <w:rPr>
          <w:rFonts w:ascii="Verdana" w:eastAsia="Cambria" w:hAnsi="Verdana" w:cs="Arial"/>
          <w:b w:val="0"/>
          <w:iCs/>
          <w:sz w:val="22"/>
          <w:szCs w:val="22"/>
        </w:rPr>
        <w:t>.</w:t>
      </w:r>
      <w:r w:rsidRPr="002E47F5">
        <w:rPr>
          <w:rFonts w:ascii="Verdana" w:eastAsia="Cambria" w:hAnsi="Verdana" w:cs="Arial"/>
          <w:b w:val="0"/>
          <w:iCs/>
          <w:sz w:val="22"/>
          <w:szCs w:val="22"/>
        </w:rPr>
        <w:t xml:space="preserve"> La curva típica actualizada por el agente estará vigente entre la fecha de registro de la misma en el ASIC y el último día de ese mes.</w:t>
      </w:r>
    </w:p>
    <w:p w14:paraId="08412E5F" w14:textId="77777777" w:rsidR="002620B9" w:rsidRPr="002E47F5" w:rsidRDefault="002620B9" w:rsidP="002620B9">
      <w:pPr>
        <w:pStyle w:val="Ttulo"/>
        <w:jc w:val="both"/>
        <w:rPr>
          <w:rFonts w:ascii="Verdana" w:eastAsia="Cambria" w:hAnsi="Verdana" w:cs="Arial"/>
          <w:b w:val="0"/>
          <w:iCs/>
          <w:sz w:val="22"/>
          <w:szCs w:val="22"/>
        </w:rPr>
      </w:pPr>
    </w:p>
    <w:p w14:paraId="479C9AF9" w14:textId="77777777" w:rsidR="002620B9" w:rsidRPr="002E47F5" w:rsidRDefault="002620B9" w:rsidP="002620B9">
      <w:pPr>
        <w:pStyle w:val="Ttulo"/>
        <w:jc w:val="both"/>
        <w:rPr>
          <w:rFonts w:ascii="Verdana" w:eastAsia="Cambria" w:hAnsi="Verdana" w:cs="Arial"/>
          <w:b w:val="0"/>
          <w:iCs/>
          <w:sz w:val="22"/>
          <w:szCs w:val="22"/>
        </w:rPr>
      </w:pPr>
      <w:r w:rsidRPr="002E47F5">
        <w:rPr>
          <w:rFonts w:ascii="Verdana" w:eastAsia="Cambria" w:hAnsi="Verdana" w:cs="Arial"/>
          <w:iCs/>
          <w:sz w:val="22"/>
          <w:szCs w:val="22"/>
        </w:rPr>
        <w:t>PARÁGRAFO:</w:t>
      </w:r>
      <w:r w:rsidRPr="002E47F5">
        <w:rPr>
          <w:rFonts w:ascii="Verdana" w:eastAsia="Cambria" w:hAnsi="Verdana" w:cs="Arial"/>
          <w:b w:val="0"/>
          <w:iCs/>
          <w:sz w:val="22"/>
          <w:szCs w:val="22"/>
        </w:rPr>
        <w:t xml:space="preserve"> En caso de que no se encuentre información de los medidores principal y de respaldo en cualquiera de los periodos, se aplicará la curva típica para ese día. </w:t>
      </w:r>
    </w:p>
    <w:p w14:paraId="5DF21F97" w14:textId="77777777" w:rsidR="002620B9" w:rsidRPr="002E47F5" w:rsidRDefault="002620B9" w:rsidP="002620B9">
      <w:pPr>
        <w:pStyle w:val="Ttulo"/>
        <w:jc w:val="both"/>
        <w:rPr>
          <w:rFonts w:ascii="Verdana" w:eastAsia="Cambria" w:hAnsi="Verdana" w:cs="Arial"/>
          <w:b w:val="0"/>
          <w:iCs/>
          <w:sz w:val="22"/>
          <w:szCs w:val="22"/>
        </w:rPr>
      </w:pPr>
    </w:p>
    <w:p w14:paraId="2CB2DB98" w14:textId="77777777" w:rsidR="002620B9" w:rsidRPr="002E47F5" w:rsidRDefault="002620B9" w:rsidP="002620B9">
      <w:pPr>
        <w:pStyle w:val="Ttulo"/>
        <w:jc w:val="both"/>
        <w:rPr>
          <w:rFonts w:ascii="Verdana" w:eastAsia="Cambria" w:hAnsi="Verdana" w:cs="Arial"/>
          <w:iCs/>
          <w:sz w:val="22"/>
          <w:szCs w:val="22"/>
        </w:rPr>
      </w:pPr>
      <w:r w:rsidRPr="002E47F5">
        <w:rPr>
          <w:rFonts w:ascii="Verdana" w:eastAsia="Cambria" w:hAnsi="Verdana" w:cs="Arial"/>
          <w:iCs/>
          <w:sz w:val="22"/>
          <w:szCs w:val="22"/>
        </w:rPr>
        <w:t>b. Para Fronteras de Agentes Comercializadores diferentes a Fronteras de Usuarios Finales:</w:t>
      </w:r>
    </w:p>
    <w:p w14:paraId="649F13BC" w14:textId="77777777" w:rsidR="002620B9" w:rsidRPr="002E47F5" w:rsidRDefault="002620B9" w:rsidP="002620B9">
      <w:pPr>
        <w:pStyle w:val="Subttulo"/>
        <w:spacing w:before="0" w:after="0"/>
        <w:jc w:val="both"/>
        <w:rPr>
          <w:rFonts w:ascii="Verdana" w:hAnsi="Verdana"/>
          <w:i w:val="0"/>
          <w:sz w:val="22"/>
          <w:szCs w:val="22"/>
          <w:lang w:val="es-MX" w:eastAsia="ar-SA"/>
        </w:rPr>
      </w:pPr>
    </w:p>
    <w:p w14:paraId="45C4F202" w14:textId="77777777" w:rsidR="002620B9" w:rsidRPr="002E47F5" w:rsidRDefault="002620B9" w:rsidP="002620B9">
      <w:pPr>
        <w:pStyle w:val="Ttulo"/>
        <w:jc w:val="both"/>
        <w:rPr>
          <w:rFonts w:ascii="Verdana" w:eastAsia="Cambria" w:hAnsi="Verdana" w:cs="Arial"/>
          <w:b w:val="0"/>
          <w:iCs/>
          <w:sz w:val="22"/>
          <w:szCs w:val="22"/>
        </w:rPr>
      </w:pPr>
      <w:r w:rsidRPr="002E47F5">
        <w:rPr>
          <w:rFonts w:ascii="Verdana" w:eastAsia="Cambria" w:hAnsi="Verdana" w:cs="Arial"/>
          <w:b w:val="0"/>
          <w:iCs/>
          <w:sz w:val="22"/>
          <w:szCs w:val="22"/>
        </w:rPr>
        <w:t>• Se usará una curva típica de carga igual al último valor reportado para esa frontera, discriminando curvas típicas para cada uno de los ocho tipos de día definidos (Lunes, Martes, Miércoles, Jueves, Viernes, Sábado, Domingo, y Festivo).</w:t>
      </w:r>
    </w:p>
    <w:p w14:paraId="2F8500FB" w14:textId="77777777" w:rsidR="002620B9" w:rsidRPr="002E47F5" w:rsidRDefault="002620B9" w:rsidP="002620B9">
      <w:pPr>
        <w:pStyle w:val="Ttulo"/>
        <w:jc w:val="both"/>
        <w:rPr>
          <w:rFonts w:ascii="Verdana" w:eastAsia="Cambria" w:hAnsi="Verdana" w:cs="Arial"/>
          <w:iCs/>
          <w:sz w:val="22"/>
          <w:szCs w:val="22"/>
        </w:rPr>
      </w:pPr>
    </w:p>
    <w:p w14:paraId="1C837740" w14:textId="77777777" w:rsidR="002620B9" w:rsidRPr="002E47F5" w:rsidRDefault="002620B9" w:rsidP="002620B9">
      <w:pPr>
        <w:pStyle w:val="Ttulo"/>
        <w:jc w:val="both"/>
        <w:rPr>
          <w:rFonts w:ascii="Verdana" w:eastAsia="Cambria" w:hAnsi="Verdana" w:cs="Arial"/>
          <w:b w:val="0"/>
          <w:iCs/>
          <w:sz w:val="22"/>
          <w:szCs w:val="22"/>
        </w:rPr>
      </w:pPr>
      <w:r w:rsidRPr="002E47F5">
        <w:rPr>
          <w:rFonts w:ascii="Verdana" w:eastAsia="Cambria" w:hAnsi="Verdana" w:cs="Arial"/>
          <w:iCs/>
          <w:sz w:val="22"/>
          <w:szCs w:val="22"/>
        </w:rPr>
        <w:t>PARÁGRAFO</w:t>
      </w:r>
      <w:r w:rsidRPr="002E47F5">
        <w:rPr>
          <w:rFonts w:ascii="Verdana" w:eastAsia="Cambria" w:hAnsi="Verdana" w:cs="Arial"/>
          <w:b w:val="0"/>
          <w:iCs/>
          <w:sz w:val="22"/>
          <w:szCs w:val="22"/>
        </w:rPr>
        <w:t>: En caso de que no se encuentre información de los medidores principal y de respaldo en cualquiera de los periodos, se aplicará la curva típica para ese día.</w:t>
      </w:r>
    </w:p>
    <w:p w14:paraId="7A829276" w14:textId="77777777" w:rsidR="002620B9" w:rsidRPr="002E47F5" w:rsidRDefault="002620B9" w:rsidP="002620B9">
      <w:pPr>
        <w:pStyle w:val="Subttulo"/>
        <w:spacing w:before="0"/>
        <w:jc w:val="both"/>
        <w:rPr>
          <w:rFonts w:ascii="Verdana" w:hAnsi="Verdana"/>
          <w:i w:val="0"/>
          <w:sz w:val="22"/>
          <w:szCs w:val="22"/>
          <w:lang w:val="es-MX" w:eastAsia="ar-SA"/>
        </w:rPr>
      </w:pPr>
    </w:p>
    <w:p w14:paraId="7E39AC41" w14:textId="77777777" w:rsidR="002620B9" w:rsidRPr="002E47F5" w:rsidRDefault="002620B9" w:rsidP="002620B9">
      <w:pPr>
        <w:pStyle w:val="Ttulo"/>
        <w:jc w:val="both"/>
        <w:rPr>
          <w:rFonts w:ascii="Verdana" w:eastAsia="Cambria" w:hAnsi="Verdana" w:cs="Arial"/>
          <w:iCs/>
          <w:sz w:val="22"/>
          <w:szCs w:val="22"/>
        </w:rPr>
      </w:pPr>
      <w:r w:rsidRPr="002E47F5">
        <w:rPr>
          <w:rFonts w:ascii="Verdana" w:eastAsia="Cambria" w:hAnsi="Verdana" w:cs="Arial"/>
          <w:iCs/>
          <w:sz w:val="22"/>
          <w:szCs w:val="22"/>
        </w:rPr>
        <w:t>c. Para Fronteras de Generación:</w:t>
      </w:r>
    </w:p>
    <w:p w14:paraId="05922F54" w14:textId="77777777" w:rsidR="002620B9" w:rsidRPr="002E47F5" w:rsidRDefault="002620B9" w:rsidP="002620B9">
      <w:pPr>
        <w:pStyle w:val="Subttulo"/>
        <w:spacing w:before="0" w:after="0"/>
        <w:jc w:val="both"/>
        <w:rPr>
          <w:rFonts w:ascii="Verdana" w:hAnsi="Verdana"/>
          <w:i w:val="0"/>
          <w:sz w:val="22"/>
          <w:szCs w:val="22"/>
          <w:lang w:val="es-MX" w:eastAsia="ar-SA"/>
        </w:rPr>
      </w:pPr>
    </w:p>
    <w:p w14:paraId="542E6AC7" w14:textId="77777777" w:rsidR="002620B9" w:rsidRPr="002E47F5" w:rsidRDefault="002620B9" w:rsidP="002620B9">
      <w:pPr>
        <w:pStyle w:val="Ttulo"/>
        <w:jc w:val="both"/>
        <w:rPr>
          <w:rFonts w:ascii="Verdana" w:eastAsia="Cambria" w:hAnsi="Verdana" w:cs="Arial"/>
          <w:b w:val="0"/>
          <w:iCs/>
          <w:sz w:val="22"/>
          <w:szCs w:val="22"/>
        </w:rPr>
      </w:pPr>
      <w:r w:rsidRPr="002E47F5">
        <w:rPr>
          <w:rFonts w:ascii="Verdana" w:eastAsia="Cambria" w:hAnsi="Verdana" w:cs="Arial"/>
          <w:b w:val="0"/>
          <w:iCs/>
          <w:sz w:val="22"/>
          <w:szCs w:val="22"/>
        </w:rPr>
        <w:t>Para efectos de liquidación del Mercado Mayorista, en las fronteras de entrega de energía de los generadores a cualquiera de las redes de transmisión o distribución, se usará una generación real igual al mínimo valor entre la disponibilidad real y la generación programada para la hora o las horas del día en que se hace necesario aplicar la curva. Este cálculo se realizará por planta o unidad de generación según sea el caso.</w:t>
      </w:r>
    </w:p>
    <w:p w14:paraId="13C33627" w14:textId="77777777" w:rsidR="002620B9" w:rsidRPr="002E47F5" w:rsidRDefault="002620B9" w:rsidP="002620B9">
      <w:pPr>
        <w:pStyle w:val="Ttulo"/>
        <w:jc w:val="both"/>
        <w:rPr>
          <w:rFonts w:ascii="Verdana" w:eastAsia="Cambria" w:hAnsi="Verdana" w:cs="Arial"/>
          <w:b w:val="0"/>
          <w:iCs/>
          <w:sz w:val="22"/>
          <w:szCs w:val="22"/>
        </w:rPr>
      </w:pPr>
    </w:p>
    <w:p w14:paraId="43013230" w14:textId="77777777" w:rsidR="002620B9" w:rsidRPr="002E47F5" w:rsidRDefault="002620B9" w:rsidP="002620B9">
      <w:pPr>
        <w:pStyle w:val="Ttulo"/>
        <w:jc w:val="both"/>
        <w:rPr>
          <w:rFonts w:ascii="Verdana" w:eastAsia="Cambria" w:hAnsi="Verdana" w:cs="Arial"/>
          <w:b w:val="0"/>
          <w:iCs/>
          <w:sz w:val="22"/>
          <w:szCs w:val="22"/>
        </w:rPr>
      </w:pPr>
      <w:r w:rsidRPr="002E47F5">
        <w:rPr>
          <w:rFonts w:ascii="Verdana" w:eastAsia="Cambria" w:hAnsi="Verdana" w:cs="Arial"/>
          <w:iCs/>
          <w:sz w:val="22"/>
          <w:szCs w:val="22"/>
        </w:rPr>
        <w:t>PARÁGRAFO:</w:t>
      </w:r>
      <w:r w:rsidRPr="002E47F5">
        <w:rPr>
          <w:rFonts w:ascii="Verdana" w:eastAsia="Cambria" w:hAnsi="Verdana" w:cs="Arial"/>
          <w:b w:val="0"/>
          <w:iCs/>
          <w:sz w:val="22"/>
          <w:szCs w:val="22"/>
        </w:rPr>
        <w:t xml:space="preserve"> En caso de que no se encuentre información de los medidores principal y de respaldo en cualquiera de los periodos, se aplicará la curva típica para ese día.</w:t>
      </w:r>
    </w:p>
    <w:p w14:paraId="1FEF21DF" w14:textId="77777777" w:rsidR="002620B9" w:rsidRPr="002E47F5" w:rsidRDefault="002620B9" w:rsidP="002620B9">
      <w:pPr>
        <w:pStyle w:val="Ttulo"/>
        <w:jc w:val="both"/>
        <w:rPr>
          <w:rFonts w:ascii="Verdana" w:eastAsia="Cambria" w:hAnsi="Verdana" w:cs="Arial"/>
          <w:b w:val="0"/>
          <w:iCs/>
          <w:sz w:val="22"/>
          <w:szCs w:val="22"/>
        </w:rPr>
      </w:pPr>
    </w:p>
    <w:p w14:paraId="33F337F6" w14:textId="77777777" w:rsidR="002620B9" w:rsidRPr="002E47F5" w:rsidRDefault="002620B9" w:rsidP="002620B9">
      <w:pPr>
        <w:pStyle w:val="Ttulo"/>
        <w:jc w:val="both"/>
        <w:rPr>
          <w:rFonts w:ascii="Verdana" w:eastAsia="Cambria" w:hAnsi="Verdana" w:cs="Arial"/>
          <w:iCs/>
          <w:sz w:val="22"/>
          <w:szCs w:val="22"/>
        </w:rPr>
      </w:pPr>
      <w:r w:rsidRPr="002E47F5">
        <w:rPr>
          <w:rFonts w:ascii="Verdana" w:eastAsia="Cambria" w:hAnsi="Verdana" w:cs="Arial"/>
          <w:iCs/>
          <w:sz w:val="22"/>
          <w:szCs w:val="22"/>
        </w:rPr>
        <w:lastRenderedPageBreak/>
        <w:t xml:space="preserve">4. APLICACIÓN DE CURVAS TÍPICAS </w:t>
      </w:r>
    </w:p>
    <w:p w14:paraId="14B6AAF1" w14:textId="77777777" w:rsidR="002620B9" w:rsidRPr="002E47F5" w:rsidRDefault="002620B9" w:rsidP="002620B9">
      <w:pPr>
        <w:pStyle w:val="Ttulo"/>
        <w:jc w:val="both"/>
        <w:rPr>
          <w:rFonts w:ascii="Verdana" w:eastAsia="Cambria" w:hAnsi="Verdana" w:cs="Arial"/>
          <w:b w:val="0"/>
          <w:iCs/>
          <w:sz w:val="22"/>
          <w:szCs w:val="22"/>
        </w:rPr>
      </w:pPr>
    </w:p>
    <w:p w14:paraId="3EC89979" w14:textId="77777777" w:rsidR="002620B9" w:rsidRPr="002E47F5" w:rsidRDefault="002620B9" w:rsidP="002620B9">
      <w:pPr>
        <w:pStyle w:val="Ttulo"/>
        <w:jc w:val="both"/>
        <w:rPr>
          <w:rFonts w:ascii="Verdana" w:eastAsia="Cambria" w:hAnsi="Verdana" w:cs="Arial"/>
          <w:b w:val="0"/>
          <w:iCs/>
          <w:sz w:val="22"/>
          <w:szCs w:val="22"/>
        </w:rPr>
      </w:pPr>
      <w:r w:rsidRPr="002E47F5">
        <w:rPr>
          <w:rFonts w:ascii="Verdana" w:eastAsia="Cambria" w:hAnsi="Verdana" w:cs="Arial"/>
          <w:b w:val="0"/>
          <w:iCs/>
          <w:sz w:val="22"/>
          <w:szCs w:val="22"/>
        </w:rPr>
        <w:t>La información de la curva típica de carga enviada en el momento de la inscripción</w:t>
      </w:r>
      <w:r w:rsidR="00A5743E">
        <w:rPr>
          <w:rFonts w:ascii="Verdana" w:eastAsia="Cambria" w:hAnsi="Verdana" w:cs="Arial"/>
          <w:b w:val="0"/>
          <w:iCs/>
          <w:sz w:val="22"/>
          <w:szCs w:val="22"/>
        </w:rPr>
        <w:t>,</w:t>
      </w:r>
      <w:r w:rsidRPr="002E47F5">
        <w:rPr>
          <w:rFonts w:ascii="Verdana" w:eastAsia="Cambria" w:hAnsi="Verdana" w:cs="Arial"/>
          <w:b w:val="0"/>
          <w:iCs/>
          <w:sz w:val="22"/>
          <w:szCs w:val="22"/>
        </w:rPr>
        <w:t xml:space="preserve"> o en posteriores solicitudes de actualización por el agente, o la calculada por el ASIC, se utilizará en los siguientes casos:</w:t>
      </w:r>
    </w:p>
    <w:p w14:paraId="30B47A18" w14:textId="77777777" w:rsidR="002620B9" w:rsidRPr="002E47F5" w:rsidRDefault="002620B9" w:rsidP="002620B9">
      <w:pPr>
        <w:pStyle w:val="Subttulo"/>
        <w:spacing w:before="0" w:after="0"/>
        <w:jc w:val="both"/>
        <w:rPr>
          <w:rFonts w:ascii="Verdana" w:hAnsi="Verdana"/>
          <w:i w:val="0"/>
          <w:sz w:val="22"/>
          <w:szCs w:val="22"/>
          <w:lang w:val="es-MX" w:eastAsia="ar-SA"/>
        </w:rPr>
      </w:pPr>
    </w:p>
    <w:p w14:paraId="16BCBAF8" w14:textId="77777777" w:rsidR="002620B9" w:rsidRPr="002E47F5" w:rsidRDefault="002620B9" w:rsidP="002620B9">
      <w:pPr>
        <w:pStyle w:val="Ttulo"/>
        <w:jc w:val="both"/>
        <w:rPr>
          <w:rFonts w:ascii="Verdana" w:eastAsia="Cambria" w:hAnsi="Verdana" w:cs="Arial"/>
          <w:b w:val="0"/>
          <w:iCs/>
          <w:sz w:val="22"/>
          <w:szCs w:val="22"/>
        </w:rPr>
      </w:pPr>
      <w:r w:rsidRPr="002E47F5">
        <w:rPr>
          <w:rFonts w:ascii="Verdana" w:eastAsia="Cambria" w:hAnsi="Verdana" w:cs="Arial"/>
          <w:b w:val="0"/>
          <w:iCs/>
          <w:sz w:val="22"/>
          <w:szCs w:val="22"/>
        </w:rPr>
        <w:t xml:space="preserve">• En las fronteras comerciales para las que la información enviada por los agentes no cumple con el formato definido por el ASIC para el reporte de las lecturas de los medidores de energía. </w:t>
      </w:r>
    </w:p>
    <w:p w14:paraId="615D842C" w14:textId="77777777" w:rsidR="002620B9" w:rsidRPr="002E47F5" w:rsidRDefault="002620B9" w:rsidP="002620B9">
      <w:pPr>
        <w:pStyle w:val="Ttulo"/>
        <w:jc w:val="both"/>
        <w:rPr>
          <w:rFonts w:ascii="Verdana" w:eastAsia="Cambria" w:hAnsi="Verdana" w:cs="Arial"/>
          <w:b w:val="0"/>
          <w:iCs/>
          <w:sz w:val="22"/>
          <w:szCs w:val="22"/>
        </w:rPr>
      </w:pPr>
    </w:p>
    <w:p w14:paraId="5BA48225" w14:textId="77777777" w:rsidR="002620B9" w:rsidRPr="002E47F5" w:rsidRDefault="002620B9" w:rsidP="002620B9">
      <w:pPr>
        <w:pStyle w:val="Ttulo"/>
        <w:jc w:val="both"/>
        <w:rPr>
          <w:rFonts w:ascii="Verdana" w:eastAsia="Cambria" w:hAnsi="Verdana" w:cs="Arial"/>
          <w:b w:val="0"/>
          <w:iCs/>
          <w:sz w:val="22"/>
          <w:szCs w:val="22"/>
        </w:rPr>
      </w:pPr>
      <w:r w:rsidRPr="002E47F5">
        <w:rPr>
          <w:rFonts w:ascii="Verdana" w:eastAsia="Cambria" w:hAnsi="Verdana" w:cs="Arial"/>
          <w:b w:val="0"/>
          <w:iCs/>
          <w:sz w:val="22"/>
          <w:szCs w:val="22"/>
        </w:rPr>
        <w:t xml:space="preserve">• En las fronteras comerciales para las que no se envían los datos de lectura de medidores de energía dentro de los plazos establecidos en la reglamentación vigente. </w:t>
      </w:r>
    </w:p>
    <w:p w14:paraId="5121B070" w14:textId="77777777" w:rsidR="002620B9" w:rsidRPr="002E47F5" w:rsidRDefault="002620B9" w:rsidP="002620B9">
      <w:pPr>
        <w:pStyle w:val="Ttulo"/>
        <w:jc w:val="both"/>
        <w:rPr>
          <w:rFonts w:ascii="Verdana" w:eastAsia="Cambria" w:hAnsi="Verdana" w:cs="Arial"/>
          <w:b w:val="0"/>
          <w:iCs/>
          <w:sz w:val="22"/>
          <w:szCs w:val="22"/>
        </w:rPr>
      </w:pPr>
    </w:p>
    <w:p w14:paraId="147AA137" w14:textId="77777777" w:rsidR="002620B9" w:rsidRPr="002E47F5" w:rsidRDefault="002620B9" w:rsidP="002620B9">
      <w:pPr>
        <w:pStyle w:val="Ttulo"/>
        <w:jc w:val="both"/>
        <w:rPr>
          <w:rFonts w:ascii="Verdana" w:eastAsia="Cambria" w:hAnsi="Verdana" w:cs="Arial"/>
          <w:b w:val="0"/>
          <w:iCs/>
          <w:sz w:val="22"/>
          <w:szCs w:val="22"/>
        </w:rPr>
      </w:pPr>
      <w:r w:rsidRPr="002E47F5">
        <w:rPr>
          <w:rFonts w:ascii="Verdana" w:eastAsia="Cambria" w:hAnsi="Verdana" w:cs="Arial"/>
          <w:iCs/>
          <w:sz w:val="22"/>
          <w:szCs w:val="22"/>
        </w:rPr>
        <w:t>PARÁGRAFO</w:t>
      </w:r>
      <w:r w:rsidRPr="002E47F5">
        <w:rPr>
          <w:rFonts w:ascii="Verdana" w:eastAsia="Cambria" w:hAnsi="Verdana" w:cs="Arial"/>
          <w:b w:val="0"/>
          <w:iCs/>
          <w:sz w:val="22"/>
          <w:szCs w:val="22"/>
        </w:rPr>
        <w:t>: Si para una misma fecha de operación hay varias curvas típicas de carga disponibles, el ASIC aplicará como primera opción la curva típica actualizada por el agente</w:t>
      </w:r>
      <w:r w:rsidR="00A5743E">
        <w:rPr>
          <w:rFonts w:ascii="Verdana" w:eastAsia="Cambria" w:hAnsi="Verdana" w:cs="Arial"/>
          <w:b w:val="0"/>
          <w:iCs/>
          <w:sz w:val="22"/>
          <w:szCs w:val="22"/>
        </w:rPr>
        <w:t>,</w:t>
      </w:r>
      <w:r w:rsidRPr="002E47F5">
        <w:rPr>
          <w:rFonts w:ascii="Verdana" w:eastAsia="Cambria" w:hAnsi="Verdana" w:cs="Arial"/>
          <w:b w:val="0"/>
          <w:iCs/>
          <w:sz w:val="22"/>
          <w:szCs w:val="22"/>
        </w:rPr>
        <w:t xml:space="preserve"> o en su defecto la curva típica calculada por el ASIC.</w:t>
      </w:r>
    </w:p>
    <w:sectPr w:rsidR="002620B9" w:rsidRPr="002E47F5" w:rsidSect="002E47F5">
      <w:headerReference w:type="default" r:id="rId7"/>
      <w:footerReference w:type="default" r:id="rId8"/>
      <w:headerReference w:type="first" r:id="rId9"/>
      <w:footerReference w:type="first" r:id="rId10"/>
      <w:pgSz w:w="12242" w:h="15842" w:code="1"/>
      <w:pgMar w:top="851" w:right="1418" w:bottom="851" w:left="1985" w:header="737" w:footer="7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DA894" w14:textId="77777777" w:rsidR="005A5CEF" w:rsidRDefault="005A5CEF">
      <w:r>
        <w:separator/>
      </w:r>
    </w:p>
  </w:endnote>
  <w:endnote w:type="continuationSeparator" w:id="0">
    <w:p w14:paraId="48F41DAC" w14:textId="77777777" w:rsidR="005A5CEF" w:rsidRDefault="005A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75DDC" w14:textId="77777777" w:rsidR="00657818" w:rsidRPr="00657818" w:rsidRDefault="00657818" w:rsidP="00657818">
    <w:pPr>
      <w:pStyle w:val="Piedepgina"/>
      <w:pBdr>
        <w:top w:val="single" w:sz="4" w:space="1" w:color="auto"/>
      </w:pBdr>
      <w:jc w:val="right"/>
      <w:rPr>
        <w:rFonts w:ascii="Verdana" w:hAnsi="Verdana"/>
      </w:rPr>
    </w:pPr>
    <w:r w:rsidRPr="00657818">
      <w:rPr>
        <w:rFonts w:ascii="Verdana" w:hAnsi="Verdana"/>
      </w:rPr>
      <w:t xml:space="preserve">ACUERDO </w:t>
    </w:r>
    <w:r w:rsidR="000A1B40">
      <w:rPr>
        <w:rFonts w:ascii="Verdana" w:hAnsi="Verdana"/>
      </w:rPr>
      <w:t>XXXX</w:t>
    </w:r>
  </w:p>
  <w:p w14:paraId="56189FB5" w14:textId="77777777" w:rsidR="00657818" w:rsidRDefault="00657818" w:rsidP="00657818">
    <w:pPr>
      <w:pStyle w:val="Piedepgina"/>
      <w:jc w:val="right"/>
    </w:pPr>
    <w:r w:rsidRPr="00657818">
      <w:rPr>
        <w:rStyle w:val="Nmerodepgina"/>
        <w:rFonts w:ascii="Verdana" w:hAnsi="Verdana"/>
      </w:rPr>
      <w:fldChar w:fldCharType="begin"/>
    </w:r>
    <w:r w:rsidRPr="00657818">
      <w:rPr>
        <w:rStyle w:val="Nmerodepgina"/>
        <w:rFonts w:ascii="Verdana" w:hAnsi="Verdana"/>
      </w:rPr>
      <w:instrText xml:space="preserve"> PAGE </w:instrText>
    </w:r>
    <w:r w:rsidRPr="00657818">
      <w:rPr>
        <w:rStyle w:val="Nmerodepgina"/>
        <w:rFonts w:ascii="Verdana" w:hAnsi="Verdana"/>
      </w:rPr>
      <w:fldChar w:fldCharType="separate"/>
    </w:r>
    <w:r w:rsidR="00BF3997">
      <w:rPr>
        <w:rStyle w:val="Nmerodepgina"/>
        <w:rFonts w:ascii="Verdana" w:hAnsi="Verdana"/>
        <w:noProof/>
      </w:rPr>
      <w:t>6</w:t>
    </w:r>
    <w:r w:rsidRPr="00657818">
      <w:rPr>
        <w:rStyle w:val="Nmerodepgina"/>
        <w:rFonts w:ascii="Verdana" w:hAnsi="Verda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6A341" w14:textId="77777777" w:rsidR="00FC0FF7" w:rsidRPr="00657818" w:rsidRDefault="00FC0FF7">
    <w:pPr>
      <w:pStyle w:val="Piedepgina"/>
      <w:pBdr>
        <w:top w:val="single" w:sz="4" w:space="1" w:color="auto"/>
      </w:pBdr>
      <w:jc w:val="right"/>
      <w:rPr>
        <w:rFonts w:ascii="Verdana" w:hAnsi="Verdana"/>
      </w:rPr>
    </w:pPr>
    <w:r w:rsidRPr="00657818">
      <w:rPr>
        <w:rFonts w:ascii="Verdana" w:hAnsi="Verdana"/>
      </w:rPr>
      <w:t xml:space="preserve">ACUERDO </w:t>
    </w:r>
    <w:r w:rsidR="000A1B40">
      <w:rPr>
        <w:rFonts w:ascii="Verdana" w:hAnsi="Verdana"/>
      </w:rPr>
      <w:t>XXXX</w:t>
    </w:r>
  </w:p>
  <w:p w14:paraId="01B1AF5C" w14:textId="77777777" w:rsidR="00FC0FF7" w:rsidRPr="00657818" w:rsidRDefault="00FC0FF7">
    <w:pPr>
      <w:pStyle w:val="Piedepgina"/>
      <w:jc w:val="right"/>
      <w:rPr>
        <w:rFonts w:ascii="Verdana" w:hAnsi="Verdana"/>
      </w:rPr>
    </w:pPr>
    <w:r w:rsidRPr="00657818">
      <w:rPr>
        <w:rStyle w:val="Nmerodepgina"/>
        <w:rFonts w:ascii="Verdana" w:hAnsi="Verdana"/>
      </w:rPr>
      <w:fldChar w:fldCharType="begin"/>
    </w:r>
    <w:r w:rsidRPr="00657818">
      <w:rPr>
        <w:rStyle w:val="Nmerodepgina"/>
        <w:rFonts w:ascii="Verdana" w:hAnsi="Verdana"/>
      </w:rPr>
      <w:instrText xml:space="preserve"> PAGE </w:instrText>
    </w:r>
    <w:r w:rsidRPr="00657818">
      <w:rPr>
        <w:rStyle w:val="Nmerodepgina"/>
        <w:rFonts w:ascii="Verdana" w:hAnsi="Verdana"/>
      </w:rPr>
      <w:fldChar w:fldCharType="separate"/>
    </w:r>
    <w:r w:rsidR="00BF3997">
      <w:rPr>
        <w:rStyle w:val="Nmerodepgina"/>
        <w:rFonts w:ascii="Verdana" w:hAnsi="Verdana"/>
        <w:noProof/>
      </w:rPr>
      <w:t>1</w:t>
    </w:r>
    <w:r w:rsidRPr="00657818">
      <w:rPr>
        <w:rStyle w:val="Nmerodepgina"/>
        <w:rFonts w:ascii="Verdana" w:hAnsi="Verda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6FB9D" w14:textId="77777777" w:rsidR="005A5CEF" w:rsidRDefault="005A5CEF">
      <w:r>
        <w:separator/>
      </w:r>
    </w:p>
  </w:footnote>
  <w:footnote w:type="continuationSeparator" w:id="0">
    <w:p w14:paraId="4718BCE8" w14:textId="77777777" w:rsidR="005A5CEF" w:rsidRDefault="005A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6362E" w14:textId="77777777" w:rsidR="00FC0FF7" w:rsidRDefault="000A1B40" w:rsidP="000A1B40">
    <w:pPr>
      <w:pStyle w:val="Encabezado"/>
      <w:jc w:val="center"/>
    </w:pPr>
    <w:r w:rsidRPr="00C12902">
      <w:rPr>
        <w:noProof/>
        <w:lang w:val="es-ES_tradnl" w:eastAsia="es-ES_tradnl"/>
      </w:rPr>
      <w:drawing>
        <wp:inline distT="0" distB="0" distL="0" distR="0" wp14:anchorId="08D6F6B9" wp14:editId="39C3DD91">
          <wp:extent cx="1657350" cy="619125"/>
          <wp:effectExtent l="0" t="0" r="0" b="9525"/>
          <wp:docPr id="1" name="Imagen 1" descr="http://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C53C3" w14:textId="77777777" w:rsidR="00FC0FF7" w:rsidRDefault="000A1B40">
    <w:pPr>
      <w:pStyle w:val="Encabezado"/>
      <w:pBdr>
        <w:bottom w:val="single" w:sz="4" w:space="1" w:color="auto"/>
      </w:pBdr>
      <w:jc w:val="center"/>
      <w:rPr>
        <w:b/>
        <w:sz w:val="42"/>
        <w:lang w:val="es-MX"/>
      </w:rPr>
    </w:pPr>
    <w:r w:rsidRPr="00C12902">
      <w:rPr>
        <w:noProof/>
        <w:lang w:val="es-ES_tradnl" w:eastAsia="es-ES_tradnl"/>
      </w:rPr>
      <w:drawing>
        <wp:inline distT="0" distB="0" distL="0" distR="0" wp14:anchorId="2A17CCA8" wp14:editId="6E131FB9">
          <wp:extent cx="1657350" cy="619125"/>
          <wp:effectExtent l="0" t="0" r="0" b="9525"/>
          <wp:docPr id="3" name="Imagen 3" descr="http://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2489E"/>
    <w:multiLevelType w:val="hybridMultilevel"/>
    <w:tmpl w:val="96049A7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972254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13F44D3"/>
    <w:multiLevelType w:val="hybridMultilevel"/>
    <w:tmpl w:val="5FF6CF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0A511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D2104C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3FB6EBA"/>
    <w:multiLevelType w:val="hybridMultilevel"/>
    <w:tmpl w:val="41082CC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68096AC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4B34528"/>
    <w:multiLevelType w:val="hybridMultilevel"/>
    <w:tmpl w:val="AE5ECE5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0"/>
  </w:num>
  <w:num w:numId="6">
    <w:abstractNumId w:val="7"/>
  </w:num>
  <w:num w:numId="7">
    <w:abstractNumId w:val="5"/>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F7"/>
    <w:rsid w:val="00002664"/>
    <w:rsid w:val="00014D55"/>
    <w:rsid w:val="000204BC"/>
    <w:rsid w:val="00027064"/>
    <w:rsid w:val="00054AB9"/>
    <w:rsid w:val="00072B3B"/>
    <w:rsid w:val="00093CD9"/>
    <w:rsid w:val="000A1B40"/>
    <w:rsid w:val="000A21A4"/>
    <w:rsid w:val="000A4D32"/>
    <w:rsid w:val="000A7AA2"/>
    <w:rsid w:val="000D62D8"/>
    <w:rsid w:val="001264F3"/>
    <w:rsid w:val="00146C68"/>
    <w:rsid w:val="00164FB3"/>
    <w:rsid w:val="00172152"/>
    <w:rsid w:val="001966F8"/>
    <w:rsid w:val="00210F06"/>
    <w:rsid w:val="00212D8C"/>
    <w:rsid w:val="00214BED"/>
    <w:rsid w:val="00217C2D"/>
    <w:rsid w:val="002620B9"/>
    <w:rsid w:val="00291047"/>
    <w:rsid w:val="002B655A"/>
    <w:rsid w:val="002E47F5"/>
    <w:rsid w:val="002E719B"/>
    <w:rsid w:val="00312428"/>
    <w:rsid w:val="00332A04"/>
    <w:rsid w:val="00336896"/>
    <w:rsid w:val="00374368"/>
    <w:rsid w:val="00397C41"/>
    <w:rsid w:val="003B45A8"/>
    <w:rsid w:val="003C4188"/>
    <w:rsid w:val="00425781"/>
    <w:rsid w:val="004356F1"/>
    <w:rsid w:val="004421D1"/>
    <w:rsid w:val="00481939"/>
    <w:rsid w:val="004A2D69"/>
    <w:rsid w:val="004C59EA"/>
    <w:rsid w:val="00583B33"/>
    <w:rsid w:val="00590DF4"/>
    <w:rsid w:val="005A5CEF"/>
    <w:rsid w:val="005A69A2"/>
    <w:rsid w:val="005A6A16"/>
    <w:rsid w:val="005F48AC"/>
    <w:rsid w:val="006006C8"/>
    <w:rsid w:val="00615806"/>
    <w:rsid w:val="00640B8C"/>
    <w:rsid w:val="00642F04"/>
    <w:rsid w:val="00651CDF"/>
    <w:rsid w:val="00655DBB"/>
    <w:rsid w:val="00657818"/>
    <w:rsid w:val="00664F16"/>
    <w:rsid w:val="00674F3F"/>
    <w:rsid w:val="006A1F25"/>
    <w:rsid w:val="006B4893"/>
    <w:rsid w:val="006B7F7A"/>
    <w:rsid w:val="00705942"/>
    <w:rsid w:val="00745FD6"/>
    <w:rsid w:val="0075234B"/>
    <w:rsid w:val="00772EA7"/>
    <w:rsid w:val="007A59FC"/>
    <w:rsid w:val="008272F9"/>
    <w:rsid w:val="008330F1"/>
    <w:rsid w:val="00861AF0"/>
    <w:rsid w:val="00871F02"/>
    <w:rsid w:val="00877409"/>
    <w:rsid w:val="008A4FA0"/>
    <w:rsid w:val="008B25D1"/>
    <w:rsid w:val="008C483D"/>
    <w:rsid w:val="008D5020"/>
    <w:rsid w:val="008F182A"/>
    <w:rsid w:val="00915563"/>
    <w:rsid w:val="00921878"/>
    <w:rsid w:val="009223BA"/>
    <w:rsid w:val="00942A57"/>
    <w:rsid w:val="00966BFC"/>
    <w:rsid w:val="00970834"/>
    <w:rsid w:val="00977507"/>
    <w:rsid w:val="009E66F7"/>
    <w:rsid w:val="00A2749F"/>
    <w:rsid w:val="00A4637C"/>
    <w:rsid w:val="00A46784"/>
    <w:rsid w:val="00A5743E"/>
    <w:rsid w:val="00A7648A"/>
    <w:rsid w:val="00A85522"/>
    <w:rsid w:val="00A96FC4"/>
    <w:rsid w:val="00AB6FB2"/>
    <w:rsid w:val="00AC6B4D"/>
    <w:rsid w:val="00B44275"/>
    <w:rsid w:val="00B50D1D"/>
    <w:rsid w:val="00B74F5E"/>
    <w:rsid w:val="00B83A90"/>
    <w:rsid w:val="00B9296D"/>
    <w:rsid w:val="00BF3997"/>
    <w:rsid w:val="00C000B8"/>
    <w:rsid w:val="00C76CEA"/>
    <w:rsid w:val="00C826E4"/>
    <w:rsid w:val="00CB3D9E"/>
    <w:rsid w:val="00D341C7"/>
    <w:rsid w:val="00D47F7E"/>
    <w:rsid w:val="00D95AE6"/>
    <w:rsid w:val="00DA30E1"/>
    <w:rsid w:val="00DB4AEB"/>
    <w:rsid w:val="00DC49F4"/>
    <w:rsid w:val="00DD7E79"/>
    <w:rsid w:val="00E06AA1"/>
    <w:rsid w:val="00E22690"/>
    <w:rsid w:val="00E8562B"/>
    <w:rsid w:val="00E96F83"/>
    <w:rsid w:val="00EC61E8"/>
    <w:rsid w:val="00F420EE"/>
    <w:rsid w:val="00F42C54"/>
    <w:rsid w:val="00F50F59"/>
    <w:rsid w:val="00F53C8F"/>
    <w:rsid w:val="00F60662"/>
    <w:rsid w:val="00FC0FF7"/>
    <w:rsid w:val="00FC1C21"/>
    <w:rsid w:val="00FC48EB"/>
    <w:rsid w:val="00FD0B70"/>
    <w:rsid w:val="00FE54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6D318F"/>
  <w15:chartTrackingRefBased/>
  <w15:docId w15:val="{4171E625-19FA-8248-992A-84018C094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jc w:val="both"/>
      <w:outlineLvl w:val="0"/>
    </w:pPr>
    <w:rPr>
      <w:rFonts w:ascii="Arial" w:hAnsi="Arial"/>
      <w:sz w:val="24"/>
      <w:lang w:val="es-MX"/>
    </w:rPr>
  </w:style>
  <w:style w:type="paragraph" w:styleId="Ttulo2">
    <w:name w:val="heading 2"/>
    <w:basedOn w:val="Ttulo1"/>
    <w:next w:val="Normal"/>
    <w:qFormat/>
    <w:pPr>
      <w:keepLines/>
      <w:spacing w:before="240" w:after="120"/>
      <w:ind w:left="1416" w:hanging="708"/>
      <w:jc w:val="left"/>
      <w:outlineLvl w:val="1"/>
    </w:pPr>
    <w:rPr>
      <w:b/>
      <w:color w:val="0000FF"/>
      <w:lang w:val="es-ES_tradnl"/>
    </w:rPr>
  </w:style>
  <w:style w:type="paragraph" w:styleId="Ttulo3">
    <w:name w:val="heading 3"/>
    <w:basedOn w:val="Normal"/>
    <w:next w:val="Normal"/>
    <w:qFormat/>
    <w:pPr>
      <w:keepNext/>
      <w:spacing w:before="240" w:after="60"/>
      <w:ind w:left="2124" w:hanging="708"/>
      <w:outlineLvl w:val="2"/>
    </w:pPr>
    <w:rPr>
      <w:b/>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tulo">
    <w:name w:val="Title"/>
    <w:basedOn w:val="Normal"/>
    <w:link w:val="TtuloCar"/>
    <w:qFormat/>
    <w:pPr>
      <w:jc w:val="center"/>
    </w:pPr>
    <w:rPr>
      <w:rFonts w:ascii="Arial" w:hAnsi="Arial"/>
      <w:b/>
      <w:sz w:val="24"/>
      <w:lang w:val="es-MX"/>
    </w:rPr>
  </w:style>
  <w:style w:type="paragraph" w:styleId="Textoindependiente">
    <w:name w:val="Body Text"/>
    <w:basedOn w:val="Normal"/>
    <w:pPr>
      <w:jc w:val="center"/>
    </w:pPr>
    <w:rPr>
      <w:rFonts w:ascii="Arial" w:hAnsi="Arial"/>
      <w:sz w:val="24"/>
      <w:lang w:val="es-MX"/>
    </w:rPr>
  </w:style>
  <w:style w:type="paragraph" w:styleId="Sangradetextonormal">
    <w:name w:val="Body Text Indent"/>
    <w:basedOn w:val="Normal"/>
    <w:pPr>
      <w:jc w:val="both"/>
    </w:pPr>
    <w:rPr>
      <w:rFonts w:ascii="Arial" w:hAnsi="Arial"/>
      <w:color w:val="000000"/>
      <w:lang w:val="es-ES_tradnl"/>
    </w:rPr>
  </w:style>
  <w:style w:type="paragraph" w:styleId="Textoindependiente2">
    <w:name w:val="Body Text 2"/>
    <w:basedOn w:val="Normal"/>
    <w:rPr>
      <w:sz w:val="24"/>
    </w:rPr>
  </w:style>
  <w:style w:type="paragraph" w:customStyle="1" w:styleId="Textoindependiente21">
    <w:name w:val="Texto independiente 21"/>
    <w:basedOn w:val="Normal"/>
    <w:pPr>
      <w:jc w:val="both"/>
    </w:pPr>
    <w:rPr>
      <w:rFonts w:ascii="Arial" w:hAnsi="Arial"/>
      <w:sz w:val="22"/>
      <w:lang w:val="es-CO"/>
    </w:rPr>
  </w:style>
  <w:style w:type="character" w:styleId="Refdenotaalpie">
    <w:name w:val="footnote reference"/>
    <w:semiHidden/>
    <w:rPr>
      <w:vertAlign w:val="superscript"/>
    </w:rPr>
  </w:style>
  <w:style w:type="paragraph" w:styleId="Textonotapie">
    <w:name w:val="footnote text"/>
    <w:basedOn w:val="Normal"/>
    <w:semiHidden/>
    <w:rPr>
      <w:rFonts w:ascii="Arial" w:hAnsi="Arial"/>
      <w:lang w:val="es-CO"/>
    </w:rPr>
  </w:style>
  <w:style w:type="character" w:styleId="Nmerodepgina">
    <w:name w:val="page number"/>
    <w:basedOn w:val="Fuentedeprrafopredeter"/>
  </w:style>
  <w:style w:type="paragraph" w:styleId="Sangranormal">
    <w:name w:val="Normal Indent"/>
    <w:basedOn w:val="Normal"/>
    <w:pPr>
      <w:spacing w:before="120" w:after="120"/>
      <w:ind w:left="461"/>
    </w:pPr>
    <w:rPr>
      <w:rFonts w:ascii="Arial" w:hAnsi="Arial"/>
      <w:sz w:val="24"/>
      <w:lang w:val="es-ES_tradnl"/>
    </w:rPr>
  </w:style>
  <w:style w:type="character" w:styleId="Refdecomentario">
    <w:name w:val="annotation reference"/>
    <w:rsid w:val="00D341C7"/>
    <w:rPr>
      <w:sz w:val="16"/>
      <w:szCs w:val="16"/>
    </w:rPr>
  </w:style>
  <w:style w:type="paragraph" w:styleId="Textocomentario">
    <w:name w:val="annotation text"/>
    <w:basedOn w:val="Normal"/>
    <w:link w:val="TextocomentarioCar"/>
    <w:rsid w:val="00D341C7"/>
  </w:style>
  <w:style w:type="character" w:customStyle="1" w:styleId="TextocomentarioCar">
    <w:name w:val="Texto comentario Car"/>
    <w:link w:val="Textocomentario"/>
    <w:rsid w:val="00D341C7"/>
    <w:rPr>
      <w:lang w:val="es-ES" w:eastAsia="es-ES"/>
    </w:rPr>
  </w:style>
  <w:style w:type="paragraph" w:styleId="Asuntodelcomentario">
    <w:name w:val="annotation subject"/>
    <w:basedOn w:val="Textocomentario"/>
    <w:next w:val="Textocomentario"/>
    <w:link w:val="AsuntodelcomentarioCar"/>
    <w:rsid w:val="00D341C7"/>
    <w:rPr>
      <w:b/>
      <w:bCs/>
    </w:rPr>
  </w:style>
  <w:style w:type="character" w:customStyle="1" w:styleId="AsuntodelcomentarioCar">
    <w:name w:val="Asunto del comentario Car"/>
    <w:link w:val="Asuntodelcomentario"/>
    <w:rsid w:val="00D341C7"/>
    <w:rPr>
      <w:b/>
      <w:bCs/>
      <w:lang w:val="es-ES" w:eastAsia="es-ES"/>
    </w:rPr>
  </w:style>
  <w:style w:type="paragraph" w:styleId="Textodeglobo">
    <w:name w:val="Balloon Text"/>
    <w:basedOn w:val="Normal"/>
    <w:link w:val="TextodegloboCar"/>
    <w:rsid w:val="00D341C7"/>
    <w:rPr>
      <w:rFonts w:ascii="Tahoma" w:hAnsi="Tahoma"/>
      <w:sz w:val="16"/>
      <w:szCs w:val="16"/>
    </w:rPr>
  </w:style>
  <w:style w:type="character" w:customStyle="1" w:styleId="TextodegloboCar">
    <w:name w:val="Texto de globo Car"/>
    <w:link w:val="Textodeglobo"/>
    <w:rsid w:val="00D341C7"/>
    <w:rPr>
      <w:rFonts w:ascii="Tahoma" w:hAnsi="Tahoma" w:cs="Tahoma"/>
      <w:sz w:val="16"/>
      <w:szCs w:val="16"/>
      <w:lang w:val="es-ES" w:eastAsia="es-ES"/>
    </w:rPr>
  </w:style>
  <w:style w:type="paragraph" w:styleId="Revisin">
    <w:name w:val="Revision"/>
    <w:hidden/>
    <w:uiPriority w:val="99"/>
    <w:semiHidden/>
    <w:rsid w:val="00291047"/>
    <w:rPr>
      <w:lang w:val="es-ES" w:eastAsia="es-ES"/>
    </w:rPr>
  </w:style>
  <w:style w:type="paragraph" w:styleId="Subttulo">
    <w:name w:val="Subtitle"/>
    <w:basedOn w:val="Normal"/>
    <w:next w:val="Textoindependiente"/>
    <w:link w:val="SubttuloCar"/>
    <w:qFormat/>
    <w:rsid w:val="002620B9"/>
    <w:pPr>
      <w:keepNext/>
      <w:suppressAutoHyphens/>
      <w:spacing w:before="240" w:after="120"/>
      <w:jc w:val="center"/>
    </w:pPr>
    <w:rPr>
      <w:rFonts w:ascii="Arial" w:eastAsia="MS Mincho" w:hAnsi="Arial" w:cs="Tahoma"/>
      <w:i/>
      <w:iCs/>
      <w:sz w:val="28"/>
      <w:szCs w:val="28"/>
      <w:lang w:val="es-CO" w:eastAsia="zh-CN"/>
    </w:rPr>
  </w:style>
  <w:style w:type="character" w:customStyle="1" w:styleId="SubttuloCar">
    <w:name w:val="Subtítulo Car"/>
    <w:link w:val="Subttulo"/>
    <w:rsid w:val="002620B9"/>
    <w:rPr>
      <w:rFonts w:ascii="Arial" w:eastAsia="MS Mincho" w:hAnsi="Arial" w:cs="Tahoma"/>
      <w:i/>
      <w:iCs/>
      <w:sz w:val="28"/>
      <w:szCs w:val="28"/>
      <w:lang w:eastAsia="zh-CN"/>
    </w:rPr>
  </w:style>
  <w:style w:type="character" w:customStyle="1" w:styleId="TtuloCar">
    <w:name w:val="Título Car"/>
    <w:link w:val="Ttulo"/>
    <w:rsid w:val="002620B9"/>
    <w:rPr>
      <w:rFonts w:ascii="Arial" w:hAnsi="Arial"/>
      <w:b/>
      <w:sz w:val="24"/>
      <w:lang w:val="es-MX" w:eastAsia="es-ES"/>
    </w:rPr>
  </w:style>
  <w:style w:type="character" w:customStyle="1" w:styleId="WW8Num4z0">
    <w:name w:val="WW8Num4z0"/>
    <w:rsid w:val="002620B9"/>
    <w:rPr>
      <w:rFonts w:ascii="Wingdings" w:hAnsi="Wingdings" w:cs="Wingding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43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1114</Words>
  <Characters>6127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ACUERDO No</vt:lpstr>
    </vt:vector>
  </TitlesOfParts>
  <Company>Empresas Publicas de Medellín</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No</dc:title>
  <dc:subject/>
  <dc:creator>UNIDAD DE PLANEACION MINERO ENERGETICA</dc:creator>
  <cp:keywords/>
  <cp:lastModifiedBy>ALBERTO OLARTE</cp:lastModifiedBy>
  <cp:revision>2</cp:revision>
  <cp:lastPrinted>2014-09-16T15:01:00Z</cp:lastPrinted>
  <dcterms:created xsi:type="dcterms:W3CDTF">2020-05-02T19:22:00Z</dcterms:created>
  <dcterms:modified xsi:type="dcterms:W3CDTF">2020-05-02T19:22:00Z</dcterms:modified>
</cp:coreProperties>
</file>