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C00E9" w14:textId="77777777" w:rsidR="00B76E6C" w:rsidRPr="0077649D" w:rsidRDefault="00B76E6C" w:rsidP="00E959DB">
      <w:pPr>
        <w:pStyle w:val="Ttulo2"/>
        <w:numPr>
          <w:ilvl w:val="0"/>
          <w:numId w:val="0"/>
        </w:numPr>
        <w:spacing w:before="360"/>
        <w:ind w:left="576" w:hanging="576"/>
        <w:jc w:val="center"/>
        <w:rPr>
          <w:i w:val="0"/>
        </w:rPr>
      </w:pPr>
      <w:bookmarkStart w:id="0" w:name="_Toc453676979"/>
      <w:bookmarkStart w:id="1" w:name="_Toc480809527"/>
      <w:r w:rsidRPr="0077649D">
        <w:rPr>
          <w:i w:val="0"/>
        </w:rPr>
        <w:t>Protecciones normalizadas para Barras</w:t>
      </w:r>
      <w:r w:rsidRPr="0077649D">
        <w:rPr>
          <w:rStyle w:val="Refdenotaalpie"/>
          <w:i w:val="0"/>
        </w:rPr>
        <w:footnoteReference w:id="1"/>
      </w:r>
      <w:r w:rsidRPr="0077649D">
        <w:rPr>
          <w:i w:val="0"/>
        </w:rPr>
        <w:t>.</w:t>
      </w:r>
      <w:bookmarkEnd w:id="0"/>
      <w:bookmarkEnd w:id="1"/>
    </w:p>
    <w:p w14:paraId="20DBD01A" w14:textId="77777777" w:rsidR="00590076" w:rsidRPr="0077649D" w:rsidRDefault="00590076" w:rsidP="00590076">
      <w:pPr>
        <w:rPr>
          <w:szCs w:val="22"/>
          <w:lang w:val="es-CO"/>
        </w:rPr>
      </w:pPr>
      <w:r w:rsidRPr="0077649D">
        <w:rPr>
          <w:szCs w:val="22"/>
        </w:rPr>
        <w:t>Según NERC, un sistema de protección redundante</w:t>
      </w:r>
      <w:r w:rsidR="00B45E1B" w:rsidRPr="0077649D">
        <w:rPr>
          <w:rStyle w:val="Refdenotaalpie"/>
          <w:rFonts w:cs="Arial"/>
          <w:color w:val="222222"/>
          <w:szCs w:val="22"/>
        </w:rPr>
        <w:footnoteReference w:id="2"/>
      </w:r>
      <w:r w:rsidRPr="0077649D">
        <w:rPr>
          <w:szCs w:val="22"/>
        </w:rPr>
        <w:t xml:space="preserve"> es aquel sistema que está compuesto por dos o más sistemas de protecci</w:t>
      </w:r>
      <w:r w:rsidR="00E65288" w:rsidRPr="0077649D">
        <w:rPr>
          <w:szCs w:val="22"/>
        </w:rPr>
        <w:t>ón</w:t>
      </w:r>
      <w:r w:rsidRPr="0077649D">
        <w:rPr>
          <w:szCs w:val="22"/>
        </w:rPr>
        <w:t xml:space="preserve"> (SP) equivalentes para la protección de un solo activo del sistema interconectado (SIN)</w:t>
      </w:r>
      <w:r w:rsidR="00C04C00" w:rsidRPr="0077649D">
        <w:rPr>
          <w:szCs w:val="22"/>
        </w:rPr>
        <w:t>; es</w:t>
      </w:r>
      <w:r w:rsidRPr="0077649D">
        <w:rPr>
          <w:szCs w:val="22"/>
        </w:rPr>
        <w:t xml:space="preserve"> decir,</w:t>
      </w:r>
      <w:r w:rsidR="00C04C00" w:rsidRPr="0077649D">
        <w:rPr>
          <w:szCs w:val="22"/>
        </w:rPr>
        <w:t xml:space="preserve"> son</w:t>
      </w:r>
      <w:r w:rsidRPr="0077649D">
        <w:rPr>
          <w:szCs w:val="22"/>
        </w:rPr>
        <w:t xml:space="preserve"> dos o más SP independientes que compiten en la detección y despeje de una falla</w:t>
      </w:r>
      <w:r w:rsidR="00B45E1B" w:rsidRPr="0077649D">
        <w:rPr>
          <w:szCs w:val="22"/>
        </w:rPr>
        <w:t xml:space="preserve">, los cuales deben ser </w:t>
      </w:r>
      <w:r w:rsidRPr="0077649D">
        <w:rPr>
          <w:color w:val="222222"/>
          <w:szCs w:val="22"/>
        </w:rPr>
        <w:t>funcionalmente equivalentes y no compart</w:t>
      </w:r>
      <w:r w:rsidR="00B45E1B" w:rsidRPr="0077649D">
        <w:rPr>
          <w:color w:val="222222"/>
          <w:szCs w:val="22"/>
        </w:rPr>
        <w:t>ir</w:t>
      </w:r>
      <w:r w:rsidRPr="0077649D">
        <w:rPr>
          <w:color w:val="222222"/>
          <w:szCs w:val="22"/>
        </w:rPr>
        <w:t xml:space="preserve"> componentes</w:t>
      </w:r>
      <w:r w:rsidR="00B45E1B" w:rsidRPr="0077649D">
        <w:rPr>
          <w:color w:val="222222"/>
          <w:szCs w:val="22"/>
        </w:rPr>
        <w:t>.</w:t>
      </w:r>
    </w:p>
    <w:p w14:paraId="2BCB26AD" w14:textId="77777777" w:rsidR="0083274D" w:rsidRPr="0077649D" w:rsidRDefault="00590076" w:rsidP="00B45E1B">
      <w:pPr>
        <w:rPr>
          <w:szCs w:val="22"/>
        </w:rPr>
      </w:pPr>
      <w:r w:rsidRPr="0077649D">
        <w:rPr>
          <w:szCs w:val="22"/>
        </w:rPr>
        <w:t>Acorde a lo anterior, e</w:t>
      </w:r>
      <w:r w:rsidR="00DE1804" w:rsidRPr="0077649D">
        <w:rPr>
          <w:szCs w:val="22"/>
        </w:rPr>
        <w:t xml:space="preserve">n este documento se listan los </w:t>
      </w:r>
      <w:r w:rsidR="00835288" w:rsidRPr="0077649D">
        <w:rPr>
          <w:szCs w:val="22"/>
        </w:rPr>
        <w:t>requisitos técnicos</w:t>
      </w:r>
      <w:r w:rsidR="00DE1804" w:rsidRPr="0077649D">
        <w:rPr>
          <w:szCs w:val="22"/>
        </w:rPr>
        <w:t xml:space="preserve"> mínim</w:t>
      </w:r>
      <w:r w:rsidR="00835288" w:rsidRPr="0077649D">
        <w:rPr>
          <w:szCs w:val="22"/>
        </w:rPr>
        <w:t>o</w:t>
      </w:r>
      <w:r w:rsidR="00DE1804" w:rsidRPr="0077649D">
        <w:rPr>
          <w:szCs w:val="22"/>
        </w:rPr>
        <w:t xml:space="preserve">s que deben ser tenidos en cuentan en aquellas barras del SIN, </w:t>
      </w:r>
      <w:r w:rsidR="00B45E1B" w:rsidRPr="0077649D">
        <w:rPr>
          <w:szCs w:val="22"/>
        </w:rPr>
        <w:t xml:space="preserve">que </w:t>
      </w:r>
      <w:r w:rsidR="0083274D" w:rsidRPr="0077649D">
        <w:rPr>
          <w:szCs w:val="22"/>
        </w:rPr>
        <w:t xml:space="preserve">hacen parte de </w:t>
      </w:r>
      <w:r w:rsidR="00DE1804" w:rsidRPr="0077649D">
        <w:rPr>
          <w:i/>
          <w:szCs w:val="22"/>
        </w:rPr>
        <w:t>subestaciones</w:t>
      </w:r>
      <w:r w:rsidR="00B45E1B" w:rsidRPr="0077649D">
        <w:rPr>
          <w:i/>
          <w:szCs w:val="22"/>
        </w:rPr>
        <w:t xml:space="preserve"> </w:t>
      </w:r>
      <w:r w:rsidR="00DE1804" w:rsidRPr="0077649D">
        <w:rPr>
          <w:i/>
          <w:szCs w:val="22"/>
        </w:rPr>
        <w:t>críticas</w:t>
      </w:r>
      <w:r w:rsidR="00DE1804" w:rsidRPr="0077649D">
        <w:rPr>
          <w:rStyle w:val="Refdenotaalpie"/>
          <w:rFonts w:cs="Arial"/>
          <w:szCs w:val="22"/>
        </w:rPr>
        <w:footnoteReference w:id="3"/>
      </w:r>
      <w:r w:rsidR="00DE1804" w:rsidRPr="0077649D">
        <w:rPr>
          <w:szCs w:val="22"/>
        </w:rPr>
        <w:t xml:space="preserve">, </w:t>
      </w:r>
      <w:r w:rsidRPr="0077649D">
        <w:rPr>
          <w:szCs w:val="22"/>
        </w:rPr>
        <w:t xml:space="preserve">para las cuales se recomienda </w:t>
      </w:r>
      <w:r w:rsidR="00DE1804" w:rsidRPr="0077649D">
        <w:rPr>
          <w:szCs w:val="22"/>
        </w:rPr>
        <w:t>disponer de protecciones diferenciales de barra (ANSI 87B) redundantes</w:t>
      </w:r>
      <w:r w:rsidR="00B45E1B" w:rsidRPr="0077649D">
        <w:rPr>
          <w:szCs w:val="22"/>
        </w:rPr>
        <w:t xml:space="preserve">. </w:t>
      </w:r>
      <w:r w:rsidR="0083274D" w:rsidRPr="0077649D">
        <w:rPr>
          <w:szCs w:val="22"/>
        </w:rPr>
        <w:t xml:space="preserve">A continuación, se </w:t>
      </w:r>
      <w:r w:rsidR="00835288" w:rsidRPr="0077649D">
        <w:rPr>
          <w:szCs w:val="22"/>
        </w:rPr>
        <w:t xml:space="preserve">enuncian </w:t>
      </w:r>
      <w:r w:rsidR="0083274D" w:rsidRPr="0077649D">
        <w:rPr>
          <w:szCs w:val="22"/>
        </w:rPr>
        <w:t>las características técnicas</w:t>
      </w:r>
      <w:r w:rsidR="00835288" w:rsidRPr="0077649D">
        <w:rPr>
          <w:szCs w:val="22"/>
        </w:rPr>
        <w:t xml:space="preserve"> que deben tener </w:t>
      </w:r>
      <w:r w:rsidR="00C04C00" w:rsidRPr="0077649D">
        <w:rPr>
          <w:szCs w:val="22"/>
        </w:rPr>
        <w:t>los sistemas de protección redundantes de barra</w:t>
      </w:r>
      <w:r w:rsidR="0083274D" w:rsidRPr="0077649D">
        <w:rPr>
          <w:szCs w:val="22"/>
        </w:rPr>
        <w:t>:</w:t>
      </w:r>
    </w:p>
    <w:p w14:paraId="2B977B4A" w14:textId="77777777" w:rsidR="00CF7250" w:rsidRPr="0077649D" w:rsidRDefault="00304FE6" w:rsidP="00CF725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7649D">
        <w:rPr>
          <w:rFonts w:ascii="Arial" w:hAnsi="Arial" w:cs="Arial"/>
          <w:sz w:val="22"/>
          <w:szCs w:val="22"/>
        </w:rPr>
        <w:t xml:space="preserve">Las protecciones </w:t>
      </w:r>
      <w:r w:rsidR="0083274D" w:rsidRPr="0077649D">
        <w:rPr>
          <w:rFonts w:ascii="Arial" w:hAnsi="Arial" w:cs="Arial"/>
          <w:sz w:val="22"/>
          <w:szCs w:val="22"/>
        </w:rPr>
        <w:t xml:space="preserve">ANSI 87B </w:t>
      </w:r>
      <w:r w:rsidR="00B45E1B" w:rsidRPr="0077649D">
        <w:rPr>
          <w:rFonts w:ascii="Arial" w:hAnsi="Arial" w:cs="Arial"/>
          <w:sz w:val="22"/>
          <w:szCs w:val="22"/>
        </w:rPr>
        <w:t xml:space="preserve">deben </w:t>
      </w:r>
      <w:r w:rsidR="00B150EC" w:rsidRPr="0077649D">
        <w:rPr>
          <w:rFonts w:ascii="Arial" w:hAnsi="Arial" w:cs="Arial"/>
          <w:sz w:val="22"/>
          <w:szCs w:val="22"/>
        </w:rPr>
        <w:t>ser</w:t>
      </w:r>
      <w:r w:rsidR="00B45E1B" w:rsidRPr="0077649D">
        <w:rPr>
          <w:rFonts w:ascii="Arial" w:hAnsi="Arial" w:cs="Arial"/>
          <w:sz w:val="22"/>
          <w:szCs w:val="22"/>
        </w:rPr>
        <w:t xml:space="preserve"> relés de diferente fabricante</w:t>
      </w:r>
      <w:r w:rsidR="00B150EC" w:rsidRPr="0077649D">
        <w:rPr>
          <w:rFonts w:ascii="Arial" w:hAnsi="Arial" w:cs="Arial"/>
          <w:sz w:val="22"/>
          <w:szCs w:val="22"/>
        </w:rPr>
        <w:t xml:space="preserve"> permitiendo así tener algoritmos </w:t>
      </w:r>
      <w:r w:rsidR="00545D41" w:rsidRPr="0077649D">
        <w:rPr>
          <w:rFonts w:ascii="Arial" w:hAnsi="Arial" w:cs="Arial"/>
          <w:sz w:val="22"/>
          <w:szCs w:val="22"/>
        </w:rPr>
        <w:t xml:space="preserve">de </w:t>
      </w:r>
      <w:r w:rsidR="00B150EC" w:rsidRPr="0077649D">
        <w:rPr>
          <w:rFonts w:ascii="Arial" w:hAnsi="Arial" w:cs="Arial"/>
          <w:sz w:val="22"/>
          <w:szCs w:val="22"/>
        </w:rPr>
        <w:t>operación</w:t>
      </w:r>
      <w:r w:rsidR="00545D41" w:rsidRPr="0077649D">
        <w:rPr>
          <w:rFonts w:ascii="Arial" w:hAnsi="Arial" w:cs="Arial"/>
          <w:sz w:val="22"/>
          <w:szCs w:val="22"/>
        </w:rPr>
        <w:t xml:space="preserve"> diferentes. </w:t>
      </w:r>
      <w:r w:rsidR="00545D41" w:rsidRPr="0077649D">
        <w:rPr>
          <w:rFonts w:ascii="Arial" w:hAnsi="Arial" w:cs="Arial"/>
          <w:sz w:val="22"/>
          <w:szCs w:val="22"/>
          <w:lang w:val="es-419"/>
        </w:rPr>
        <w:t>Tener en cuenta</w:t>
      </w:r>
      <w:r w:rsidR="00CF7250" w:rsidRPr="0077649D">
        <w:rPr>
          <w:rFonts w:ascii="Arial" w:hAnsi="Arial" w:cs="Arial"/>
          <w:sz w:val="22"/>
          <w:szCs w:val="22"/>
          <w:lang w:val="es-419"/>
        </w:rPr>
        <w:t xml:space="preserve"> que</w:t>
      </w:r>
      <w:r w:rsidR="00545D41" w:rsidRPr="0077649D">
        <w:rPr>
          <w:rFonts w:ascii="Arial" w:hAnsi="Arial" w:cs="Arial"/>
          <w:sz w:val="22"/>
          <w:szCs w:val="22"/>
          <w:lang w:val="es-419"/>
        </w:rPr>
        <w:t>,</w:t>
      </w:r>
      <w:r w:rsidR="00CF7250" w:rsidRPr="0077649D">
        <w:rPr>
          <w:rFonts w:ascii="Arial" w:hAnsi="Arial" w:cs="Arial"/>
          <w:sz w:val="22"/>
          <w:szCs w:val="22"/>
          <w:lang w:val="es-419"/>
        </w:rPr>
        <w:t xml:space="preserve"> cuando </w:t>
      </w:r>
      <w:r w:rsidR="00CF7250" w:rsidRPr="0077649D">
        <w:rPr>
          <w:rFonts w:ascii="Arial" w:hAnsi="Arial" w:cs="Arial"/>
          <w:sz w:val="22"/>
          <w:szCs w:val="22"/>
        </w:rPr>
        <w:t>se menciona redundancia en protecciones ANSI 87B no se debe entender como de diferente principio de operación.</w:t>
      </w:r>
    </w:p>
    <w:p w14:paraId="6D618173" w14:textId="77777777" w:rsidR="00B76E6C" w:rsidRPr="0077649D" w:rsidRDefault="00835288" w:rsidP="00C04C00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7649D">
        <w:rPr>
          <w:rFonts w:ascii="Arial" w:hAnsi="Arial" w:cs="Arial"/>
          <w:sz w:val="22"/>
          <w:szCs w:val="22"/>
        </w:rPr>
        <w:t xml:space="preserve">Cada </w:t>
      </w:r>
      <w:r w:rsidR="00B76E6C" w:rsidRPr="0077649D" w:rsidDel="00DE1804">
        <w:rPr>
          <w:rFonts w:ascii="Arial" w:hAnsi="Arial" w:cs="Arial"/>
          <w:sz w:val="22"/>
          <w:szCs w:val="22"/>
        </w:rPr>
        <w:t xml:space="preserve">relé ANSI 87B deberá ser de fase segregada y deberá seleccionarse de acuerdo con la configuración de la subestación, incluyendo la determinación del número de zonas de la protección. </w:t>
      </w:r>
    </w:p>
    <w:p w14:paraId="50B00220" w14:textId="29811042" w:rsidR="00B45E1B" w:rsidRPr="0077649D" w:rsidRDefault="00B76E6C" w:rsidP="00C04C00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7649D" w:rsidDel="00DE1804">
        <w:rPr>
          <w:rFonts w:ascii="Arial" w:hAnsi="Arial" w:cs="Arial"/>
          <w:sz w:val="22"/>
          <w:szCs w:val="22"/>
        </w:rPr>
        <w:t xml:space="preserve">El relé seleccionado como protección </w:t>
      </w:r>
      <w:r w:rsidR="00C04C00" w:rsidRPr="0077649D">
        <w:rPr>
          <w:rFonts w:ascii="Arial" w:hAnsi="Arial" w:cs="Arial"/>
          <w:sz w:val="22"/>
          <w:szCs w:val="22"/>
        </w:rPr>
        <w:t xml:space="preserve">ANSI </w:t>
      </w:r>
      <w:r w:rsidRPr="0077649D" w:rsidDel="00DE1804">
        <w:rPr>
          <w:rFonts w:ascii="Arial" w:hAnsi="Arial" w:cs="Arial"/>
          <w:sz w:val="22"/>
          <w:szCs w:val="22"/>
        </w:rPr>
        <w:t>87B deberá contar con algoritmos de detección de condiciones de saturación en los transformadores de corriente</w:t>
      </w:r>
      <w:r w:rsidR="00FD652E" w:rsidRPr="0077649D">
        <w:rPr>
          <w:rFonts w:ascii="Arial" w:hAnsi="Arial" w:cs="Arial"/>
          <w:sz w:val="22"/>
          <w:szCs w:val="22"/>
        </w:rPr>
        <w:t xml:space="preserve"> y de bloqueo por </w:t>
      </w:r>
      <w:r w:rsidR="00034B19" w:rsidRPr="0077649D">
        <w:rPr>
          <w:rFonts w:ascii="Arial" w:hAnsi="Arial" w:cs="Arial"/>
          <w:sz w:val="22"/>
          <w:szCs w:val="22"/>
        </w:rPr>
        <w:t>dicha condición</w:t>
      </w:r>
      <w:r w:rsidRPr="0077649D" w:rsidDel="00DE1804">
        <w:rPr>
          <w:rFonts w:ascii="Arial" w:hAnsi="Arial" w:cs="Arial"/>
          <w:sz w:val="22"/>
          <w:szCs w:val="22"/>
        </w:rPr>
        <w:t xml:space="preserve">. </w:t>
      </w:r>
      <w:r w:rsidRPr="0077649D">
        <w:rPr>
          <w:rFonts w:ascii="Arial" w:hAnsi="Arial" w:cs="Arial"/>
          <w:sz w:val="22"/>
          <w:szCs w:val="22"/>
        </w:rPr>
        <w:t xml:space="preserve">  </w:t>
      </w:r>
    </w:p>
    <w:p w14:paraId="0B4E6E74" w14:textId="77777777" w:rsidR="00B76E6C" w:rsidRPr="0077649D" w:rsidRDefault="00545D41" w:rsidP="00C04C0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7649D">
        <w:rPr>
          <w:rFonts w:ascii="Arial" w:hAnsi="Arial" w:cs="Arial"/>
          <w:sz w:val="22"/>
          <w:szCs w:val="22"/>
        </w:rPr>
        <w:t xml:space="preserve">Se recomienda instalar protecciones ANSI 87B de característica tipo porcentual, centralizada o distribuida. </w:t>
      </w:r>
      <w:r w:rsidR="00B76E6C" w:rsidRPr="0077649D">
        <w:rPr>
          <w:rFonts w:ascii="Arial" w:hAnsi="Arial" w:cs="Arial"/>
          <w:sz w:val="22"/>
          <w:szCs w:val="22"/>
        </w:rPr>
        <w:t xml:space="preserve">En caso de tener protecciones </w:t>
      </w:r>
      <w:r w:rsidR="00C04C00" w:rsidRPr="0077649D">
        <w:rPr>
          <w:rFonts w:ascii="Arial" w:hAnsi="Arial" w:cs="Arial"/>
          <w:sz w:val="22"/>
          <w:szCs w:val="22"/>
        </w:rPr>
        <w:t>ANSI 87B</w:t>
      </w:r>
      <w:r w:rsidR="00B76E6C" w:rsidRPr="0077649D">
        <w:rPr>
          <w:rFonts w:ascii="Arial" w:hAnsi="Arial" w:cs="Arial"/>
          <w:sz w:val="22"/>
          <w:szCs w:val="22"/>
        </w:rPr>
        <w:t xml:space="preserve"> centralizadas</w:t>
      </w:r>
      <w:r w:rsidR="00C04C00" w:rsidRPr="0077649D">
        <w:rPr>
          <w:rFonts w:ascii="Arial" w:hAnsi="Arial" w:cs="Arial"/>
          <w:sz w:val="22"/>
          <w:szCs w:val="22"/>
        </w:rPr>
        <w:t>,</w:t>
      </w:r>
      <w:r w:rsidR="00B76E6C" w:rsidRPr="0077649D">
        <w:rPr>
          <w:rFonts w:ascii="Arial" w:hAnsi="Arial" w:cs="Arial"/>
          <w:sz w:val="22"/>
          <w:szCs w:val="22"/>
        </w:rPr>
        <w:t xml:space="preserve"> cada una de ellas se deberán </w:t>
      </w:r>
      <w:r w:rsidR="00B76E6C" w:rsidRPr="0077649D">
        <w:rPr>
          <w:rFonts w:ascii="Arial" w:hAnsi="Arial" w:cs="Arial"/>
          <w:sz w:val="22"/>
          <w:szCs w:val="22"/>
          <w:lang w:val="es-419"/>
        </w:rPr>
        <w:t>instalar</w:t>
      </w:r>
      <w:r w:rsidR="00B76E6C" w:rsidRPr="0077649D">
        <w:rPr>
          <w:rFonts w:ascii="Arial" w:hAnsi="Arial" w:cs="Arial"/>
          <w:sz w:val="22"/>
          <w:szCs w:val="22"/>
        </w:rPr>
        <w:t xml:space="preserve"> en diferentes tableros, </w:t>
      </w:r>
      <w:r w:rsidR="00B76E6C" w:rsidRPr="0077649D">
        <w:rPr>
          <w:rFonts w:ascii="Arial" w:hAnsi="Arial" w:cs="Arial"/>
          <w:sz w:val="22"/>
          <w:szCs w:val="22"/>
          <w:lang w:val="es-419"/>
        </w:rPr>
        <w:t xml:space="preserve">de </w:t>
      </w:r>
      <w:r w:rsidR="00B76E6C" w:rsidRPr="0077649D">
        <w:rPr>
          <w:rFonts w:ascii="Arial" w:hAnsi="Arial" w:cs="Arial"/>
          <w:sz w:val="22"/>
          <w:szCs w:val="22"/>
        </w:rPr>
        <w:t xml:space="preserve">tal </w:t>
      </w:r>
      <w:r w:rsidR="00B76E6C" w:rsidRPr="0077649D">
        <w:rPr>
          <w:rFonts w:ascii="Arial" w:hAnsi="Arial" w:cs="Arial"/>
          <w:sz w:val="22"/>
          <w:szCs w:val="22"/>
          <w:lang w:val="es-419"/>
        </w:rPr>
        <w:t xml:space="preserve">manera </w:t>
      </w:r>
      <w:r w:rsidR="00B76E6C" w:rsidRPr="0077649D">
        <w:rPr>
          <w:rFonts w:ascii="Arial" w:hAnsi="Arial" w:cs="Arial"/>
          <w:sz w:val="22"/>
          <w:szCs w:val="22"/>
        </w:rPr>
        <w:t>que el mantenimiento (o indisponibilidad) de una de las mismas no indisponga la otra protección diferencial</w:t>
      </w:r>
      <w:r w:rsidR="00C04C00" w:rsidRPr="0077649D">
        <w:rPr>
          <w:rFonts w:ascii="Arial" w:hAnsi="Arial" w:cs="Arial"/>
          <w:sz w:val="22"/>
          <w:szCs w:val="22"/>
        </w:rPr>
        <w:t>; p</w:t>
      </w:r>
      <w:r w:rsidR="00B76E6C" w:rsidRPr="0077649D">
        <w:rPr>
          <w:rFonts w:ascii="Arial" w:hAnsi="Arial" w:cs="Arial"/>
          <w:sz w:val="22"/>
          <w:szCs w:val="22"/>
        </w:rPr>
        <w:t>ara las protecciones distribuidas la unidad central podrá compartir tablero siempre y cuando el mantenimiento (o indisponibilidad) de una de las mismas no indisponga la otra protección diferencial.</w:t>
      </w:r>
    </w:p>
    <w:p w14:paraId="5AF01009" w14:textId="28842817" w:rsidR="00EB4066" w:rsidRPr="0077649D" w:rsidRDefault="00EB4066" w:rsidP="00C04C0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7649D">
        <w:rPr>
          <w:rFonts w:ascii="Arial" w:hAnsi="Arial" w:cs="Arial"/>
          <w:sz w:val="22"/>
          <w:szCs w:val="22"/>
        </w:rPr>
        <w:t>En caso de habilitar la función falla interruptor (ANSI 50BF)</w:t>
      </w:r>
      <w:r w:rsidR="00922461" w:rsidRPr="0077649D">
        <w:rPr>
          <w:rFonts w:ascii="Arial" w:hAnsi="Arial" w:cs="Arial"/>
          <w:sz w:val="22"/>
          <w:szCs w:val="22"/>
        </w:rPr>
        <w:t xml:space="preserve"> en protecciones ANSI 87B, </w:t>
      </w:r>
      <w:r w:rsidR="009708BC" w:rsidRPr="0077649D">
        <w:rPr>
          <w:rFonts w:ascii="Arial" w:hAnsi="Arial" w:cs="Arial"/>
          <w:sz w:val="22"/>
          <w:szCs w:val="22"/>
        </w:rPr>
        <w:t xml:space="preserve">el procesamiento de la </w:t>
      </w:r>
      <w:r w:rsidR="00922461" w:rsidRPr="0077649D">
        <w:rPr>
          <w:rFonts w:ascii="Arial" w:hAnsi="Arial" w:cs="Arial"/>
          <w:sz w:val="22"/>
          <w:szCs w:val="22"/>
        </w:rPr>
        <w:t xml:space="preserve">función ANSI 50BF </w:t>
      </w:r>
      <w:r w:rsidR="009708BC" w:rsidRPr="0077649D">
        <w:rPr>
          <w:rFonts w:ascii="Arial" w:hAnsi="Arial" w:cs="Arial"/>
          <w:sz w:val="22"/>
          <w:szCs w:val="22"/>
        </w:rPr>
        <w:t xml:space="preserve">de cada bahía </w:t>
      </w:r>
      <w:r w:rsidR="00922461" w:rsidRPr="0077649D">
        <w:rPr>
          <w:rFonts w:ascii="Arial" w:hAnsi="Arial" w:cs="Arial"/>
          <w:sz w:val="22"/>
          <w:szCs w:val="22"/>
        </w:rPr>
        <w:t>debe ser</w:t>
      </w:r>
      <w:r w:rsidR="009708BC" w:rsidRPr="0077649D">
        <w:rPr>
          <w:rFonts w:ascii="Arial" w:hAnsi="Arial" w:cs="Arial"/>
          <w:sz w:val="22"/>
          <w:szCs w:val="22"/>
        </w:rPr>
        <w:t xml:space="preserve"> independiente </w:t>
      </w:r>
      <w:r w:rsidR="00922461" w:rsidRPr="0077649D">
        <w:rPr>
          <w:rFonts w:ascii="Arial" w:hAnsi="Arial" w:cs="Arial"/>
          <w:sz w:val="22"/>
          <w:szCs w:val="22"/>
        </w:rPr>
        <w:t>de la unidad central</w:t>
      </w:r>
      <w:r w:rsidR="009708BC" w:rsidRPr="0077649D">
        <w:rPr>
          <w:rFonts w:ascii="Arial" w:hAnsi="Arial" w:cs="Arial"/>
          <w:sz w:val="22"/>
          <w:szCs w:val="22"/>
        </w:rPr>
        <w:t xml:space="preserve"> (solo dependerá de la unidad central para </w:t>
      </w:r>
      <w:r w:rsidR="00034B19" w:rsidRPr="0077649D">
        <w:rPr>
          <w:rFonts w:ascii="Arial" w:hAnsi="Arial" w:cs="Arial"/>
          <w:sz w:val="22"/>
          <w:szCs w:val="22"/>
        </w:rPr>
        <w:t>la determinación de posición de equipos y determinación de los interruptores a disparar</w:t>
      </w:r>
      <w:r w:rsidR="009708BC" w:rsidRPr="0077649D">
        <w:rPr>
          <w:rFonts w:ascii="Arial" w:hAnsi="Arial" w:cs="Arial"/>
          <w:sz w:val="22"/>
          <w:szCs w:val="22"/>
        </w:rPr>
        <w:t>)</w:t>
      </w:r>
      <w:r w:rsidR="00922461" w:rsidRPr="0077649D">
        <w:rPr>
          <w:rFonts w:ascii="Arial" w:hAnsi="Arial" w:cs="Arial"/>
          <w:sz w:val="22"/>
          <w:szCs w:val="22"/>
        </w:rPr>
        <w:t>.</w:t>
      </w:r>
    </w:p>
    <w:p w14:paraId="46A41671" w14:textId="24094B89" w:rsidR="00835288" w:rsidRPr="0077649D" w:rsidRDefault="00B76E6C" w:rsidP="00C04C0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7649D">
        <w:rPr>
          <w:rFonts w:ascii="Arial" w:hAnsi="Arial" w:cs="Arial"/>
          <w:sz w:val="22"/>
          <w:szCs w:val="22"/>
        </w:rPr>
        <w:t>La alimentación</w:t>
      </w:r>
      <w:r w:rsidR="00C04C00" w:rsidRPr="0077649D">
        <w:rPr>
          <w:rFonts w:ascii="Arial" w:hAnsi="Arial" w:cs="Arial"/>
          <w:sz w:val="22"/>
          <w:szCs w:val="22"/>
        </w:rPr>
        <w:t xml:space="preserve"> </w:t>
      </w:r>
      <w:r w:rsidRPr="0077649D">
        <w:rPr>
          <w:rFonts w:ascii="Arial" w:hAnsi="Arial" w:cs="Arial"/>
          <w:sz w:val="22"/>
          <w:szCs w:val="22"/>
        </w:rPr>
        <w:t>DC de cada sistema de protección</w:t>
      </w:r>
      <w:r w:rsidR="00B45E1B" w:rsidRPr="0077649D">
        <w:rPr>
          <w:rFonts w:ascii="Arial" w:hAnsi="Arial" w:cs="Arial"/>
          <w:sz w:val="22"/>
          <w:szCs w:val="22"/>
        </w:rPr>
        <w:t xml:space="preserve"> ANSI 87B</w:t>
      </w:r>
      <w:r w:rsidRPr="0077649D">
        <w:rPr>
          <w:rFonts w:ascii="Arial" w:hAnsi="Arial" w:cs="Arial"/>
          <w:sz w:val="22"/>
          <w:szCs w:val="22"/>
        </w:rPr>
        <w:t xml:space="preserve"> debe ser independiente</w:t>
      </w:r>
      <w:r w:rsidR="00835288" w:rsidRPr="0077649D">
        <w:rPr>
          <w:rFonts w:ascii="Arial" w:hAnsi="Arial" w:cs="Arial"/>
          <w:sz w:val="22"/>
          <w:szCs w:val="22"/>
          <w:lang w:val="es-419"/>
        </w:rPr>
        <w:t>.</w:t>
      </w:r>
    </w:p>
    <w:p w14:paraId="1FFDB97B" w14:textId="3E23D380" w:rsidR="00835288" w:rsidRPr="0077649D" w:rsidRDefault="00835288" w:rsidP="00C04C0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7649D">
        <w:rPr>
          <w:rFonts w:ascii="Arial" w:hAnsi="Arial" w:cs="Arial"/>
          <w:sz w:val="22"/>
          <w:szCs w:val="22"/>
        </w:rPr>
        <w:t>Las</w:t>
      </w:r>
      <w:r w:rsidR="00B275E3" w:rsidRPr="0077649D">
        <w:rPr>
          <w:rFonts w:ascii="Arial" w:hAnsi="Arial" w:cs="Arial"/>
          <w:sz w:val="22"/>
          <w:szCs w:val="22"/>
        </w:rPr>
        <w:t xml:space="preserve"> señales</w:t>
      </w:r>
      <w:r w:rsidR="00B76E6C" w:rsidRPr="0077649D">
        <w:rPr>
          <w:rFonts w:ascii="Arial" w:hAnsi="Arial" w:cs="Arial"/>
          <w:sz w:val="22"/>
          <w:szCs w:val="22"/>
        </w:rPr>
        <w:t xml:space="preserve"> de corriente para </w:t>
      </w:r>
      <w:r w:rsidR="00C04C00" w:rsidRPr="0077649D">
        <w:rPr>
          <w:rFonts w:ascii="Arial" w:hAnsi="Arial" w:cs="Arial"/>
          <w:sz w:val="22"/>
          <w:szCs w:val="22"/>
        </w:rPr>
        <w:t>cada relé ANSI 87B</w:t>
      </w:r>
      <w:r w:rsidR="00B76E6C" w:rsidRPr="0077649D">
        <w:rPr>
          <w:rFonts w:ascii="Arial" w:hAnsi="Arial" w:cs="Arial"/>
          <w:sz w:val="22"/>
          <w:szCs w:val="22"/>
          <w:lang w:val="es-419"/>
        </w:rPr>
        <w:t xml:space="preserve"> </w:t>
      </w:r>
      <w:r w:rsidR="00B76E6C" w:rsidRPr="0077649D">
        <w:rPr>
          <w:rFonts w:ascii="Arial" w:hAnsi="Arial" w:cs="Arial"/>
          <w:sz w:val="22"/>
          <w:szCs w:val="22"/>
        </w:rPr>
        <w:t>debe</w:t>
      </w:r>
      <w:r w:rsidR="00B45E1B" w:rsidRPr="0077649D">
        <w:rPr>
          <w:rFonts w:ascii="Arial" w:hAnsi="Arial" w:cs="Arial"/>
          <w:sz w:val="22"/>
          <w:szCs w:val="22"/>
        </w:rPr>
        <w:t>n</w:t>
      </w:r>
      <w:r w:rsidR="00B76E6C" w:rsidRPr="0077649D">
        <w:rPr>
          <w:rFonts w:ascii="Arial" w:hAnsi="Arial" w:cs="Arial"/>
          <w:sz w:val="22"/>
          <w:szCs w:val="22"/>
        </w:rPr>
        <w:t xml:space="preserve"> ser tomadas</w:t>
      </w:r>
      <w:r w:rsidR="00B76E6C" w:rsidRPr="0077649D">
        <w:rPr>
          <w:rFonts w:ascii="Arial" w:hAnsi="Arial" w:cs="Arial"/>
          <w:sz w:val="22"/>
          <w:szCs w:val="22"/>
          <w:lang w:val="es-419"/>
        </w:rPr>
        <w:t xml:space="preserve"> </w:t>
      </w:r>
      <w:r w:rsidRPr="0077649D">
        <w:rPr>
          <w:rFonts w:ascii="Arial" w:hAnsi="Arial" w:cs="Arial"/>
          <w:sz w:val="22"/>
          <w:szCs w:val="22"/>
          <w:lang w:val="es-419"/>
        </w:rPr>
        <w:t xml:space="preserve">de </w:t>
      </w:r>
      <w:r w:rsidR="004E0088" w:rsidRPr="0077649D">
        <w:rPr>
          <w:rFonts w:ascii="Arial" w:hAnsi="Arial" w:cs="Arial"/>
          <w:sz w:val="22"/>
          <w:szCs w:val="22"/>
          <w:lang w:val="es-419"/>
        </w:rPr>
        <w:t>dif</w:t>
      </w:r>
      <w:r w:rsidR="004E3B8A" w:rsidRPr="0077649D">
        <w:rPr>
          <w:rFonts w:ascii="Arial" w:hAnsi="Arial" w:cs="Arial"/>
          <w:sz w:val="22"/>
          <w:szCs w:val="22"/>
          <w:lang w:val="es-419"/>
        </w:rPr>
        <w:t>er</w:t>
      </w:r>
      <w:r w:rsidR="004E0088" w:rsidRPr="0077649D">
        <w:rPr>
          <w:rFonts w:ascii="Arial" w:hAnsi="Arial" w:cs="Arial"/>
          <w:sz w:val="22"/>
          <w:szCs w:val="22"/>
          <w:lang w:val="es-419"/>
        </w:rPr>
        <w:t xml:space="preserve">entes </w:t>
      </w:r>
      <w:r w:rsidR="00024FC7" w:rsidRPr="0077649D">
        <w:rPr>
          <w:rFonts w:ascii="Arial" w:hAnsi="Arial" w:cs="Arial"/>
          <w:sz w:val="22"/>
          <w:szCs w:val="22"/>
          <w:lang w:val="es-419"/>
        </w:rPr>
        <w:t xml:space="preserve">circuitos de corriente y </w:t>
      </w:r>
      <w:r w:rsidR="004E3B8A" w:rsidRPr="0077649D">
        <w:rPr>
          <w:rFonts w:ascii="Arial" w:hAnsi="Arial" w:cs="Arial"/>
          <w:sz w:val="22"/>
          <w:szCs w:val="22"/>
          <w:lang w:val="es-419"/>
        </w:rPr>
        <w:t xml:space="preserve">diferentes </w:t>
      </w:r>
      <w:r w:rsidRPr="0077649D">
        <w:rPr>
          <w:rFonts w:ascii="Arial" w:hAnsi="Arial" w:cs="Arial"/>
          <w:sz w:val="22"/>
          <w:szCs w:val="22"/>
          <w:lang w:val="es-419"/>
        </w:rPr>
        <w:t>núcleos</w:t>
      </w:r>
      <w:r w:rsidR="00FD652E" w:rsidRPr="0077649D">
        <w:rPr>
          <w:rFonts w:ascii="Arial" w:hAnsi="Arial" w:cs="Arial"/>
          <w:sz w:val="22"/>
          <w:szCs w:val="22"/>
          <w:lang w:val="es-419"/>
        </w:rPr>
        <w:t xml:space="preserve"> secundarios</w:t>
      </w:r>
      <w:r w:rsidRPr="0077649D">
        <w:rPr>
          <w:rFonts w:ascii="Arial" w:hAnsi="Arial" w:cs="Arial"/>
          <w:sz w:val="22"/>
          <w:szCs w:val="22"/>
          <w:lang w:val="es-419"/>
        </w:rPr>
        <w:t xml:space="preserve"> de los </w:t>
      </w:r>
      <w:r w:rsidR="00FD652E" w:rsidRPr="0077649D">
        <w:rPr>
          <w:rFonts w:ascii="Arial" w:hAnsi="Arial" w:cs="Arial"/>
          <w:sz w:val="22"/>
          <w:szCs w:val="22"/>
          <w:lang w:val="es-419"/>
        </w:rPr>
        <w:t>t</w:t>
      </w:r>
      <w:r w:rsidRPr="0077649D">
        <w:rPr>
          <w:rFonts w:ascii="Arial" w:hAnsi="Arial" w:cs="Arial"/>
          <w:sz w:val="22"/>
          <w:szCs w:val="22"/>
          <w:lang w:val="es-419"/>
        </w:rPr>
        <w:t xml:space="preserve">ransformadores de </w:t>
      </w:r>
      <w:r w:rsidR="00FD652E" w:rsidRPr="0077649D">
        <w:rPr>
          <w:rFonts w:ascii="Arial" w:hAnsi="Arial" w:cs="Arial"/>
          <w:sz w:val="22"/>
          <w:szCs w:val="22"/>
          <w:lang w:val="es-419"/>
        </w:rPr>
        <w:t>c</w:t>
      </w:r>
      <w:r w:rsidRPr="0077649D">
        <w:rPr>
          <w:rFonts w:ascii="Arial" w:hAnsi="Arial" w:cs="Arial"/>
          <w:sz w:val="22"/>
          <w:szCs w:val="22"/>
          <w:lang w:val="es-419"/>
        </w:rPr>
        <w:t>orriente (</w:t>
      </w:r>
      <w:proofErr w:type="spellStart"/>
      <w:r w:rsidR="004B7B14" w:rsidRPr="0077649D">
        <w:rPr>
          <w:rFonts w:ascii="Arial" w:hAnsi="Arial" w:cs="Arial"/>
          <w:sz w:val="22"/>
          <w:szCs w:val="22"/>
        </w:rPr>
        <w:t>TC</w:t>
      </w:r>
      <w:r w:rsidR="00C04C00" w:rsidRPr="0077649D">
        <w:rPr>
          <w:rFonts w:ascii="Arial" w:hAnsi="Arial" w:cs="Arial"/>
          <w:sz w:val="22"/>
          <w:szCs w:val="22"/>
        </w:rPr>
        <w:t>’s</w:t>
      </w:r>
      <w:proofErr w:type="spellEnd"/>
      <w:r w:rsidR="004B7B14" w:rsidRPr="0077649D">
        <w:rPr>
          <w:rFonts w:ascii="Arial" w:hAnsi="Arial" w:cs="Arial"/>
          <w:sz w:val="22"/>
          <w:szCs w:val="22"/>
        </w:rPr>
        <w:t>)</w:t>
      </w:r>
      <w:r w:rsidRPr="0077649D">
        <w:rPr>
          <w:rFonts w:ascii="Arial" w:hAnsi="Arial" w:cs="Arial"/>
          <w:sz w:val="22"/>
          <w:szCs w:val="22"/>
        </w:rPr>
        <w:t>.</w:t>
      </w:r>
      <w:r w:rsidR="004B7B14" w:rsidRPr="0077649D">
        <w:rPr>
          <w:rFonts w:ascii="Arial" w:hAnsi="Arial" w:cs="Arial"/>
          <w:sz w:val="22"/>
          <w:szCs w:val="22"/>
        </w:rPr>
        <w:t xml:space="preserve"> En este caso, se debe tener en cuenta que los </w:t>
      </w:r>
      <w:proofErr w:type="spellStart"/>
      <w:r w:rsidR="00C04C00" w:rsidRPr="0077649D">
        <w:rPr>
          <w:rFonts w:ascii="Arial" w:hAnsi="Arial" w:cs="Arial"/>
          <w:sz w:val="22"/>
          <w:szCs w:val="22"/>
        </w:rPr>
        <w:t>TC’s</w:t>
      </w:r>
      <w:proofErr w:type="spellEnd"/>
      <w:r w:rsidR="004B7B14" w:rsidRPr="0077649D">
        <w:rPr>
          <w:rFonts w:ascii="Arial" w:hAnsi="Arial" w:cs="Arial"/>
          <w:sz w:val="22"/>
          <w:szCs w:val="22"/>
        </w:rPr>
        <w:t xml:space="preserve"> deben contar con los núcleos de protección necesarios para las dos protecciones principales y las dos diferenciales de barra</w:t>
      </w:r>
      <w:r w:rsidR="004B7B14" w:rsidRPr="0077649D">
        <w:rPr>
          <w:rStyle w:val="Refdenotaalpie"/>
          <w:rFonts w:ascii="Arial" w:hAnsi="Arial" w:cs="Arial"/>
          <w:sz w:val="22"/>
          <w:szCs w:val="22"/>
        </w:rPr>
        <w:footnoteReference w:id="4"/>
      </w:r>
      <w:r w:rsidR="004B7B14" w:rsidRPr="0077649D">
        <w:rPr>
          <w:rFonts w:ascii="Arial" w:hAnsi="Arial" w:cs="Arial"/>
          <w:sz w:val="22"/>
          <w:szCs w:val="22"/>
        </w:rPr>
        <w:t>.</w:t>
      </w:r>
    </w:p>
    <w:p w14:paraId="63C161A6" w14:textId="77777777" w:rsidR="00B76E6C" w:rsidRPr="0077649D" w:rsidRDefault="004B7B14" w:rsidP="00C04C0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7649D">
        <w:rPr>
          <w:rFonts w:ascii="Arial" w:hAnsi="Arial" w:cs="Arial"/>
          <w:sz w:val="22"/>
          <w:szCs w:val="22"/>
        </w:rPr>
        <w:lastRenderedPageBreak/>
        <w:t>C</w:t>
      </w:r>
      <w:r w:rsidR="00B76E6C" w:rsidRPr="0077649D">
        <w:rPr>
          <w:rFonts w:ascii="Arial" w:hAnsi="Arial" w:cs="Arial"/>
          <w:sz w:val="22"/>
          <w:szCs w:val="22"/>
        </w:rPr>
        <w:t xml:space="preserve">ada </w:t>
      </w:r>
      <w:r w:rsidR="00C04C00" w:rsidRPr="0077649D">
        <w:rPr>
          <w:rFonts w:ascii="Arial" w:hAnsi="Arial" w:cs="Arial"/>
          <w:sz w:val="22"/>
          <w:szCs w:val="22"/>
        </w:rPr>
        <w:t>relé ANSI 87B</w:t>
      </w:r>
      <w:r w:rsidR="00B76E6C" w:rsidRPr="0077649D">
        <w:rPr>
          <w:rFonts w:ascii="Arial" w:hAnsi="Arial" w:cs="Arial"/>
          <w:sz w:val="22"/>
          <w:szCs w:val="22"/>
        </w:rPr>
        <w:t xml:space="preserve"> debe tener la posibilidad de comandar disparo a ambas bobinas de los interruptores. </w:t>
      </w:r>
    </w:p>
    <w:p w14:paraId="34941541" w14:textId="023232D3" w:rsidR="000D7A46" w:rsidRPr="0077649D" w:rsidRDefault="00C04C00" w:rsidP="00B76E6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7649D">
        <w:rPr>
          <w:rFonts w:ascii="Arial" w:hAnsi="Arial" w:cs="Arial"/>
          <w:sz w:val="22"/>
          <w:szCs w:val="22"/>
        </w:rPr>
        <w:t xml:space="preserve">No deben existir zonas sin protección </w:t>
      </w:r>
      <w:r w:rsidR="00963565" w:rsidRPr="0077649D">
        <w:rPr>
          <w:rFonts w:ascii="Arial" w:hAnsi="Arial" w:cs="Arial"/>
          <w:sz w:val="22"/>
          <w:szCs w:val="22"/>
        </w:rPr>
        <w:t xml:space="preserve">principal </w:t>
      </w:r>
      <w:r w:rsidRPr="0077649D">
        <w:rPr>
          <w:rFonts w:ascii="Arial" w:hAnsi="Arial" w:cs="Arial"/>
          <w:sz w:val="22"/>
          <w:szCs w:val="22"/>
        </w:rPr>
        <w:t>en ninguna subestación.</w:t>
      </w:r>
    </w:p>
    <w:p w14:paraId="091429C3" w14:textId="0A77E4E0" w:rsidR="00123346" w:rsidRPr="0077649D" w:rsidRDefault="00B76E6C" w:rsidP="00B76E6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7649D">
        <w:rPr>
          <w:rFonts w:ascii="Arial" w:hAnsi="Arial" w:cs="Arial"/>
          <w:sz w:val="22"/>
          <w:szCs w:val="22"/>
        </w:rPr>
        <w:t xml:space="preserve">Se debe solicitar que las características técnicas de los </w:t>
      </w:r>
      <w:proofErr w:type="spellStart"/>
      <w:r w:rsidRPr="0077649D">
        <w:rPr>
          <w:rFonts w:ascii="Arial" w:hAnsi="Arial" w:cs="Arial"/>
          <w:sz w:val="22"/>
          <w:szCs w:val="22"/>
        </w:rPr>
        <w:t>CT´s</w:t>
      </w:r>
      <w:proofErr w:type="spellEnd"/>
      <w:r w:rsidRPr="0077649D">
        <w:rPr>
          <w:rFonts w:ascii="Arial" w:hAnsi="Arial" w:cs="Arial"/>
          <w:sz w:val="22"/>
          <w:szCs w:val="22"/>
        </w:rPr>
        <w:t xml:space="preserve"> sean seleccionadas para evitar saturación de sus núcleos de protección ante el nivel de cortocircuito que la UPME defina para la barra</w:t>
      </w:r>
      <w:r w:rsidR="000D7A46" w:rsidRPr="0077649D">
        <w:rPr>
          <w:rFonts w:ascii="Arial" w:hAnsi="Arial" w:cs="Arial"/>
          <w:sz w:val="22"/>
          <w:szCs w:val="22"/>
        </w:rPr>
        <w:t>.</w:t>
      </w:r>
    </w:p>
    <w:sectPr w:rsidR="00123346" w:rsidRPr="0077649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B6A07" w14:textId="77777777" w:rsidR="00BD6C23" w:rsidRDefault="00BD6C23" w:rsidP="00B76E6C">
      <w:pPr>
        <w:spacing w:before="0" w:after="0"/>
      </w:pPr>
      <w:r>
        <w:separator/>
      </w:r>
    </w:p>
  </w:endnote>
  <w:endnote w:type="continuationSeparator" w:id="0">
    <w:p w14:paraId="062F9F27" w14:textId="77777777" w:rsidR="00BD6C23" w:rsidRDefault="00BD6C23" w:rsidP="00B76E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B349F" w14:textId="77777777" w:rsidR="00BD6C23" w:rsidRDefault="00BD6C23" w:rsidP="00B76E6C">
      <w:pPr>
        <w:spacing w:before="0" w:after="0"/>
      </w:pPr>
      <w:r>
        <w:separator/>
      </w:r>
    </w:p>
  </w:footnote>
  <w:footnote w:type="continuationSeparator" w:id="0">
    <w:p w14:paraId="58F43758" w14:textId="77777777" w:rsidR="00BD6C23" w:rsidRDefault="00BD6C23" w:rsidP="00B76E6C">
      <w:pPr>
        <w:spacing w:before="0" w:after="0"/>
      </w:pPr>
      <w:r>
        <w:continuationSeparator/>
      </w:r>
    </w:p>
  </w:footnote>
  <w:footnote w:id="1">
    <w:p w14:paraId="1546241F" w14:textId="77777777" w:rsidR="00B76E6C" w:rsidRPr="00165D99" w:rsidRDefault="00B76E6C" w:rsidP="00450550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A5E79">
        <w:rPr>
          <w:sz w:val="18"/>
          <w:szCs w:val="18"/>
        </w:rPr>
        <w:t>Propuesta de requisitos para subestaciones convencionales.</w:t>
      </w:r>
    </w:p>
  </w:footnote>
  <w:footnote w:id="2">
    <w:p w14:paraId="3EE478A7" w14:textId="23E890CC" w:rsidR="00B45E1B" w:rsidRPr="00E5458A" w:rsidRDefault="00B45E1B" w:rsidP="00450550">
      <w:pPr>
        <w:pStyle w:val="Textonotapie"/>
        <w:jc w:val="both"/>
        <w:rPr>
          <w:sz w:val="18"/>
          <w:lang w:val="en-US"/>
        </w:rPr>
      </w:pPr>
      <w:r>
        <w:rPr>
          <w:rStyle w:val="Refdenotaalpie"/>
        </w:rPr>
        <w:footnoteRef/>
      </w:r>
      <w:r w:rsidRPr="00E5458A">
        <w:rPr>
          <w:lang w:val="en-US"/>
        </w:rPr>
        <w:t xml:space="preserve"> </w:t>
      </w:r>
      <w:r w:rsidRPr="00E5458A">
        <w:rPr>
          <w:sz w:val="18"/>
          <w:lang w:val="en-US"/>
        </w:rPr>
        <w:t xml:space="preserve">IEEE C37.113 de 2015 </w:t>
      </w:r>
      <w:r w:rsidRPr="00E5458A">
        <w:rPr>
          <w:lang w:val="en-US"/>
        </w:rPr>
        <w:t xml:space="preserve">- </w:t>
      </w:r>
      <w:r w:rsidRPr="00E5458A">
        <w:rPr>
          <w:sz w:val="18"/>
          <w:lang w:val="en-US"/>
        </w:rPr>
        <w:t>4.6 Redundancy and backup considerations</w:t>
      </w:r>
      <w:r w:rsidR="004B3711">
        <w:rPr>
          <w:sz w:val="18"/>
          <w:lang w:val="en-US"/>
        </w:rPr>
        <w:t>.</w:t>
      </w:r>
    </w:p>
  </w:footnote>
  <w:footnote w:id="3">
    <w:p w14:paraId="5DF56BC5" w14:textId="77777777" w:rsidR="00DE1804" w:rsidRPr="00DE1804" w:rsidRDefault="00DE1804" w:rsidP="00450550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590076">
        <w:rPr>
          <w:sz w:val="18"/>
          <w:szCs w:val="18"/>
        </w:rPr>
        <w:t>La</w:t>
      </w:r>
      <w:r w:rsidR="00590076" w:rsidRPr="00590076">
        <w:rPr>
          <w:sz w:val="18"/>
          <w:szCs w:val="18"/>
        </w:rPr>
        <w:t xml:space="preserve"> identificación de </w:t>
      </w:r>
      <w:r w:rsidRPr="00590076">
        <w:rPr>
          <w:sz w:val="18"/>
          <w:szCs w:val="18"/>
        </w:rPr>
        <w:t xml:space="preserve">subestaciones criticas </w:t>
      </w:r>
      <w:r w:rsidR="0083274D" w:rsidRPr="00590076">
        <w:rPr>
          <w:sz w:val="18"/>
          <w:szCs w:val="18"/>
        </w:rPr>
        <w:t>está</w:t>
      </w:r>
      <w:r w:rsidR="00590076" w:rsidRPr="00590076">
        <w:rPr>
          <w:sz w:val="18"/>
          <w:szCs w:val="18"/>
        </w:rPr>
        <w:t xml:space="preserve"> siendo liderada en el </w:t>
      </w:r>
      <w:r w:rsidR="00387291">
        <w:rPr>
          <w:sz w:val="18"/>
          <w:szCs w:val="18"/>
        </w:rPr>
        <w:t>CNO</w:t>
      </w:r>
      <w:r w:rsidR="00590076" w:rsidRPr="00590076">
        <w:rPr>
          <w:sz w:val="18"/>
          <w:szCs w:val="18"/>
        </w:rPr>
        <w:t xml:space="preserve"> por el SAPE.</w:t>
      </w:r>
    </w:p>
  </w:footnote>
  <w:footnote w:id="4">
    <w:p w14:paraId="2B343AE3" w14:textId="30644E63" w:rsidR="004B7B14" w:rsidRPr="00C16B32" w:rsidRDefault="004B7B14" w:rsidP="00450550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D62706">
        <w:rPr>
          <w:sz w:val="18"/>
          <w:szCs w:val="18"/>
        </w:rPr>
        <w:t>Para el caso de subestaciones existentes se debe revisar la posibilidad de disponer de núcleos independientes, sino se podrá compartir núcleo con otras protecciones</w:t>
      </w:r>
      <w:r w:rsidR="00024FC7">
        <w:rPr>
          <w:sz w:val="18"/>
          <w:szCs w:val="18"/>
        </w:rPr>
        <w:t xml:space="preserve"> de línea</w:t>
      </w:r>
      <w:r w:rsidRPr="00D62706">
        <w:rPr>
          <w:sz w:val="18"/>
          <w:szCs w:val="18"/>
        </w:rPr>
        <w:t>, para este último caso tener en cuenta la polaridad de las corrientes.</w:t>
      </w:r>
      <w:r w:rsidR="00C04C00">
        <w:rPr>
          <w:sz w:val="18"/>
          <w:szCs w:val="18"/>
        </w:rPr>
        <w:t xml:space="preserve"> Para subestaciones nuevas se debe contar con núcleos independientes para cada protección ANSI 87B.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6FED5" w14:textId="69DDB738" w:rsidR="00677148" w:rsidRDefault="00677148" w:rsidP="00677148">
    <w:pPr>
      <w:pStyle w:val="Encabezado"/>
      <w:jc w:val="center"/>
    </w:pPr>
    <w:r>
      <w:rPr>
        <w:noProof/>
        <w:color w:val="000000"/>
        <w:lang w:eastAsia="es-CO"/>
      </w:rPr>
      <w:drawing>
        <wp:inline distT="0" distB="0" distL="0" distR="0" wp14:anchorId="79CAD9D9" wp14:editId="7614595B">
          <wp:extent cx="2117284" cy="806584"/>
          <wp:effectExtent l="0" t="0" r="0" b="0"/>
          <wp:docPr id="18" name="image2.jpg" descr="cid:image003.jpg@01D3FCA7.940CA1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id:image003.jpg@01D3FCA7.940CA13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7284" cy="806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16F8C"/>
    <w:multiLevelType w:val="hybridMultilevel"/>
    <w:tmpl w:val="629A39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B938DE"/>
    <w:multiLevelType w:val="hybridMultilevel"/>
    <w:tmpl w:val="CF00B6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F612F3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6C"/>
    <w:rsid w:val="00024FC7"/>
    <w:rsid w:val="00034B19"/>
    <w:rsid w:val="00082BD8"/>
    <w:rsid w:val="000D7A46"/>
    <w:rsid w:val="00123346"/>
    <w:rsid w:val="00253311"/>
    <w:rsid w:val="00266155"/>
    <w:rsid w:val="00304FE6"/>
    <w:rsid w:val="00387291"/>
    <w:rsid w:val="003A174A"/>
    <w:rsid w:val="00435F68"/>
    <w:rsid w:val="00450550"/>
    <w:rsid w:val="004B3711"/>
    <w:rsid w:val="004B7B14"/>
    <w:rsid w:val="004E0088"/>
    <w:rsid w:val="004E3B8A"/>
    <w:rsid w:val="00545D41"/>
    <w:rsid w:val="00590076"/>
    <w:rsid w:val="005954DF"/>
    <w:rsid w:val="00613194"/>
    <w:rsid w:val="00677148"/>
    <w:rsid w:val="006B2E08"/>
    <w:rsid w:val="006D0956"/>
    <w:rsid w:val="00722391"/>
    <w:rsid w:val="00722E02"/>
    <w:rsid w:val="00775B40"/>
    <w:rsid w:val="0077649D"/>
    <w:rsid w:val="00791CED"/>
    <w:rsid w:val="0083274D"/>
    <w:rsid w:val="00835288"/>
    <w:rsid w:val="0089149B"/>
    <w:rsid w:val="008F3F25"/>
    <w:rsid w:val="00922461"/>
    <w:rsid w:val="00947FE9"/>
    <w:rsid w:val="00963565"/>
    <w:rsid w:val="009708BC"/>
    <w:rsid w:val="00A036F0"/>
    <w:rsid w:val="00A935D7"/>
    <w:rsid w:val="00B10CF0"/>
    <w:rsid w:val="00B150EC"/>
    <w:rsid w:val="00B26EFF"/>
    <w:rsid w:val="00B275E3"/>
    <w:rsid w:val="00B45E1B"/>
    <w:rsid w:val="00B533CC"/>
    <w:rsid w:val="00B76E6C"/>
    <w:rsid w:val="00BD6C23"/>
    <w:rsid w:val="00C017F9"/>
    <w:rsid w:val="00C04C00"/>
    <w:rsid w:val="00C540C9"/>
    <w:rsid w:val="00CF7250"/>
    <w:rsid w:val="00D00DEC"/>
    <w:rsid w:val="00D87052"/>
    <w:rsid w:val="00DE1804"/>
    <w:rsid w:val="00E0579E"/>
    <w:rsid w:val="00E43731"/>
    <w:rsid w:val="00E641AA"/>
    <w:rsid w:val="00E65288"/>
    <w:rsid w:val="00E92CA3"/>
    <w:rsid w:val="00E959DB"/>
    <w:rsid w:val="00EB4066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AA2E"/>
  <w15:chartTrackingRefBased/>
  <w15:docId w15:val="{6B03330B-771F-4BAB-9E07-73580E1D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6C"/>
    <w:pPr>
      <w:spacing w:before="240" w:after="240" w:line="240" w:lineRule="auto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styleId="Ttulo1">
    <w:name w:val="heading 1"/>
    <w:aliases w:val="UCI Header 1"/>
    <w:basedOn w:val="Normal"/>
    <w:next w:val="Normal"/>
    <w:link w:val="Ttulo1Car"/>
    <w:uiPriority w:val="9"/>
    <w:qFormat/>
    <w:rsid w:val="00B76E6C"/>
    <w:pPr>
      <w:keepNext/>
      <w:numPr>
        <w:numId w:val="1"/>
      </w:numPr>
      <w:spacing w:after="60"/>
      <w:jc w:val="left"/>
      <w:outlineLvl w:val="0"/>
    </w:pPr>
    <w:rPr>
      <w:rFonts w:ascii="Arial Black" w:hAnsi="Arial Black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76E6C"/>
    <w:pPr>
      <w:keepNext/>
      <w:numPr>
        <w:ilvl w:val="1"/>
        <w:numId w:val="1"/>
      </w:numPr>
      <w:spacing w:after="60"/>
      <w:jc w:val="left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76E6C"/>
    <w:pPr>
      <w:keepNext/>
      <w:numPr>
        <w:ilvl w:val="2"/>
        <w:numId w:val="1"/>
      </w:numPr>
      <w:spacing w:before="360"/>
      <w:jc w:val="left"/>
      <w:outlineLvl w:val="2"/>
    </w:pPr>
    <w:rPr>
      <w:b/>
      <w:bCs/>
      <w:sz w:val="24"/>
      <w:szCs w:val="26"/>
    </w:rPr>
  </w:style>
  <w:style w:type="paragraph" w:styleId="Ttulo5">
    <w:name w:val="heading 5"/>
    <w:basedOn w:val="Normal"/>
    <w:next w:val="Normal"/>
    <w:link w:val="Ttulo5Car"/>
    <w:uiPriority w:val="9"/>
    <w:qFormat/>
    <w:rsid w:val="00B76E6C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B76E6C"/>
    <w:pPr>
      <w:numPr>
        <w:ilvl w:val="5"/>
        <w:numId w:val="1"/>
      </w:numPr>
      <w:spacing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B76E6C"/>
    <w:pPr>
      <w:numPr>
        <w:ilvl w:val="6"/>
        <w:numId w:val="1"/>
      </w:numPr>
      <w:spacing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B76E6C"/>
    <w:pPr>
      <w:numPr>
        <w:ilvl w:val="7"/>
        <w:numId w:val="1"/>
      </w:numPr>
      <w:spacing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B76E6C"/>
    <w:pPr>
      <w:numPr>
        <w:ilvl w:val="8"/>
        <w:numId w:val="1"/>
      </w:numPr>
      <w:spacing w:after="60"/>
      <w:outlineLvl w:val="8"/>
    </w:pPr>
    <w:rPr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UCI Header 1 Car"/>
    <w:basedOn w:val="Fuentedeprrafopredeter"/>
    <w:link w:val="Ttulo1"/>
    <w:uiPriority w:val="9"/>
    <w:rsid w:val="00B76E6C"/>
    <w:rPr>
      <w:rFonts w:ascii="Arial Black" w:eastAsia="Times New Roman" w:hAnsi="Arial Black" w:cs="Arial"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76E6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76E6C"/>
    <w:rPr>
      <w:rFonts w:ascii="Arial" w:eastAsia="Times New Roman" w:hAnsi="Arial" w:cs="Arial"/>
      <w:b/>
      <w:bCs/>
      <w:sz w:val="24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B76E6C"/>
    <w:rPr>
      <w:rFonts w:ascii="Arial" w:eastAsia="Times New Roman" w:hAnsi="Arial" w:cs="Arial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76E6C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B76E6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B76E6C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B76E6C"/>
    <w:rPr>
      <w:rFonts w:ascii="Arial" w:eastAsia="Times New Roman" w:hAnsi="Arial" w:cs="Arial"/>
      <w:lang w:val="es-ES" w:eastAsia="es-ES"/>
    </w:rPr>
  </w:style>
  <w:style w:type="paragraph" w:styleId="Textonotapie">
    <w:name w:val="footnote text"/>
    <w:basedOn w:val="Normal"/>
    <w:link w:val="TextonotapieCar"/>
    <w:qFormat/>
    <w:rsid w:val="00B76E6C"/>
    <w:pPr>
      <w:spacing w:before="0" w:after="0"/>
      <w:jc w:val="left"/>
    </w:pPr>
    <w:rPr>
      <w:rFonts w:cs="Times New Roman"/>
      <w:lang w:val="es-CO"/>
    </w:rPr>
  </w:style>
  <w:style w:type="character" w:customStyle="1" w:styleId="TextonotapieCar">
    <w:name w:val="Texto nota pie Car"/>
    <w:basedOn w:val="Fuentedeprrafopredeter"/>
    <w:link w:val="Textonotapie"/>
    <w:rsid w:val="00B76E6C"/>
    <w:rPr>
      <w:rFonts w:ascii="Arial" w:eastAsia="Times New Roman" w:hAnsi="Arial" w:cs="Times New Roman"/>
      <w:szCs w:val="20"/>
      <w:lang w:eastAsia="es-ES"/>
    </w:rPr>
  </w:style>
  <w:style w:type="character" w:styleId="Refdenotaalpie">
    <w:name w:val="footnote reference"/>
    <w:rsid w:val="00B76E6C"/>
    <w:rPr>
      <w:rFonts w:cs="Times New Roman"/>
      <w:vertAlign w:val="superscript"/>
    </w:rPr>
  </w:style>
  <w:style w:type="paragraph" w:styleId="Prrafodelista">
    <w:name w:val="List Paragraph"/>
    <w:aliases w:val="viñetas,Listas,lp1"/>
    <w:basedOn w:val="Normal"/>
    <w:link w:val="PrrafodelistaCar"/>
    <w:uiPriority w:val="34"/>
    <w:qFormat/>
    <w:rsid w:val="00B76E6C"/>
    <w:pPr>
      <w:spacing w:before="0" w:after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es-CO" w:eastAsia="es-CO"/>
    </w:rPr>
  </w:style>
  <w:style w:type="character" w:customStyle="1" w:styleId="PrrafodelistaCar">
    <w:name w:val="Párrafo de lista Car"/>
    <w:aliases w:val="viñetas Car,Listas Car,lp1 Car"/>
    <w:link w:val="Prrafodelista"/>
    <w:uiPriority w:val="34"/>
    <w:locked/>
    <w:rsid w:val="00B76E6C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7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79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53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3C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33CC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3CC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7714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77148"/>
    <w:rPr>
      <w:rFonts w:ascii="Arial" w:eastAsia="Times New Roman" w:hAnsi="Arial" w:cs="Arial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714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148"/>
    <w:rPr>
      <w:rFonts w:ascii="Arial" w:eastAsia="Times New Roman" w:hAnsi="Arial" w:cs="Arial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33B19FC-7A22-4553-AAE7-CEEEDB24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YULIETH AGUDELO ZAPATA</dc:creator>
  <cp:keywords/>
  <dc:description/>
  <cp:lastModifiedBy>Marco Caro</cp:lastModifiedBy>
  <cp:revision>3</cp:revision>
  <dcterms:created xsi:type="dcterms:W3CDTF">2020-12-14T16:45:00Z</dcterms:created>
  <dcterms:modified xsi:type="dcterms:W3CDTF">2020-12-14T16:53:00Z</dcterms:modified>
</cp:coreProperties>
</file>