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621D19" w14:textId="29EE5B4F" w:rsidR="001C6847" w:rsidRPr="002917F2" w:rsidRDefault="00E07C0D" w:rsidP="00046590">
      <w:pPr>
        <w:jc w:val="center"/>
        <w:rPr>
          <w:b/>
          <w:bCs/>
          <w:sz w:val="28"/>
          <w:szCs w:val="28"/>
        </w:rPr>
      </w:pPr>
      <w:r w:rsidRPr="002917F2">
        <w:rPr>
          <w:b/>
          <w:bCs/>
          <w:sz w:val="28"/>
          <w:szCs w:val="28"/>
        </w:rPr>
        <w:t>Preguntas Estudio Flexibilidad CND versión 2</w:t>
      </w:r>
    </w:p>
    <w:p w14:paraId="25473D05" w14:textId="21D82EB9" w:rsidR="00E07C0D" w:rsidRPr="002917F2" w:rsidRDefault="00046590" w:rsidP="00662971">
      <w:pPr>
        <w:pStyle w:val="Prrafodelista"/>
        <w:numPr>
          <w:ilvl w:val="0"/>
          <w:numId w:val="1"/>
        </w:numPr>
        <w:jc w:val="both"/>
        <w:rPr>
          <w:rFonts w:ascii="Verdana" w:hAnsi="Verdana"/>
        </w:rPr>
      </w:pPr>
      <w:r w:rsidRPr="002917F2">
        <w:rPr>
          <w:rFonts w:ascii="Verdana" w:hAnsi="Verdana"/>
        </w:rPr>
        <w:t>Respecto al m</w:t>
      </w:r>
      <w:r w:rsidR="00E07C0D" w:rsidRPr="002917F2">
        <w:rPr>
          <w:rFonts w:ascii="Verdana" w:hAnsi="Verdana"/>
        </w:rPr>
        <w:t xml:space="preserve">odelaje de las interconexiones, </w:t>
      </w:r>
      <w:r w:rsidRPr="002917F2">
        <w:rPr>
          <w:rFonts w:ascii="Verdana" w:hAnsi="Verdana"/>
        </w:rPr>
        <w:t>¿</w:t>
      </w:r>
      <w:r w:rsidR="00E07C0D" w:rsidRPr="002917F2">
        <w:rPr>
          <w:rFonts w:ascii="Verdana" w:hAnsi="Verdana"/>
        </w:rPr>
        <w:t xml:space="preserve">se tuvo en cuenta la red del STR para el estudio, o se </w:t>
      </w:r>
      <w:r w:rsidR="002F3BF4" w:rsidRPr="002917F2">
        <w:rPr>
          <w:rFonts w:ascii="Verdana" w:hAnsi="Verdana"/>
        </w:rPr>
        <w:t>llevó a cabo</w:t>
      </w:r>
      <w:r w:rsidR="00E07C0D" w:rsidRPr="002917F2">
        <w:rPr>
          <w:rFonts w:ascii="Verdana" w:hAnsi="Verdana"/>
        </w:rPr>
        <w:t xml:space="preserve"> indirectamente </w:t>
      </w:r>
      <w:r w:rsidR="002F3BF4" w:rsidRPr="002917F2">
        <w:rPr>
          <w:rFonts w:ascii="Verdana" w:hAnsi="Verdana"/>
        </w:rPr>
        <w:t xml:space="preserve">a </w:t>
      </w:r>
      <w:r w:rsidR="00E07C0D" w:rsidRPr="002917F2">
        <w:rPr>
          <w:rFonts w:ascii="Verdana" w:hAnsi="Verdana"/>
        </w:rPr>
        <w:t>través de generaciones de seguridad</w:t>
      </w:r>
      <w:r w:rsidRPr="002917F2">
        <w:rPr>
          <w:rFonts w:ascii="Verdana" w:hAnsi="Verdana"/>
        </w:rPr>
        <w:t>?</w:t>
      </w:r>
      <w:r w:rsidR="00E07C0D" w:rsidRPr="002917F2">
        <w:rPr>
          <w:rFonts w:ascii="Verdana" w:hAnsi="Verdana"/>
        </w:rPr>
        <w:t xml:space="preserve"> Tener en cuenta lo contemplado en los estudios energéticos semanales, donde se</w:t>
      </w:r>
      <w:r w:rsidRPr="002917F2">
        <w:rPr>
          <w:rFonts w:ascii="Verdana" w:hAnsi="Verdana"/>
        </w:rPr>
        <w:t>gún lo informado por el CND,</w:t>
      </w:r>
      <w:r w:rsidR="00E07C0D" w:rsidRPr="002917F2">
        <w:rPr>
          <w:rFonts w:ascii="Verdana" w:hAnsi="Verdana"/>
        </w:rPr>
        <w:t xml:space="preserve"> si se modela la red con dicho detalle</w:t>
      </w:r>
      <w:r w:rsidRPr="002917F2">
        <w:rPr>
          <w:rFonts w:ascii="Verdana" w:hAnsi="Verdana"/>
        </w:rPr>
        <w:t xml:space="preserve"> (</w:t>
      </w:r>
      <w:r w:rsidRPr="002917F2">
        <w:rPr>
          <w:rFonts w:ascii="Verdana" w:hAnsi="Verdana"/>
          <w:b/>
          <w:bCs/>
        </w:rPr>
        <w:t>Anexo 1</w:t>
      </w:r>
      <w:r w:rsidRPr="002917F2">
        <w:rPr>
          <w:rFonts w:ascii="Verdana" w:hAnsi="Verdana"/>
        </w:rPr>
        <w:t>)</w:t>
      </w:r>
      <w:r w:rsidR="00E07C0D" w:rsidRPr="002917F2">
        <w:rPr>
          <w:rFonts w:ascii="Verdana" w:hAnsi="Verdana"/>
        </w:rPr>
        <w:t>.</w:t>
      </w:r>
    </w:p>
    <w:p w14:paraId="5C1F8B5A" w14:textId="77777777" w:rsidR="00046590" w:rsidRPr="002917F2" w:rsidRDefault="00046590" w:rsidP="00046590">
      <w:pPr>
        <w:pStyle w:val="Prrafodelista"/>
        <w:jc w:val="both"/>
        <w:rPr>
          <w:rFonts w:ascii="Verdana" w:hAnsi="Verdana"/>
        </w:rPr>
      </w:pPr>
    </w:p>
    <w:p w14:paraId="00BDAF44" w14:textId="7F63F039" w:rsidR="00E07C0D" w:rsidRPr="002917F2" w:rsidRDefault="00046590" w:rsidP="00662971">
      <w:pPr>
        <w:pStyle w:val="Prrafodelista"/>
        <w:numPr>
          <w:ilvl w:val="0"/>
          <w:numId w:val="1"/>
        </w:numPr>
        <w:jc w:val="both"/>
        <w:rPr>
          <w:rFonts w:ascii="Verdana" w:hAnsi="Verdana"/>
        </w:rPr>
      </w:pPr>
      <w:r w:rsidRPr="002917F2">
        <w:rPr>
          <w:rFonts w:ascii="Verdana" w:hAnsi="Verdana"/>
        </w:rPr>
        <w:t>Sugerimos e</w:t>
      </w:r>
      <w:r w:rsidR="00E07C0D" w:rsidRPr="002917F2">
        <w:rPr>
          <w:rFonts w:ascii="Verdana" w:hAnsi="Verdana"/>
        </w:rPr>
        <w:t>stablecer conjuntamente indicadores de desempeño, teniendo en cuenta las siguientes preguntas básicas</w:t>
      </w:r>
      <w:r w:rsidRPr="002917F2">
        <w:rPr>
          <w:rFonts w:ascii="Verdana" w:hAnsi="Verdana"/>
        </w:rPr>
        <w:t xml:space="preserve"> (</w:t>
      </w:r>
      <w:r w:rsidRPr="002917F2">
        <w:rPr>
          <w:rFonts w:ascii="Verdana" w:hAnsi="Verdana"/>
          <w:b/>
          <w:bCs/>
        </w:rPr>
        <w:t>Anexo 2</w:t>
      </w:r>
      <w:r w:rsidRPr="002917F2">
        <w:rPr>
          <w:rFonts w:ascii="Verdana" w:hAnsi="Verdana"/>
        </w:rPr>
        <w:t>)</w:t>
      </w:r>
      <w:r w:rsidR="00E07C0D" w:rsidRPr="002917F2">
        <w:rPr>
          <w:rFonts w:ascii="Verdana" w:hAnsi="Verdana"/>
        </w:rPr>
        <w:t xml:space="preserve">. </w:t>
      </w:r>
    </w:p>
    <w:p w14:paraId="01114259" w14:textId="57570ED3" w:rsidR="0074492E" w:rsidRPr="002917F2" w:rsidRDefault="0074492E" w:rsidP="00662971">
      <w:pPr>
        <w:pStyle w:val="Prrafodelista"/>
        <w:numPr>
          <w:ilvl w:val="1"/>
          <w:numId w:val="1"/>
        </w:numPr>
        <w:jc w:val="both"/>
        <w:rPr>
          <w:rFonts w:ascii="Verdana" w:hAnsi="Verdana"/>
        </w:rPr>
      </w:pPr>
      <w:r w:rsidRPr="002917F2">
        <w:rPr>
          <w:rFonts w:ascii="Verdana" w:hAnsi="Verdana"/>
        </w:rPr>
        <w:t>¿Qué tan flexible es el SIN?</w:t>
      </w:r>
    </w:p>
    <w:p w14:paraId="291413F3" w14:textId="7B18CA2E" w:rsidR="00E07C0D" w:rsidRPr="002917F2" w:rsidRDefault="00E07C0D" w:rsidP="00662971">
      <w:pPr>
        <w:pStyle w:val="Prrafodelista"/>
        <w:numPr>
          <w:ilvl w:val="1"/>
          <w:numId w:val="1"/>
        </w:numPr>
        <w:jc w:val="both"/>
        <w:rPr>
          <w:rFonts w:ascii="Verdana" w:hAnsi="Verdana"/>
        </w:rPr>
      </w:pPr>
      <w:r w:rsidRPr="002917F2">
        <w:rPr>
          <w:rFonts w:ascii="Verdana" w:hAnsi="Verdana"/>
        </w:rPr>
        <w:t xml:space="preserve">¿Cuánta Flexibilidad necesita </w:t>
      </w:r>
      <w:r w:rsidR="0074492E" w:rsidRPr="002917F2">
        <w:rPr>
          <w:rFonts w:ascii="Verdana" w:hAnsi="Verdana"/>
        </w:rPr>
        <w:t>el SIN</w:t>
      </w:r>
      <w:r w:rsidRPr="002917F2">
        <w:rPr>
          <w:rFonts w:ascii="Verdana" w:hAnsi="Verdana"/>
        </w:rPr>
        <w:t>?</w:t>
      </w:r>
    </w:p>
    <w:p w14:paraId="3A637E3F" w14:textId="78F7AED5" w:rsidR="00E07C0D" w:rsidRPr="002917F2" w:rsidRDefault="00E07C0D" w:rsidP="00662971">
      <w:pPr>
        <w:pStyle w:val="Prrafodelista"/>
        <w:numPr>
          <w:ilvl w:val="1"/>
          <w:numId w:val="1"/>
        </w:numPr>
        <w:jc w:val="both"/>
        <w:rPr>
          <w:rFonts w:ascii="Verdana" w:hAnsi="Verdana"/>
        </w:rPr>
      </w:pPr>
      <w:r w:rsidRPr="002917F2">
        <w:rPr>
          <w:rFonts w:ascii="Verdana" w:hAnsi="Verdana"/>
        </w:rPr>
        <w:t>¿</w:t>
      </w:r>
      <w:r w:rsidR="0074492E" w:rsidRPr="002917F2">
        <w:rPr>
          <w:rFonts w:ascii="Verdana" w:hAnsi="Verdana"/>
        </w:rPr>
        <w:t>Qué</w:t>
      </w:r>
      <w:r w:rsidRPr="002917F2">
        <w:rPr>
          <w:rFonts w:ascii="Verdana" w:hAnsi="Verdana"/>
        </w:rPr>
        <w:t xml:space="preserve"> tan flexible son mis alternativas de solución </w:t>
      </w:r>
      <w:r w:rsidR="0074492E" w:rsidRPr="002917F2">
        <w:rPr>
          <w:rFonts w:ascii="Verdana" w:hAnsi="Verdana"/>
        </w:rPr>
        <w:t xml:space="preserve">(proveedores de </w:t>
      </w:r>
      <w:r w:rsidRPr="002917F2">
        <w:rPr>
          <w:rFonts w:ascii="Verdana" w:hAnsi="Verdana"/>
        </w:rPr>
        <w:t>flexibilidad</w:t>
      </w:r>
      <w:r w:rsidR="0074492E" w:rsidRPr="002917F2">
        <w:rPr>
          <w:rFonts w:ascii="Verdana" w:hAnsi="Verdana"/>
        </w:rPr>
        <w:t>)</w:t>
      </w:r>
      <w:r w:rsidRPr="002917F2">
        <w:rPr>
          <w:rFonts w:ascii="Verdana" w:hAnsi="Verdana"/>
        </w:rPr>
        <w:t>?</w:t>
      </w:r>
    </w:p>
    <w:p w14:paraId="76BD4AC9" w14:textId="2A4A5259" w:rsidR="0074492E" w:rsidRPr="002917F2" w:rsidRDefault="0074492E" w:rsidP="00662971">
      <w:pPr>
        <w:pStyle w:val="Prrafodelista"/>
        <w:numPr>
          <w:ilvl w:val="1"/>
          <w:numId w:val="1"/>
        </w:numPr>
        <w:jc w:val="both"/>
        <w:rPr>
          <w:rFonts w:ascii="Verdana" w:hAnsi="Verdana"/>
        </w:rPr>
      </w:pPr>
      <w:r w:rsidRPr="002917F2">
        <w:rPr>
          <w:rFonts w:ascii="Verdana" w:hAnsi="Verdana"/>
        </w:rPr>
        <w:t>¿Quién está proporcionando la flexibilidad en el SIN?</w:t>
      </w:r>
    </w:p>
    <w:p w14:paraId="049AE239" w14:textId="77777777" w:rsidR="00046590" w:rsidRPr="002917F2" w:rsidRDefault="00046590" w:rsidP="00046590">
      <w:pPr>
        <w:pStyle w:val="Prrafodelista"/>
        <w:jc w:val="both"/>
        <w:rPr>
          <w:rFonts w:ascii="Verdana" w:hAnsi="Verdana"/>
        </w:rPr>
      </w:pPr>
    </w:p>
    <w:p w14:paraId="52E7D100" w14:textId="60531B0F" w:rsidR="00BD39C7" w:rsidRPr="002917F2" w:rsidRDefault="00BD39C7" w:rsidP="00662971">
      <w:pPr>
        <w:pStyle w:val="Prrafodelista"/>
        <w:numPr>
          <w:ilvl w:val="0"/>
          <w:numId w:val="1"/>
        </w:numPr>
        <w:jc w:val="both"/>
        <w:rPr>
          <w:rFonts w:ascii="Verdana" w:hAnsi="Verdana"/>
        </w:rPr>
      </w:pPr>
      <w:r w:rsidRPr="002917F2">
        <w:rPr>
          <w:rFonts w:ascii="Verdana" w:hAnsi="Verdana"/>
        </w:rPr>
        <w:t>¿</w:t>
      </w:r>
      <w:r w:rsidR="0074492E" w:rsidRPr="002917F2">
        <w:rPr>
          <w:rFonts w:ascii="Verdana" w:hAnsi="Verdana"/>
        </w:rPr>
        <w:t xml:space="preserve">Cuál es el motivo de tener </w:t>
      </w:r>
      <w:r w:rsidRPr="002917F2">
        <w:rPr>
          <w:rFonts w:ascii="Verdana" w:hAnsi="Verdana"/>
        </w:rPr>
        <w:t xml:space="preserve">dos </w:t>
      </w:r>
      <w:r w:rsidR="0074492E" w:rsidRPr="002917F2">
        <w:rPr>
          <w:rFonts w:ascii="Verdana" w:hAnsi="Verdana"/>
        </w:rPr>
        <w:t>alternativas de corrección de las series históricas de los recursos renovables no convencionales</w:t>
      </w:r>
      <w:r w:rsidRPr="002917F2">
        <w:rPr>
          <w:rFonts w:ascii="Verdana" w:hAnsi="Verdana"/>
        </w:rPr>
        <w:t>?  ¿No sería mejor utilizar el enfoque MCP para las dos tecnologías</w:t>
      </w:r>
      <w:r w:rsidR="00046590" w:rsidRPr="002917F2">
        <w:rPr>
          <w:rFonts w:ascii="Verdana" w:hAnsi="Verdana"/>
        </w:rPr>
        <w:t xml:space="preserve"> (viento y sol)</w:t>
      </w:r>
      <w:r w:rsidRPr="002917F2">
        <w:rPr>
          <w:rFonts w:ascii="Verdana" w:hAnsi="Verdana"/>
        </w:rPr>
        <w:t>?</w:t>
      </w:r>
    </w:p>
    <w:p w14:paraId="6F41FCAB" w14:textId="77777777" w:rsidR="00046590" w:rsidRPr="002917F2" w:rsidRDefault="00046590" w:rsidP="00046590">
      <w:pPr>
        <w:pStyle w:val="Prrafodelista"/>
        <w:jc w:val="both"/>
        <w:rPr>
          <w:rFonts w:ascii="Verdana" w:hAnsi="Verdana"/>
        </w:rPr>
      </w:pPr>
    </w:p>
    <w:p w14:paraId="217B0936" w14:textId="5D7A0252" w:rsidR="00E60BF9" w:rsidRPr="002917F2" w:rsidRDefault="00BD39C7" w:rsidP="00662971">
      <w:pPr>
        <w:pStyle w:val="Prrafodelista"/>
        <w:numPr>
          <w:ilvl w:val="0"/>
          <w:numId w:val="1"/>
        </w:numPr>
        <w:jc w:val="both"/>
        <w:rPr>
          <w:rFonts w:ascii="Verdana" w:hAnsi="Verdana"/>
        </w:rPr>
      </w:pPr>
      <w:r w:rsidRPr="002917F2">
        <w:rPr>
          <w:rFonts w:ascii="Verdana" w:hAnsi="Verdana"/>
        </w:rPr>
        <w:t xml:space="preserve">Sugerimos incluir en el análisis de las series de tiempo a la demanda neta (Demanda menos producción </w:t>
      </w:r>
      <w:r w:rsidR="00E60BF9" w:rsidRPr="002917F2">
        <w:rPr>
          <w:rFonts w:ascii="Verdana" w:hAnsi="Verdana"/>
        </w:rPr>
        <w:t>renovable no convencional</w:t>
      </w:r>
      <w:r w:rsidR="00046590" w:rsidRPr="002917F2">
        <w:rPr>
          <w:rFonts w:ascii="Verdana" w:hAnsi="Verdana"/>
        </w:rPr>
        <w:t>),</w:t>
      </w:r>
      <w:r w:rsidR="00E60BF9" w:rsidRPr="002917F2">
        <w:rPr>
          <w:rFonts w:ascii="Verdana" w:hAnsi="Verdana"/>
        </w:rPr>
        <w:t xml:space="preserve"> para diferentes porcentajes de penetración</w:t>
      </w:r>
      <w:r w:rsidR="00046590" w:rsidRPr="002917F2">
        <w:rPr>
          <w:rFonts w:ascii="Verdana" w:hAnsi="Verdana"/>
        </w:rPr>
        <w:t xml:space="preserve"> de generación basada en inversores</w:t>
      </w:r>
      <w:r w:rsidRPr="002917F2">
        <w:rPr>
          <w:rFonts w:ascii="Verdana" w:hAnsi="Verdana"/>
        </w:rPr>
        <w:t>.</w:t>
      </w:r>
    </w:p>
    <w:p w14:paraId="26F1A1D0" w14:textId="1E27DE21" w:rsidR="00046590" w:rsidRPr="002917F2" w:rsidRDefault="00046590" w:rsidP="00046590">
      <w:pPr>
        <w:pStyle w:val="Prrafodelista"/>
        <w:jc w:val="both"/>
        <w:rPr>
          <w:rFonts w:ascii="Verdana" w:hAnsi="Verdana"/>
        </w:rPr>
      </w:pPr>
    </w:p>
    <w:p w14:paraId="292C55A2" w14:textId="78C9088C" w:rsidR="00046590" w:rsidRPr="002917F2" w:rsidRDefault="00E60BF9" w:rsidP="00046590">
      <w:pPr>
        <w:pStyle w:val="Prrafodelista"/>
        <w:numPr>
          <w:ilvl w:val="0"/>
          <w:numId w:val="1"/>
        </w:numPr>
        <w:jc w:val="both"/>
        <w:rPr>
          <w:rFonts w:ascii="Verdana" w:hAnsi="Verdana"/>
        </w:rPr>
      </w:pPr>
      <w:r w:rsidRPr="002917F2">
        <w:rPr>
          <w:rFonts w:ascii="Verdana" w:hAnsi="Verdana"/>
        </w:rPr>
        <w:t>Teniendo en cuenta los diferentes referentes en la formulación de índices para cuantificar la flexibilidad, sugerimos analizar eventos de estrés</w:t>
      </w:r>
      <w:r w:rsidR="00046590" w:rsidRPr="002917F2">
        <w:rPr>
          <w:rFonts w:ascii="Verdana" w:hAnsi="Verdana"/>
        </w:rPr>
        <w:t>.</w:t>
      </w:r>
      <w:r w:rsidRPr="002917F2">
        <w:rPr>
          <w:rFonts w:ascii="Verdana" w:hAnsi="Verdana"/>
        </w:rPr>
        <w:t xml:space="preserve"> </w:t>
      </w:r>
      <w:r w:rsidR="00046590" w:rsidRPr="002917F2">
        <w:rPr>
          <w:rFonts w:ascii="Verdana" w:hAnsi="Verdana"/>
        </w:rPr>
        <w:t>Por ejemplo,</w:t>
      </w:r>
      <w:r w:rsidRPr="002917F2">
        <w:rPr>
          <w:rFonts w:ascii="Verdana" w:hAnsi="Verdana"/>
        </w:rPr>
        <w:t xml:space="preserve"> las reducciones de los límites de importación de las diferentes subáreas operativas</w:t>
      </w:r>
      <w:r w:rsidR="00046590" w:rsidRPr="002917F2">
        <w:rPr>
          <w:rFonts w:ascii="Verdana" w:hAnsi="Verdana"/>
        </w:rPr>
        <w:t xml:space="preserve"> (</w:t>
      </w:r>
      <w:r w:rsidR="00046590" w:rsidRPr="002917F2">
        <w:rPr>
          <w:rFonts w:ascii="Verdana" w:hAnsi="Verdana"/>
          <w:b/>
          <w:bCs/>
        </w:rPr>
        <w:t>Anexo 2</w:t>
      </w:r>
      <w:r w:rsidR="00046590" w:rsidRPr="002917F2">
        <w:rPr>
          <w:rFonts w:ascii="Verdana" w:hAnsi="Verdana"/>
        </w:rPr>
        <w:t>)</w:t>
      </w:r>
      <w:r w:rsidRPr="002917F2">
        <w:rPr>
          <w:rFonts w:ascii="Verdana" w:hAnsi="Verdana"/>
        </w:rPr>
        <w:t xml:space="preserve">.  </w:t>
      </w:r>
    </w:p>
    <w:p w14:paraId="2F7D9894" w14:textId="77777777" w:rsidR="00046590" w:rsidRPr="002917F2" w:rsidRDefault="00046590" w:rsidP="00046590">
      <w:pPr>
        <w:pStyle w:val="Prrafodelista"/>
        <w:jc w:val="both"/>
        <w:rPr>
          <w:rFonts w:ascii="Verdana" w:hAnsi="Verdana"/>
        </w:rPr>
      </w:pPr>
    </w:p>
    <w:p w14:paraId="01FB3043" w14:textId="599D3732" w:rsidR="00046590" w:rsidRPr="002917F2" w:rsidRDefault="002917F2" w:rsidP="00046590">
      <w:pPr>
        <w:pStyle w:val="Prrafodelista"/>
        <w:numPr>
          <w:ilvl w:val="0"/>
          <w:numId w:val="1"/>
        </w:numPr>
        <w:jc w:val="both"/>
        <w:rPr>
          <w:rFonts w:ascii="Verdana" w:hAnsi="Verdana"/>
        </w:rPr>
      </w:pPr>
      <w:r w:rsidRPr="002917F2">
        <w:rPr>
          <w:rFonts w:ascii="Verdana" w:hAnsi="Verdana"/>
        </w:rPr>
        <w:t>Con relación al</w:t>
      </w:r>
      <w:r w:rsidR="000F34C1" w:rsidRPr="002917F2">
        <w:rPr>
          <w:rFonts w:ascii="Verdana" w:hAnsi="Verdana"/>
        </w:rPr>
        <w:t xml:space="preserve"> cálculo de los requerimientos de reserva para AGC, sugerimos contrastar la metodología propuesta considerando los errores de pronóstico de la demanda neta, y no separadamente la demanda y los recursos FNCER. </w:t>
      </w:r>
    </w:p>
    <w:p w14:paraId="5B8DF7AC" w14:textId="77777777" w:rsidR="00046590" w:rsidRPr="002917F2" w:rsidRDefault="00046590" w:rsidP="00046590">
      <w:pPr>
        <w:pStyle w:val="Prrafodelista"/>
        <w:rPr>
          <w:rFonts w:ascii="Verdana" w:hAnsi="Verdana"/>
        </w:rPr>
      </w:pPr>
    </w:p>
    <w:p w14:paraId="01EFF7FC" w14:textId="58E985F1" w:rsidR="00E60BF9" w:rsidRPr="002917F2" w:rsidRDefault="002917F2" w:rsidP="00662971">
      <w:pPr>
        <w:pStyle w:val="Prrafodelista"/>
        <w:numPr>
          <w:ilvl w:val="0"/>
          <w:numId w:val="1"/>
        </w:numPr>
        <w:jc w:val="both"/>
        <w:rPr>
          <w:rFonts w:ascii="Verdana" w:hAnsi="Verdana"/>
        </w:rPr>
      </w:pPr>
      <w:r w:rsidRPr="002917F2">
        <w:rPr>
          <w:rFonts w:ascii="Verdana" w:hAnsi="Verdana"/>
        </w:rPr>
        <w:t>Con relación al</w:t>
      </w:r>
      <w:r w:rsidR="00E60BF9" w:rsidRPr="002917F2">
        <w:rPr>
          <w:rFonts w:ascii="Verdana" w:hAnsi="Verdana"/>
        </w:rPr>
        <w:t xml:space="preserve"> incremento</w:t>
      </w:r>
      <w:r w:rsidR="000F34C1" w:rsidRPr="002917F2">
        <w:rPr>
          <w:rFonts w:ascii="Verdana" w:hAnsi="Verdana"/>
        </w:rPr>
        <w:t xml:space="preserve"> considerable</w:t>
      </w:r>
      <w:r w:rsidR="00E60BF9" w:rsidRPr="002917F2">
        <w:rPr>
          <w:rFonts w:ascii="Verdana" w:hAnsi="Verdana"/>
        </w:rPr>
        <w:t xml:space="preserve"> de las necesidades de reserva para </w:t>
      </w:r>
      <w:r w:rsidR="000F34C1" w:rsidRPr="002917F2">
        <w:rPr>
          <w:rFonts w:ascii="Verdana" w:hAnsi="Verdana"/>
        </w:rPr>
        <w:t xml:space="preserve">AGC (en algunos periodos superiores a 400 MW), sugerimos contrastar como quedan las reservas del SIN para los casos simulados, por tipo de reserva y ubicación en el SIN. </w:t>
      </w:r>
    </w:p>
    <w:p w14:paraId="549E76E3" w14:textId="77777777" w:rsidR="00046590" w:rsidRPr="002917F2" w:rsidRDefault="00046590" w:rsidP="00046590">
      <w:pPr>
        <w:pStyle w:val="Prrafodelista"/>
        <w:jc w:val="both"/>
        <w:rPr>
          <w:rFonts w:ascii="Verdana" w:hAnsi="Verdana"/>
        </w:rPr>
      </w:pPr>
    </w:p>
    <w:p w14:paraId="3F97C550" w14:textId="216EF061" w:rsidR="000F34C1" w:rsidRPr="002917F2" w:rsidRDefault="000F34C1" w:rsidP="00046590">
      <w:pPr>
        <w:pStyle w:val="Prrafodelista"/>
        <w:numPr>
          <w:ilvl w:val="0"/>
          <w:numId w:val="1"/>
        </w:numPr>
        <w:jc w:val="both"/>
        <w:rPr>
          <w:rFonts w:ascii="Verdana" w:hAnsi="Verdana"/>
        </w:rPr>
      </w:pPr>
      <w:r w:rsidRPr="002917F2">
        <w:rPr>
          <w:rFonts w:ascii="Verdana" w:hAnsi="Verdana"/>
        </w:rPr>
        <w:t>Respecto a los requerimientos de inerci</w:t>
      </w:r>
      <w:r w:rsidR="00095EE7" w:rsidRPr="002917F2">
        <w:rPr>
          <w:rFonts w:ascii="Verdana" w:hAnsi="Verdana"/>
        </w:rPr>
        <w:t>a, entendemos que sólo se considera la salida de una unidad de Ituango, mientras que para el cálculo de las reservas se pueden contemplar salidas de unidades adicionales.</w:t>
      </w:r>
      <w:r w:rsidR="00046590" w:rsidRPr="002917F2">
        <w:rPr>
          <w:rFonts w:ascii="Verdana" w:hAnsi="Verdana"/>
        </w:rPr>
        <w:t xml:space="preserve"> Sugerimos tener en cuenta eventos históricos, los cuales pueden involucrar más de una unidad de generación.</w:t>
      </w:r>
      <w:r w:rsidR="00095EE7" w:rsidRPr="002917F2">
        <w:rPr>
          <w:rFonts w:ascii="Verdana" w:hAnsi="Verdana"/>
        </w:rPr>
        <w:t xml:space="preserve"> </w:t>
      </w:r>
    </w:p>
    <w:p w14:paraId="39085A15" w14:textId="77777777" w:rsidR="00046590" w:rsidRPr="002917F2" w:rsidRDefault="00046590" w:rsidP="00046590">
      <w:pPr>
        <w:pStyle w:val="Prrafodelista"/>
        <w:jc w:val="both"/>
        <w:rPr>
          <w:rFonts w:ascii="Verdana" w:hAnsi="Verdana"/>
        </w:rPr>
      </w:pPr>
    </w:p>
    <w:p w14:paraId="64090575" w14:textId="1C0C837D" w:rsidR="00046590" w:rsidRPr="002917F2" w:rsidRDefault="00095EE7" w:rsidP="00046590">
      <w:pPr>
        <w:pStyle w:val="Prrafodelista"/>
        <w:numPr>
          <w:ilvl w:val="0"/>
          <w:numId w:val="1"/>
        </w:numPr>
        <w:jc w:val="both"/>
        <w:rPr>
          <w:rFonts w:ascii="Verdana" w:hAnsi="Verdana"/>
        </w:rPr>
      </w:pPr>
      <w:r w:rsidRPr="002917F2">
        <w:rPr>
          <w:rFonts w:ascii="Verdana" w:hAnsi="Verdana"/>
        </w:rPr>
        <w:lastRenderedPageBreak/>
        <w:t>En el periodo 2021-2022 la inyección instantánea de potencia renovable no convencional es 1500 MW, Para el periodo 2024-2025 ¿cuánto se podría incorporar sin tener en cuenta la inercia mínima de 300 segundos?</w:t>
      </w:r>
    </w:p>
    <w:p w14:paraId="21DECB77" w14:textId="77777777" w:rsidR="00046590" w:rsidRPr="002917F2" w:rsidRDefault="00046590" w:rsidP="00046590">
      <w:pPr>
        <w:pStyle w:val="Prrafodelista"/>
        <w:jc w:val="both"/>
        <w:rPr>
          <w:rFonts w:ascii="Verdana" w:hAnsi="Verdana"/>
        </w:rPr>
      </w:pPr>
    </w:p>
    <w:p w14:paraId="063BBC6E" w14:textId="2B75860D" w:rsidR="00046590" w:rsidRPr="002917F2" w:rsidRDefault="000662F9" w:rsidP="00046590">
      <w:pPr>
        <w:pStyle w:val="Prrafodelista"/>
        <w:numPr>
          <w:ilvl w:val="0"/>
          <w:numId w:val="1"/>
        </w:numPr>
        <w:jc w:val="both"/>
        <w:rPr>
          <w:rFonts w:ascii="Verdana" w:hAnsi="Verdana"/>
        </w:rPr>
      </w:pPr>
      <w:r w:rsidRPr="002917F2">
        <w:rPr>
          <w:rFonts w:ascii="Verdana" w:hAnsi="Verdana"/>
        </w:rPr>
        <w:t xml:space="preserve">Sugerimos calcular los vertimientos, no solo con el análisis energético semanal, sino también </w:t>
      </w:r>
      <w:r w:rsidR="00170A40" w:rsidRPr="002917F2">
        <w:rPr>
          <w:rFonts w:ascii="Verdana" w:hAnsi="Verdana"/>
        </w:rPr>
        <w:t>a través de</w:t>
      </w:r>
      <w:r w:rsidRPr="002917F2">
        <w:rPr>
          <w:rFonts w:ascii="Verdana" w:hAnsi="Verdana"/>
        </w:rPr>
        <w:t xml:space="preserve"> las simulaciones horarias.</w:t>
      </w:r>
      <w:r w:rsidR="00170A40" w:rsidRPr="002917F2">
        <w:rPr>
          <w:rFonts w:ascii="Verdana" w:hAnsi="Verdana"/>
        </w:rPr>
        <w:t xml:space="preserve"> Los niveles de vertimientos, con pronóstico perfecto de largo plazo, sugieren valores no despreciables en casos de altos aportes y con la entrada de Ituango.</w:t>
      </w:r>
    </w:p>
    <w:p w14:paraId="7B41830C" w14:textId="77777777" w:rsidR="00046590" w:rsidRPr="002917F2" w:rsidRDefault="00046590" w:rsidP="00046590">
      <w:pPr>
        <w:pStyle w:val="Prrafodelista"/>
        <w:jc w:val="both"/>
        <w:rPr>
          <w:rFonts w:ascii="Verdana" w:hAnsi="Verdana"/>
          <w:color w:val="FF0000"/>
        </w:rPr>
      </w:pPr>
    </w:p>
    <w:p w14:paraId="74F6C2A2" w14:textId="0784260D" w:rsidR="00046590" w:rsidRPr="002917F2" w:rsidRDefault="00170A40" w:rsidP="00046590">
      <w:pPr>
        <w:pStyle w:val="Prrafodelista"/>
        <w:numPr>
          <w:ilvl w:val="0"/>
          <w:numId w:val="1"/>
        </w:numPr>
        <w:jc w:val="both"/>
        <w:rPr>
          <w:rFonts w:ascii="Verdana" w:hAnsi="Verdana"/>
        </w:rPr>
      </w:pPr>
      <w:r w:rsidRPr="002917F2">
        <w:rPr>
          <w:rFonts w:ascii="Verdana" w:hAnsi="Verdana"/>
        </w:rPr>
        <w:t>Sugerimos estudiar una frecuencia de optimización móvil, no fija (1), ello para acercar un poco más la realidad de la operación en tiempo real. Bajo este enfoque, el comportamiento de algunas variables de salida como los vertimientos</w:t>
      </w:r>
      <w:r w:rsidR="00662971" w:rsidRPr="002917F2">
        <w:rPr>
          <w:rFonts w:ascii="Verdana" w:hAnsi="Verdana"/>
        </w:rPr>
        <w:t xml:space="preserve"> y el número de arranques y paradas</w:t>
      </w:r>
      <w:r w:rsidRPr="002917F2">
        <w:rPr>
          <w:rFonts w:ascii="Verdana" w:hAnsi="Verdana"/>
        </w:rPr>
        <w:t xml:space="preserve">, podrían ser </w:t>
      </w:r>
      <w:r w:rsidR="00046590" w:rsidRPr="002917F2">
        <w:rPr>
          <w:rFonts w:ascii="Verdana" w:hAnsi="Verdana"/>
        </w:rPr>
        <w:t>diferentes (</w:t>
      </w:r>
      <w:r w:rsidR="00046590" w:rsidRPr="002917F2">
        <w:rPr>
          <w:rFonts w:ascii="Verdana" w:hAnsi="Verdana"/>
          <w:b/>
          <w:bCs/>
        </w:rPr>
        <w:t>Anexo 3</w:t>
      </w:r>
      <w:r w:rsidR="00046590" w:rsidRPr="002917F2">
        <w:rPr>
          <w:rFonts w:ascii="Verdana" w:hAnsi="Verdana"/>
        </w:rPr>
        <w:t>)</w:t>
      </w:r>
      <w:r w:rsidRPr="002917F2">
        <w:rPr>
          <w:rFonts w:ascii="Verdana" w:hAnsi="Verdana"/>
        </w:rPr>
        <w:t>.</w:t>
      </w:r>
    </w:p>
    <w:p w14:paraId="2D52096B" w14:textId="77777777" w:rsidR="00046590" w:rsidRPr="002917F2" w:rsidRDefault="00046590" w:rsidP="00046590">
      <w:pPr>
        <w:pStyle w:val="Prrafodelista"/>
        <w:jc w:val="both"/>
        <w:rPr>
          <w:rFonts w:ascii="Verdana" w:hAnsi="Verdana"/>
        </w:rPr>
      </w:pPr>
    </w:p>
    <w:p w14:paraId="22391DB2" w14:textId="3317A642" w:rsidR="00E07C0D" w:rsidRPr="002917F2" w:rsidRDefault="00662971" w:rsidP="00662971">
      <w:pPr>
        <w:pStyle w:val="Prrafodelista"/>
        <w:numPr>
          <w:ilvl w:val="0"/>
          <w:numId w:val="1"/>
        </w:numPr>
        <w:jc w:val="both"/>
        <w:rPr>
          <w:rFonts w:ascii="Verdana" w:hAnsi="Verdana"/>
        </w:rPr>
      </w:pPr>
      <w:r w:rsidRPr="002917F2">
        <w:rPr>
          <w:rFonts w:ascii="Verdana" w:hAnsi="Verdana"/>
        </w:rPr>
        <w:t>Respecto a la m</w:t>
      </w:r>
      <w:r w:rsidR="00E60BF9" w:rsidRPr="002917F2">
        <w:rPr>
          <w:rFonts w:ascii="Verdana" w:hAnsi="Verdana"/>
        </w:rPr>
        <w:t>odelación de</w:t>
      </w:r>
      <w:r w:rsidRPr="002917F2">
        <w:rPr>
          <w:rFonts w:ascii="Verdana" w:hAnsi="Verdana"/>
        </w:rPr>
        <w:t xml:space="preserve"> las plantas térmicas, sugerimos para los ciclos combinados modelar la configuración </w:t>
      </w:r>
      <w:r w:rsidR="00E60BF9" w:rsidRPr="002917F2">
        <w:rPr>
          <w:rFonts w:ascii="Verdana" w:hAnsi="Verdana"/>
        </w:rPr>
        <w:t>m</w:t>
      </w:r>
      <w:r w:rsidRPr="002917F2">
        <w:rPr>
          <w:rFonts w:ascii="Verdana" w:hAnsi="Verdana"/>
        </w:rPr>
        <w:t>á</w:t>
      </w:r>
      <w:r w:rsidR="00E60BF9" w:rsidRPr="002917F2">
        <w:rPr>
          <w:rFonts w:ascii="Verdana" w:hAnsi="Verdana"/>
        </w:rPr>
        <w:t>s inflexible, o la m</w:t>
      </w:r>
      <w:r w:rsidRPr="002917F2">
        <w:rPr>
          <w:rFonts w:ascii="Verdana" w:hAnsi="Verdana"/>
        </w:rPr>
        <w:t>á</w:t>
      </w:r>
      <w:r w:rsidR="00E60BF9" w:rsidRPr="002917F2">
        <w:rPr>
          <w:rFonts w:ascii="Verdana" w:hAnsi="Verdana"/>
        </w:rPr>
        <w:t>s probable.</w:t>
      </w:r>
      <w:r w:rsidR="0093043E" w:rsidRPr="002917F2">
        <w:rPr>
          <w:rFonts w:ascii="Verdana" w:hAnsi="Verdana"/>
        </w:rPr>
        <w:t xml:space="preserve"> </w:t>
      </w:r>
    </w:p>
    <w:p w14:paraId="6CE1C9E0" w14:textId="77777777" w:rsidR="00046590" w:rsidRPr="002917F2" w:rsidRDefault="00046590" w:rsidP="00046590">
      <w:pPr>
        <w:pStyle w:val="Prrafodelista"/>
        <w:jc w:val="both"/>
        <w:rPr>
          <w:rFonts w:ascii="Verdana" w:hAnsi="Verdana"/>
        </w:rPr>
      </w:pPr>
    </w:p>
    <w:p w14:paraId="59372CAD" w14:textId="3E8B34B4" w:rsidR="0093043E" w:rsidRPr="002917F2" w:rsidRDefault="0093043E" w:rsidP="00662971">
      <w:pPr>
        <w:pStyle w:val="Prrafodelista"/>
        <w:numPr>
          <w:ilvl w:val="0"/>
          <w:numId w:val="1"/>
        </w:numPr>
        <w:jc w:val="both"/>
        <w:rPr>
          <w:rFonts w:ascii="Verdana" w:hAnsi="Verdana"/>
        </w:rPr>
      </w:pPr>
      <w:r w:rsidRPr="002917F2">
        <w:rPr>
          <w:rFonts w:ascii="Verdana" w:hAnsi="Verdana"/>
        </w:rPr>
        <w:t>Sugerimos explorar conjuntamente entre el CND, el SP</w:t>
      </w:r>
      <w:r w:rsidR="00ED3CB4" w:rsidRPr="002917F2">
        <w:rPr>
          <w:rFonts w:ascii="Verdana" w:hAnsi="Verdana"/>
        </w:rPr>
        <w:t>LANTAS</w:t>
      </w:r>
      <w:r w:rsidRPr="002917F2">
        <w:rPr>
          <w:rFonts w:ascii="Verdana" w:hAnsi="Verdana"/>
        </w:rPr>
        <w:t xml:space="preserve"> y el SPO</w:t>
      </w:r>
      <w:r w:rsidR="00046590" w:rsidRPr="002917F2">
        <w:rPr>
          <w:rFonts w:ascii="Verdana" w:hAnsi="Verdana"/>
        </w:rPr>
        <w:t>,</w:t>
      </w:r>
      <w:r w:rsidRPr="002917F2">
        <w:rPr>
          <w:rFonts w:ascii="Verdana" w:hAnsi="Verdana"/>
        </w:rPr>
        <w:t xml:space="preserve"> c</w:t>
      </w:r>
      <w:r w:rsidR="00046590" w:rsidRPr="002917F2">
        <w:rPr>
          <w:rFonts w:ascii="Verdana" w:hAnsi="Verdana"/>
        </w:rPr>
        <w:t>ó</w:t>
      </w:r>
      <w:r w:rsidRPr="002917F2">
        <w:rPr>
          <w:rFonts w:ascii="Verdana" w:hAnsi="Verdana"/>
        </w:rPr>
        <w:t>mo modelar de manera simplificada las restricciones del sector gas, cuando se evalúen eventos de estrés, como la reducción de los límites de importación</w:t>
      </w:r>
      <w:r w:rsidR="00046590" w:rsidRPr="002917F2">
        <w:rPr>
          <w:rFonts w:ascii="Verdana" w:hAnsi="Verdana"/>
        </w:rPr>
        <w:t xml:space="preserve"> (</w:t>
      </w:r>
      <w:r w:rsidR="00046590" w:rsidRPr="002917F2">
        <w:rPr>
          <w:rFonts w:ascii="Verdana" w:hAnsi="Verdana"/>
          <w:b/>
          <w:bCs/>
        </w:rPr>
        <w:t>Anexo 2 y 4</w:t>
      </w:r>
      <w:r w:rsidR="00046590" w:rsidRPr="002917F2">
        <w:rPr>
          <w:rFonts w:ascii="Verdana" w:hAnsi="Verdana"/>
        </w:rPr>
        <w:t>)</w:t>
      </w:r>
      <w:r w:rsidRPr="002917F2">
        <w:rPr>
          <w:rFonts w:ascii="Verdana" w:hAnsi="Verdana"/>
        </w:rPr>
        <w:t xml:space="preserve">. </w:t>
      </w:r>
    </w:p>
    <w:p w14:paraId="3DEE005C" w14:textId="77777777" w:rsidR="00046590" w:rsidRPr="002917F2" w:rsidRDefault="00046590" w:rsidP="00046590">
      <w:pPr>
        <w:pStyle w:val="Prrafodelista"/>
        <w:jc w:val="both"/>
        <w:rPr>
          <w:rFonts w:ascii="Verdana" w:hAnsi="Verdana"/>
        </w:rPr>
      </w:pPr>
    </w:p>
    <w:p w14:paraId="31CDBD6E" w14:textId="2A052541" w:rsidR="00C262B8" w:rsidRPr="002917F2" w:rsidRDefault="00662971" w:rsidP="00662971">
      <w:pPr>
        <w:pStyle w:val="Prrafodelista"/>
        <w:numPr>
          <w:ilvl w:val="0"/>
          <w:numId w:val="1"/>
        </w:numPr>
        <w:jc w:val="both"/>
        <w:rPr>
          <w:rFonts w:ascii="Verdana" w:hAnsi="Verdana"/>
        </w:rPr>
      </w:pPr>
      <w:r w:rsidRPr="002917F2">
        <w:rPr>
          <w:rFonts w:ascii="Verdana" w:hAnsi="Verdana"/>
        </w:rPr>
        <w:t>Según los resultados, se evidencia una rampa de demanda neta más pronunciada para el periodo 19, si se compara con la demanda sola</w:t>
      </w:r>
      <w:r w:rsidR="00046590" w:rsidRPr="002917F2">
        <w:rPr>
          <w:rFonts w:ascii="Verdana" w:hAnsi="Verdana"/>
        </w:rPr>
        <w:t xml:space="preserve"> (para los periodos 2021-2022 y 2024-2025)</w:t>
      </w:r>
      <w:r w:rsidRPr="002917F2">
        <w:rPr>
          <w:rFonts w:ascii="Verdana" w:hAnsi="Verdana"/>
        </w:rPr>
        <w:t>.</w:t>
      </w:r>
      <w:r w:rsidR="00C262B8" w:rsidRPr="002917F2">
        <w:rPr>
          <w:rFonts w:ascii="Verdana" w:hAnsi="Verdana"/>
        </w:rPr>
        <w:t xml:space="preserve"> En este sentido, sugerimos tener en cuenta como índice la envolvente de duración de rampa para diferentes percentiles, para cada uno de los escenarios</w:t>
      </w:r>
      <w:r w:rsidR="00046590" w:rsidRPr="002917F2">
        <w:rPr>
          <w:rFonts w:ascii="Verdana" w:hAnsi="Verdana"/>
        </w:rPr>
        <w:t xml:space="preserve"> (</w:t>
      </w:r>
      <w:r w:rsidR="00046590" w:rsidRPr="002917F2">
        <w:rPr>
          <w:rFonts w:ascii="Verdana" w:hAnsi="Verdana"/>
          <w:b/>
          <w:bCs/>
        </w:rPr>
        <w:t>Anexo 5</w:t>
      </w:r>
      <w:r w:rsidR="00046590" w:rsidRPr="002917F2">
        <w:rPr>
          <w:rFonts w:ascii="Verdana" w:hAnsi="Verdana"/>
        </w:rPr>
        <w:t>)</w:t>
      </w:r>
      <w:r w:rsidR="00C262B8" w:rsidRPr="002917F2">
        <w:rPr>
          <w:rFonts w:ascii="Verdana" w:hAnsi="Verdana"/>
        </w:rPr>
        <w:t>.</w:t>
      </w:r>
    </w:p>
    <w:p w14:paraId="31322629" w14:textId="77777777" w:rsidR="00046590" w:rsidRPr="002917F2" w:rsidRDefault="00046590" w:rsidP="00046590">
      <w:pPr>
        <w:pStyle w:val="Prrafodelista"/>
        <w:jc w:val="both"/>
        <w:rPr>
          <w:rFonts w:ascii="Verdana" w:hAnsi="Verdana"/>
        </w:rPr>
      </w:pPr>
    </w:p>
    <w:p w14:paraId="1D8B9FAC" w14:textId="4C5D76B4" w:rsidR="00853E22" w:rsidRPr="002917F2" w:rsidRDefault="00C262B8" w:rsidP="00853E22">
      <w:pPr>
        <w:pStyle w:val="Prrafodelista"/>
        <w:numPr>
          <w:ilvl w:val="0"/>
          <w:numId w:val="1"/>
        </w:numPr>
        <w:jc w:val="both"/>
        <w:rPr>
          <w:rFonts w:ascii="Verdana" w:hAnsi="Verdana"/>
        </w:rPr>
      </w:pPr>
      <w:r w:rsidRPr="002917F2">
        <w:rPr>
          <w:rFonts w:ascii="Verdana" w:hAnsi="Verdana"/>
        </w:rPr>
        <w:t>Sugerimos revisar la conclusión respecto a la flexibilidad del SIN. Los valores de vertimientos sugieren que pueden presentarse problemas para acomodar toda la generación FNCER ante escenarios de altos aportes hídricos con la entrada de Ituango</w:t>
      </w:r>
      <w:r w:rsidR="0006540B" w:rsidRPr="002917F2">
        <w:rPr>
          <w:rFonts w:ascii="Verdana" w:hAnsi="Verdana"/>
        </w:rPr>
        <w:t xml:space="preserve"> (bajo una frecuencia de optimización de 1</w:t>
      </w:r>
      <w:r w:rsidR="005C277F" w:rsidRPr="002917F2">
        <w:rPr>
          <w:rFonts w:ascii="Verdana" w:hAnsi="Verdana"/>
        </w:rPr>
        <w:t xml:space="preserve"> y sin tener en cuenta la regla operativa de dicha planta</w:t>
      </w:r>
      <w:r w:rsidR="0006540B" w:rsidRPr="002917F2">
        <w:rPr>
          <w:rFonts w:ascii="Verdana" w:hAnsi="Verdana"/>
        </w:rPr>
        <w:t>)</w:t>
      </w:r>
      <w:r w:rsidRPr="002917F2">
        <w:rPr>
          <w:rFonts w:ascii="Verdana" w:hAnsi="Verdana"/>
        </w:rPr>
        <w:t>.</w:t>
      </w:r>
      <w:r w:rsidR="00935818">
        <w:rPr>
          <w:rFonts w:ascii="Verdana" w:hAnsi="Verdana"/>
        </w:rPr>
        <w:t xml:space="preserve"> De lo que alcanzamos a recibir información de EPM antes de la contingencia es que esa regla operativa es muy fuerte para la operación del sistema.</w:t>
      </w:r>
    </w:p>
    <w:p w14:paraId="109CBBE7" w14:textId="77777777" w:rsidR="00853E22" w:rsidRPr="002917F2" w:rsidRDefault="00853E22" w:rsidP="00853E22">
      <w:pPr>
        <w:pStyle w:val="Prrafodelista"/>
        <w:jc w:val="both"/>
        <w:rPr>
          <w:rFonts w:ascii="Verdana" w:hAnsi="Verdana"/>
        </w:rPr>
      </w:pPr>
    </w:p>
    <w:p w14:paraId="1E8BF91A" w14:textId="7D71C05E" w:rsidR="00E60BF9" w:rsidRPr="002917F2" w:rsidRDefault="0006540B" w:rsidP="00662971">
      <w:pPr>
        <w:pStyle w:val="Prrafodelista"/>
        <w:numPr>
          <w:ilvl w:val="0"/>
          <w:numId w:val="1"/>
        </w:numPr>
        <w:jc w:val="both"/>
        <w:rPr>
          <w:rFonts w:ascii="Verdana" w:hAnsi="Verdana"/>
        </w:rPr>
      </w:pPr>
      <w:r w:rsidRPr="002917F2">
        <w:rPr>
          <w:rFonts w:ascii="Verdana" w:hAnsi="Verdana"/>
        </w:rPr>
        <w:t>Totalmente de acuerdo con los análisis de resiliencia, inclusive bajo algunos enfoques de abordar la flexibilidad, se incluyen eventos de baja probabilidad de ocurrencia y alto impacto</w:t>
      </w:r>
      <w:r w:rsidR="00853E22" w:rsidRPr="002917F2">
        <w:rPr>
          <w:rFonts w:ascii="Verdana" w:hAnsi="Verdana"/>
        </w:rPr>
        <w:t xml:space="preserve"> (</w:t>
      </w:r>
      <w:r w:rsidR="00853E22" w:rsidRPr="002917F2">
        <w:rPr>
          <w:rFonts w:ascii="Verdana" w:hAnsi="Verdana"/>
          <w:b/>
          <w:bCs/>
        </w:rPr>
        <w:t xml:space="preserve">Anexo </w:t>
      </w:r>
      <w:r w:rsidR="00F344F6" w:rsidRPr="002917F2">
        <w:rPr>
          <w:rFonts w:ascii="Verdana" w:hAnsi="Verdana"/>
          <w:b/>
          <w:bCs/>
        </w:rPr>
        <w:t>4</w:t>
      </w:r>
      <w:r w:rsidR="00853E22" w:rsidRPr="002917F2">
        <w:rPr>
          <w:rFonts w:ascii="Verdana" w:hAnsi="Verdana"/>
        </w:rPr>
        <w:t>)</w:t>
      </w:r>
      <w:r w:rsidRPr="002917F2">
        <w:rPr>
          <w:rFonts w:ascii="Verdana" w:hAnsi="Verdana"/>
        </w:rPr>
        <w:t>.</w:t>
      </w:r>
    </w:p>
    <w:p w14:paraId="31F76FDC" w14:textId="77777777" w:rsidR="00ED3CB4" w:rsidRPr="002917F2" w:rsidRDefault="00ED3CB4" w:rsidP="00ED3CB4">
      <w:pPr>
        <w:pStyle w:val="Prrafodelista"/>
        <w:rPr>
          <w:rFonts w:ascii="Verdana" w:hAnsi="Verdana"/>
        </w:rPr>
      </w:pPr>
    </w:p>
    <w:p w14:paraId="62AE548B" w14:textId="77777777" w:rsidR="002917F2" w:rsidRPr="002917F2" w:rsidRDefault="00ED3CB4" w:rsidP="00662971">
      <w:pPr>
        <w:pStyle w:val="Prrafodelista"/>
        <w:numPr>
          <w:ilvl w:val="0"/>
          <w:numId w:val="1"/>
        </w:numPr>
        <w:jc w:val="both"/>
        <w:rPr>
          <w:rFonts w:ascii="Verdana" w:hAnsi="Verdana"/>
        </w:rPr>
      </w:pPr>
      <w:r w:rsidRPr="002917F2">
        <w:rPr>
          <w:rFonts w:ascii="Verdana" w:hAnsi="Verdana"/>
        </w:rPr>
        <w:t xml:space="preserve">El sistema eléctrico se considera autónomo sin importaciones internacionales, pero el sector gas si considera el recibo de gas natural </w:t>
      </w:r>
      <w:r w:rsidRPr="002917F2">
        <w:rPr>
          <w:rFonts w:ascii="Verdana" w:hAnsi="Verdana"/>
        </w:rPr>
        <w:lastRenderedPageBreak/>
        <w:t>importado</w:t>
      </w:r>
      <w:r w:rsidR="002917F2" w:rsidRPr="002917F2">
        <w:rPr>
          <w:rFonts w:ascii="Verdana" w:hAnsi="Verdana"/>
        </w:rPr>
        <w:t>:</w:t>
      </w:r>
      <w:r w:rsidRPr="002917F2">
        <w:rPr>
          <w:rFonts w:ascii="Verdana" w:hAnsi="Verdana"/>
        </w:rPr>
        <w:t xml:space="preserve"> hay una asimetría </w:t>
      </w:r>
      <w:r w:rsidR="002917F2" w:rsidRPr="002917F2">
        <w:rPr>
          <w:rFonts w:ascii="Verdana" w:hAnsi="Verdana"/>
        </w:rPr>
        <w:t>que debería si no subsanarse por lo menos explicarse.</w:t>
      </w:r>
    </w:p>
    <w:p w14:paraId="54EE418B" w14:textId="77777777" w:rsidR="002917F2" w:rsidRPr="002917F2" w:rsidRDefault="002917F2" w:rsidP="002917F2">
      <w:pPr>
        <w:pStyle w:val="Prrafodelista"/>
        <w:rPr>
          <w:rFonts w:ascii="Verdana" w:hAnsi="Verdana"/>
        </w:rPr>
      </w:pPr>
    </w:p>
    <w:p w14:paraId="0FEDD455" w14:textId="2FCE4631" w:rsidR="00ED3CB4" w:rsidRPr="002917F2" w:rsidRDefault="002917F2" w:rsidP="002917F2">
      <w:pPr>
        <w:pStyle w:val="Prrafodelista"/>
        <w:numPr>
          <w:ilvl w:val="0"/>
          <w:numId w:val="1"/>
        </w:numPr>
        <w:jc w:val="both"/>
        <w:rPr>
          <w:rFonts w:ascii="Verdana" w:hAnsi="Verdana"/>
        </w:rPr>
      </w:pPr>
      <w:r>
        <w:rPr>
          <w:rFonts w:ascii="Verdana" w:hAnsi="Verdana"/>
        </w:rPr>
        <w:t xml:space="preserve"> </w:t>
      </w:r>
      <w:r w:rsidRPr="002917F2">
        <w:rPr>
          <w:rFonts w:ascii="Verdana" w:hAnsi="Verdana"/>
        </w:rPr>
        <w:t>Es importante una dispositiva de objetivos y aproximaciones</w:t>
      </w:r>
      <w:r>
        <w:rPr>
          <w:rFonts w:ascii="Verdana" w:hAnsi="Verdana"/>
        </w:rPr>
        <w:t xml:space="preserve"> al comienzo</w:t>
      </w:r>
      <w:r w:rsidRPr="002917F2">
        <w:rPr>
          <w:rFonts w:ascii="Verdana" w:hAnsi="Verdana"/>
        </w:rPr>
        <w:t xml:space="preserve"> para evitar mala interpretación de conclusiones y recomendaciones</w:t>
      </w:r>
      <w:r>
        <w:rPr>
          <w:rFonts w:ascii="Verdana" w:hAnsi="Verdana"/>
        </w:rPr>
        <w:t>.</w:t>
      </w:r>
      <w:r w:rsidRPr="002917F2">
        <w:rPr>
          <w:rFonts w:ascii="Verdana" w:hAnsi="Verdana"/>
        </w:rPr>
        <w:t xml:space="preserve">  </w:t>
      </w:r>
      <w:r w:rsidR="00ED3CB4" w:rsidRPr="002917F2">
        <w:rPr>
          <w:rFonts w:ascii="Verdana" w:hAnsi="Verdana"/>
        </w:rPr>
        <w:t xml:space="preserve"> </w:t>
      </w:r>
    </w:p>
    <w:sectPr w:rsidR="00ED3CB4" w:rsidRPr="002917F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3CD64F" w14:textId="77777777" w:rsidR="003F1823" w:rsidRDefault="003F1823" w:rsidP="00046590">
      <w:pPr>
        <w:spacing w:after="0" w:line="240" w:lineRule="auto"/>
      </w:pPr>
      <w:r>
        <w:separator/>
      </w:r>
    </w:p>
  </w:endnote>
  <w:endnote w:type="continuationSeparator" w:id="0">
    <w:p w14:paraId="330F6964" w14:textId="77777777" w:rsidR="003F1823" w:rsidRDefault="003F1823" w:rsidP="00046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4CA2EB" w14:textId="77777777" w:rsidR="003F1823" w:rsidRDefault="003F1823" w:rsidP="00046590">
      <w:pPr>
        <w:spacing w:after="0" w:line="240" w:lineRule="auto"/>
      </w:pPr>
      <w:r>
        <w:separator/>
      </w:r>
    </w:p>
  </w:footnote>
  <w:footnote w:type="continuationSeparator" w:id="0">
    <w:p w14:paraId="57DEBC64" w14:textId="77777777" w:rsidR="003F1823" w:rsidRDefault="003F1823" w:rsidP="000465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B92D9" w14:textId="19C7A52B" w:rsidR="00046590" w:rsidRDefault="00046590">
    <w:pPr>
      <w:pStyle w:val="Encabezado"/>
    </w:pPr>
    <w:r>
      <w:rPr>
        <w:noProof/>
      </w:rPr>
      <w:drawing>
        <wp:anchor distT="0" distB="0" distL="114300" distR="114300" simplePos="0" relativeHeight="251659264" behindDoc="0" locked="0" layoutInCell="1" hidden="0" allowOverlap="1" wp14:anchorId="1B180F81" wp14:editId="6FA6A84A">
          <wp:simplePos x="0" y="0"/>
          <wp:positionH relativeFrom="margin">
            <wp:align>center</wp:align>
          </wp:positionH>
          <wp:positionV relativeFrom="paragraph">
            <wp:posOffset>-258816</wp:posOffset>
          </wp:positionV>
          <wp:extent cx="1827530" cy="695325"/>
          <wp:effectExtent l="0" t="0" r="1270" b="9525"/>
          <wp:wrapSquare wrapText="bothSides" distT="0" distB="0" distL="114300" distR="114300"/>
          <wp:docPr id="5" name="image1.png" descr="cid:image002.jpg@01D3D593.164EAD00"/>
          <wp:cNvGraphicFramePr/>
          <a:graphic xmlns:a="http://schemas.openxmlformats.org/drawingml/2006/main">
            <a:graphicData uri="http://schemas.openxmlformats.org/drawingml/2006/picture">
              <pic:pic xmlns:pic="http://schemas.openxmlformats.org/drawingml/2006/picture">
                <pic:nvPicPr>
                  <pic:cNvPr id="0" name="image1.png" descr="cid:image002.jpg@01D3D593.164EAD00"/>
                  <pic:cNvPicPr preferRelativeResize="0"/>
                </pic:nvPicPr>
                <pic:blipFill>
                  <a:blip r:embed="rId1"/>
                  <a:srcRect/>
                  <a:stretch>
                    <a:fillRect/>
                  </a:stretch>
                </pic:blipFill>
                <pic:spPr>
                  <a:xfrm>
                    <a:off x="0" y="0"/>
                    <a:ext cx="1827530" cy="6953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1B2655"/>
    <w:multiLevelType w:val="hybridMultilevel"/>
    <w:tmpl w:val="9CC4B992"/>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C0D"/>
    <w:rsid w:val="00046590"/>
    <w:rsid w:val="0006540B"/>
    <w:rsid w:val="000662F9"/>
    <w:rsid w:val="00095EE7"/>
    <w:rsid w:val="000F34C1"/>
    <w:rsid w:val="00126683"/>
    <w:rsid w:val="00170A40"/>
    <w:rsid w:val="001C6847"/>
    <w:rsid w:val="00274ECC"/>
    <w:rsid w:val="002917F2"/>
    <w:rsid w:val="002F3BF4"/>
    <w:rsid w:val="003F1823"/>
    <w:rsid w:val="004A0CBE"/>
    <w:rsid w:val="004F7611"/>
    <w:rsid w:val="00513EB7"/>
    <w:rsid w:val="0052679E"/>
    <w:rsid w:val="005C277F"/>
    <w:rsid w:val="005F40CE"/>
    <w:rsid w:val="00662971"/>
    <w:rsid w:val="0074492E"/>
    <w:rsid w:val="00853E22"/>
    <w:rsid w:val="0093043E"/>
    <w:rsid w:val="00935818"/>
    <w:rsid w:val="00B627BF"/>
    <w:rsid w:val="00BD39C7"/>
    <w:rsid w:val="00C262B8"/>
    <w:rsid w:val="00C62537"/>
    <w:rsid w:val="00E07C0D"/>
    <w:rsid w:val="00E60BF9"/>
    <w:rsid w:val="00ED3CB4"/>
    <w:rsid w:val="00F344F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589B0"/>
  <w15:chartTrackingRefBased/>
  <w15:docId w15:val="{C48C0705-0E37-4DAB-B028-F4E0AA3FD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7C0D"/>
    <w:pPr>
      <w:ind w:left="720"/>
      <w:contextualSpacing/>
    </w:pPr>
  </w:style>
  <w:style w:type="paragraph" w:styleId="Encabezado">
    <w:name w:val="header"/>
    <w:basedOn w:val="Normal"/>
    <w:link w:val="EncabezadoCar"/>
    <w:uiPriority w:val="99"/>
    <w:unhideWhenUsed/>
    <w:rsid w:val="000465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6590"/>
  </w:style>
  <w:style w:type="paragraph" w:styleId="Piedepgina">
    <w:name w:val="footer"/>
    <w:basedOn w:val="Normal"/>
    <w:link w:val="PiedepginaCar"/>
    <w:uiPriority w:val="99"/>
    <w:unhideWhenUsed/>
    <w:rsid w:val="000465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6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732</Words>
  <Characters>4026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Caro</dc:creator>
  <cp:keywords/>
  <dc:description/>
  <cp:lastModifiedBy>ALBERTO OLARTE</cp:lastModifiedBy>
  <cp:revision>2</cp:revision>
  <dcterms:created xsi:type="dcterms:W3CDTF">2021-03-04T13:07:00Z</dcterms:created>
  <dcterms:modified xsi:type="dcterms:W3CDTF">2021-03-04T13:07:00Z</dcterms:modified>
</cp:coreProperties>
</file>