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64C10230" w:rsidR="00CF0B30" w:rsidRPr="002E1F7F" w:rsidRDefault="00CF0B30" w:rsidP="00C94904">
      <w:pPr>
        <w:pStyle w:val="Ttulo"/>
        <w:jc w:val="center"/>
        <w:rPr>
          <w:rFonts w:ascii="Verdana" w:hAnsi="Verdana"/>
          <w:b/>
          <w:color w:val="000000"/>
          <w:sz w:val="32"/>
          <w:szCs w:val="32"/>
        </w:rPr>
      </w:pPr>
      <w:r w:rsidRPr="002E1F7F">
        <w:rPr>
          <w:rFonts w:ascii="Verdana" w:hAnsi="Verdana"/>
          <w:b/>
          <w:sz w:val="32"/>
          <w:szCs w:val="32"/>
        </w:rPr>
        <w:t xml:space="preserve">INFORME </w:t>
      </w:r>
      <w:r w:rsidR="003B26E1" w:rsidRPr="002E1F7F">
        <w:rPr>
          <w:rFonts w:ascii="Verdana" w:hAnsi="Verdana"/>
          <w:b/>
          <w:sz w:val="32"/>
          <w:szCs w:val="32"/>
        </w:rPr>
        <w:t>CNO 5</w:t>
      </w:r>
      <w:r w:rsidR="005108DC" w:rsidRPr="002E1F7F">
        <w:rPr>
          <w:rFonts w:ascii="Verdana" w:hAnsi="Verdana"/>
          <w:b/>
          <w:sz w:val="32"/>
          <w:szCs w:val="32"/>
        </w:rPr>
        <w:t>3</w:t>
      </w:r>
      <w:r w:rsidR="00AA5BF4">
        <w:rPr>
          <w:rFonts w:ascii="Verdana" w:hAnsi="Verdana"/>
          <w:b/>
          <w:sz w:val="32"/>
          <w:szCs w:val="32"/>
        </w:rPr>
        <w:t>5</w:t>
      </w:r>
    </w:p>
    <w:p w14:paraId="42873F87" w14:textId="06012E84" w:rsidR="00CF0B30" w:rsidRPr="001A3613" w:rsidRDefault="00CF0B30" w:rsidP="00C94904">
      <w:pPr>
        <w:rPr>
          <w:rFonts w:ascii="Verdana" w:hAnsi="Verdana" w:cs="Cambria"/>
          <w:color w:val="000000"/>
          <w:sz w:val="22"/>
          <w:szCs w:val="22"/>
        </w:rPr>
      </w:pPr>
    </w:p>
    <w:p w14:paraId="6BA34F1B" w14:textId="279D9DF2" w:rsidR="007F2666" w:rsidRPr="0015033B" w:rsidRDefault="00AA5BF4" w:rsidP="00C94904">
      <w:pPr>
        <w:jc w:val="both"/>
        <w:rPr>
          <w:rFonts w:ascii="Verdana" w:hAnsi="Verdana" w:cs="Cambria"/>
          <w:color w:val="000000"/>
        </w:rPr>
      </w:pPr>
      <w:r w:rsidRPr="0015033B">
        <w:rPr>
          <w:rFonts w:ascii="Verdana" w:hAnsi="Verdana" w:cs="Cambria"/>
          <w:color w:val="000000"/>
        </w:rPr>
        <w:t xml:space="preserve">Mayo 3 </w:t>
      </w:r>
      <w:r w:rsidR="001A2B49" w:rsidRPr="0015033B">
        <w:rPr>
          <w:rFonts w:ascii="Verdana" w:hAnsi="Verdana" w:cs="Cambria"/>
          <w:color w:val="000000"/>
        </w:rPr>
        <w:t>de 2018</w:t>
      </w:r>
    </w:p>
    <w:p w14:paraId="564951D9" w14:textId="5C69CE2A" w:rsidR="00601475" w:rsidRPr="0015033B" w:rsidRDefault="008D5A46" w:rsidP="00C94904">
      <w:pPr>
        <w:tabs>
          <w:tab w:val="left" w:pos="8134"/>
        </w:tabs>
        <w:jc w:val="both"/>
        <w:rPr>
          <w:rFonts w:ascii="Verdana" w:hAnsi="Verdana" w:cs="Cambria"/>
          <w:color w:val="000000"/>
        </w:rPr>
      </w:pPr>
      <w:r w:rsidRPr="0015033B">
        <w:rPr>
          <w:rFonts w:ascii="Verdana" w:hAnsi="Verdana" w:cs="Cambria"/>
          <w:color w:val="000000"/>
        </w:rPr>
        <w:tab/>
      </w:r>
    </w:p>
    <w:p w14:paraId="7C1CF8A5" w14:textId="4660C484" w:rsidR="007F2666" w:rsidRPr="0015033B" w:rsidRDefault="007F2666" w:rsidP="00C94904">
      <w:pPr>
        <w:jc w:val="both"/>
        <w:rPr>
          <w:rFonts w:ascii="Verdana" w:hAnsi="Verdana" w:cs="PTSans-Regular"/>
          <w:color w:val="000000" w:themeColor="text1"/>
          <w:u w:val="single"/>
          <w:lang w:val="es-ES" w:eastAsia="en-CA"/>
        </w:rPr>
      </w:pPr>
      <w:r w:rsidRPr="0015033B">
        <w:rPr>
          <w:rFonts w:ascii="Verdana" w:hAnsi="Verdana" w:cs="PTSans-Regular"/>
          <w:color w:val="000000" w:themeColor="text1"/>
          <w:u w:val="single"/>
          <w:lang w:val="es-ES" w:eastAsia="en-CA"/>
        </w:rPr>
        <w:t xml:space="preserve">Aspectos </w:t>
      </w:r>
      <w:r w:rsidR="002E1F7F" w:rsidRPr="0015033B">
        <w:rPr>
          <w:rFonts w:ascii="Verdana" w:hAnsi="Verdana" w:cs="PTSans-Regular"/>
          <w:color w:val="000000" w:themeColor="text1"/>
          <w:u w:val="single"/>
          <w:lang w:val="es-ES" w:eastAsia="en-CA"/>
        </w:rPr>
        <w:t>A</w:t>
      </w:r>
      <w:r w:rsidRPr="0015033B">
        <w:rPr>
          <w:rFonts w:ascii="Verdana" w:hAnsi="Verdana" w:cs="PTSans-Regular"/>
          <w:color w:val="000000" w:themeColor="text1"/>
          <w:u w:val="single"/>
          <w:lang w:val="es-ES" w:eastAsia="en-CA"/>
        </w:rPr>
        <w:t>dministrativos:</w:t>
      </w:r>
    </w:p>
    <w:p w14:paraId="13303C5B" w14:textId="77777777" w:rsidR="007304F0" w:rsidRPr="0015033B" w:rsidRDefault="007304F0" w:rsidP="00C94904">
      <w:pPr>
        <w:pStyle w:val="Prrafodelista"/>
        <w:ind w:left="720"/>
        <w:jc w:val="both"/>
        <w:rPr>
          <w:rFonts w:ascii="Verdana" w:hAnsi="Verdana" w:cs="Cambria"/>
          <w:color w:val="000000" w:themeColor="text1"/>
          <w:sz w:val="24"/>
          <w:szCs w:val="24"/>
        </w:rPr>
      </w:pPr>
    </w:p>
    <w:p w14:paraId="09EEC95B" w14:textId="08A1A44C" w:rsidR="002E1F7F" w:rsidRPr="0015033B" w:rsidRDefault="002E1F7F" w:rsidP="00C94904">
      <w:pPr>
        <w:pStyle w:val="Prrafodelista"/>
        <w:numPr>
          <w:ilvl w:val="0"/>
          <w:numId w:val="5"/>
        </w:numPr>
        <w:jc w:val="both"/>
        <w:rPr>
          <w:rFonts w:ascii="Verdana" w:hAnsi="Verdana" w:cs="Cambria"/>
          <w:color w:val="000000" w:themeColor="text1"/>
          <w:sz w:val="24"/>
          <w:szCs w:val="24"/>
        </w:rPr>
      </w:pPr>
      <w:r w:rsidRPr="0015033B">
        <w:rPr>
          <w:rFonts w:ascii="Verdana" w:hAnsi="Verdana" w:cs="Cambria"/>
          <w:color w:val="000000" w:themeColor="text1"/>
          <w:sz w:val="24"/>
          <w:szCs w:val="24"/>
        </w:rPr>
        <w:t xml:space="preserve">El Comité </w:t>
      </w:r>
      <w:r w:rsidR="00CB725D" w:rsidRPr="0015033B">
        <w:rPr>
          <w:rFonts w:ascii="Verdana" w:hAnsi="Verdana" w:cs="Cambria"/>
          <w:color w:val="000000" w:themeColor="text1"/>
          <w:sz w:val="24"/>
          <w:szCs w:val="24"/>
        </w:rPr>
        <w:t xml:space="preserve">Asesor </w:t>
      </w:r>
      <w:r w:rsidRPr="0015033B">
        <w:rPr>
          <w:rFonts w:ascii="Verdana" w:hAnsi="Verdana" w:cs="Cambria"/>
          <w:color w:val="000000" w:themeColor="text1"/>
          <w:sz w:val="24"/>
          <w:szCs w:val="24"/>
        </w:rPr>
        <w:t xml:space="preserve">de Estrategia recomienda </w:t>
      </w:r>
      <w:r w:rsidR="00E67900" w:rsidRPr="0015033B">
        <w:rPr>
          <w:rFonts w:ascii="Verdana" w:hAnsi="Verdana" w:cs="Cambria"/>
          <w:color w:val="000000" w:themeColor="text1"/>
          <w:sz w:val="24"/>
          <w:szCs w:val="24"/>
        </w:rPr>
        <w:t xml:space="preserve">al Consejo </w:t>
      </w:r>
      <w:r w:rsidRPr="0015033B">
        <w:rPr>
          <w:rFonts w:ascii="Verdana" w:hAnsi="Verdana" w:cs="Cambria"/>
          <w:color w:val="000000" w:themeColor="text1"/>
          <w:sz w:val="24"/>
          <w:szCs w:val="24"/>
        </w:rPr>
        <w:t>la a</w:t>
      </w:r>
      <w:r w:rsidR="00E67900" w:rsidRPr="0015033B">
        <w:rPr>
          <w:rFonts w:ascii="Verdana" w:hAnsi="Verdana" w:cs="Cambria"/>
          <w:color w:val="000000" w:themeColor="text1"/>
          <w:sz w:val="24"/>
          <w:szCs w:val="24"/>
        </w:rPr>
        <w:t>probación</w:t>
      </w:r>
      <w:r w:rsidRPr="0015033B">
        <w:rPr>
          <w:rFonts w:ascii="Verdana" w:hAnsi="Verdana" w:cs="Cambria"/>
          <w:color w:val="000000" w:themeColor="text1"/>
          <w:sz w:val="24"/>
          <w:szCs w:val="24"/>
        </w:rPr>
        <w:t xml:space="preserve"> </w:t>
      </w:r>
      <w:r w:rsidR="00E67900" w:rsidRPr="0015033B">
        <w:rPr>
          <w:rFonts w:ascii="Verdana" w:hAnsi="Verdana" w:cs="Cambria"/>
          <w:color w:val="000000" w:themeColor="text1"/>
          <w:sz w:val="24"/>
          <w:szCs w:val="24"/>
        </w:rPr>
        <w:t xml:space="preserve">del Plan Estratégico 2018 – 2023 con los </w:t>
      </w:r>
      <w:r w:rsidRPr="0015033B">
        <w:rPr>
          <w:rFonts w:ascii="Verdana" w:hAnsi="Verdana" w:cs="Cambria"/>
          <w:color w:val="000000" w:themeColor="text1"/>
          <w:sz w:val="24"/>
          <w:szCs w:val="24"/>
        </w:rPr>
        <w:t>objetivos estratégicos y plan</w:t>
      </w:r>
      <w:r w:rsidR="00E67900" w:rsidRPr="0015033B">
        <w:rPr>
          <w:rFonts w:ascii="Verdana" w:hAnsi="Verdana" w:cs="Cambria"/>
          <w:color w:val="000000" w:themeColor="text1"/>
          <w:sz w:val="24"/>
          <w:szCs w:val="24"/>
        </w:rPr>
        <w:t xml:space="preserve"> de acción </w:t>
      </w:r>
      <w:r w:rsidRPr="0015033B">
        <w:rPr>
          <w:rFonts w:ascii="Verdana" w:hAnsi="Verdana" w:cs="Cambria"/>
          <w:color w:val="000000" w:themeColor="text1"/>
          <w:sz w:val="24"/>
          <w:szCs w:val="24"/>
        </w:rPr>
        <w:t>que se encuentran en el anexo a este informe.</w:t>
      </w:r>
    </w:p>
    <w:p w14:paraId="4BA00750" w14:textId="77777777" w:rsidR="007304F0" w:rsidRPr="0015033B" w:rsidRDefault="007304F0" w:rsidP="00C94904">
      <w:pPr>
        <w:pStyle w:val="Prrafodelista"/>
        <w:jc w:val="both"/>
        <w:rPr>
          <w:rFonts w:ascii="Verdana" w:hAnsi="Verdana" w:cs="Cambria"/>
          <w:color w:val="000000" w:themeColor="text1"/>
          <w:sz w:val="24"/>
          <w:szCs w:val="24"/>
        </w:rPr>
      </w:pPr>
    </w:p>
    <w:p w14:paraId="567BA041" w14:textId="77777777" w:rsidR="00534C0E" w:rsidRPr="0015033B" w:rsidRDefault="007304F0" w:rsidP="00C94904">
      <w:pPr>
        <w:pStyle w:val="Prrafodelista"/>
        <w:numPr>
          <w:ilvl w:val="0"/>
          <w:numId w:val="5"/>
        </w:numPr>
        <w:jc w:val="both"/>
        <w:rPr>
          <w:rFonts w:ascii="Verdana" w:hAnsi="Verdana" w:cs="Cambria"/>
          <w:color w:val="000000" w:themeColor="text1"/>
          <w:sz w:val="24"/>
          <w:szCs w:val="24"/>
        </w:rPr>
      </w:pPr>
      <w:r w:rsidRPr="0015033B">
        <w:rPr>
          <w:rFonts w:ascii="Verdana" w:hAnsi="Verdana" w:cs="Cambria"/>
          <w:color w:val="000000" w:themeColor="text1"/>
          <w:sz w:val="24"/>
          <w:szCs w:val="24"/>
        </w:rPr>
        <w:t xml:space="preserve">A la fecha </w:t>
      </w:r>
      <w:r w:rsidR="00534C0E" w:rsidRPr="0015033B">
        <w:rPr>
          <w:rFonts w:ascii="Verdana" w:hAnsi="Verdana" w:cs="Cambria"/>
          <w:color w:val="000000" w:themeColor="text1"/>
          <w:sz w:val="24"/>
          <w:szCs w:val="24"/>
        </w:rPr>
        <w:t>los candidatos propuestos para elegir el miembro independiente del Comité Asesor de Estrategia son:</w:t>
      </w:r>
    </w:p>
    <w:p w14:paraId="5FBFCAC8" w14:textId="77777777" w:rsidR="00534C0E" w:rsidRPr="0015033B" w:rsidRDefault="00534C0E" w:rsidP="00C94904">
      <w:pPr>
        <w:pStyle w:val="Prrafodelista"/>
        <w:jc w:val="both"/>
        <w:rPr>
          <w:rFonts w:ascii="Verdana" w:hAnsi="Verdana" w:cs="Cambria"/>
          <w:color w:val="000000" w:themeColor="text1"/>
          <w:sz w:val="24"/>
          <w:szCs w:val="24"/>
        </w:rPr>
      </w:pPr>
    </w:p>
    <w:p w14:paraId="6A9E545A" w14:textId="77777777" w:rsidR="00534C0E" w:rsidRPr="0015033B" w:rsidRDefault="00534C0E" w:rsidP="00C94904">
      <w:pPr>
        <w:pStyle w:val="Prrafodelista"/>
        <w:numPr>
          <w:ilvl w:val="0"/>
          <w:numId w:val="11"/>
        </w:numPr>
        <w:jc w:val="both"/>
        <w:rPr>
          <w:rFonts w:ascii="Verdana" w:hAnsi="Verdana" w:cs="Arial"/>
          <w:sz w:val="24"/>
          <w:szCs w:val="24"/>
          <w:lang w:eastAsia="en-US"/>
        </w:rPr>
      </w:pPr>
      <w:r w:rsidRPr="0015033B">
        <w:rPr>
          <w:rFonts w:ascii="Verdana" w:hAnsi="Verdana" w:cs="Arial"/>
          <w:sz w:val="24"/>
          <w:szCs w:val="24"/>
        </w:rPr>
        <w:t>CARMENZA CHAHIN</w:t>
      </w:r>
    </w:p>
    <w:p w14:paraId="26066633" w14:textId="77777777" w:rsidR="00534C0E" w:rsidRPr="0015033B" w:rsidRDefault="00534C0E" w:rsidP="00C94904">
      <w:pPr>
        <w:pStyle w:val="Prrafodelista"/>
        <w:numPr>
          <w:ilvl w:val="0"/>
          <w:numId w:val="11"/>
        </w:numPr>
        <w:jc w:val="both"/>
        <w:rPr>
          <w:rFonts w:ascii="Verdana" w:hAnsi="Verdana" w:cs="Arial"/>
          <w:sz w:val="24"/>
          <w:szCs w:val="24"/>
        </w:rPr>
      </w:pPr>
      <w:r w:rsidRPr="0015033B">
        <w:rPr>
          <w:rFonts w:ascii="Verdana" w:hAnsi="Verdana" w:cs="Arial"/>
          <w:sz w:val="24"/>
          <w:szCs w:val="24"/>
        </w:rPr>
        <w:t>GERMAN GARCIA</w:t>
      </w:r>
    </w:p>
    <w:p w14:paraId="5E8B67F3" w14:textId="77777777" w:rsidR="00534C0E" w:rsidRPr="0015033B" w:rsidRDefault="00534C0E" w:rsidP="00C94904">
      <w:pPr>
        <w:pStyle w:val="Prrafodelista"/>
        <w:numPr>
          <w:ilvl w:val="0"/>
          <w:numId w:val="11"/>
        </w:numPr>
        <w:jc w:val="both"/>
        <w:rPr>
          <w:rFonts w:ascii="Verdana" w:hAnsi="Verdana" w:cs="Arial"/>
          <w:sz w:val="24"/>
          <w:szCs w:val="24"/>
        </w:rPr>
      </w:pPr>
      <w:r w:rsidRPr="0015033B">
        <w:rPr>
          <w:rFonts w:ascii="Verdana" w:hAnsi="Verdana" w:cs="Arial"/>
          <w:sz w:val="24"/>
          <w:szCs w:val="24"/>
        </w:rPr>
        <w:t>JAVIER DIAZ</w:t>
      </w:r>
    </w:p>
    <w:p w14:paraId="251FC2AD" w14:textId="77777777" w:rsidR="00534C0E" w:rsidRPr="0015033B" w:rsidRDefault="00534C0E" w:rsidP="00C94904">
      <w:pPr>
        <w:pStyle w:val="Prrafodelista"/>
        <w:numPr>
          <w:ilvl w:val="0"/>
          <w:numId w:val="11"/>
        </w:numPr>
        <w:jc w:val="both"/>
        <w:rPr>
          <w:rFonts w:ascii="Verdana" w:hAnsi="Verdana" w:cs="Arial"/>
          <w:sz w:val="24"/>
          <w:szCs w:val="24"/>
        </w:rPr>
      </w:pPr>
      <w:r w:rsidRPr="0015033B">
        <w:rPr>
          <w:rFonts w:ascii="Verdana" w:hAnsi="Verdana" w:cs="Arial"/>
          <w:sz w:val="24"/>
          <w:szCs w:val="24"/>
        </w:rPr>
        <w:t>SANDRA FONSECA</w:t>
      </w:r>
    </w:p>
    <w:p w14:paraId="4E7C21D1" w14:textId="77777777" w:rsidR="00534C0E" w:rsidRPr="0015033B" w:rsidRDefault="00534C0E" w:rsidP="00C94904">
      <w:pPr>
        <w:pStyle w:val="Prrafodelista"/>
        <w:numPr>
          <w:ilvl w:val="0"/>
          <w:numId w:val="11"/>
        </w:numPr>
        <w:jc w:val="both"/>
        <w:rPr>
          <w:rFonts w:ascii="Verdana" w:hAnsi="Verdana" w:cs="Arial"/>
          <w:sz w:val="24"/>
          <w:szCs w:val="24"/>
        </w:rPr>
      </w:pPr>
      <w:r w:rsidRPr="0015033B">
        <w:rPr>
          <w:rFonts w:ascii="Verdana" w:hAnsi="Verdana" w:cs="Arial"/>
          <w:sz w:val="24"/>
          <w:szCs w:val="24"/>
        </w:rPr>
        <w:t>ROBERTO NADER</w:t>
      </w:r>
    </w:p>
    <w:p w14:paraId="5D49607C" w14:textId="738941B1" w:rsidR="00534C0E" w:rsidRDefault="00534C0E" w:rsidP="00C94904">
      <w:pPr>
        <w:pStyle w:val="Prrafodelista"/>
        <w:numPr>
          <w:ilvl w:val="0"/>
          <w:numId w:val="11"/>
        </w:numPr>
        <w:jc w:val="both"/>
        <w:rPr>
          <w:rFonts w:ascii="Verdana" w:hAnsi="Verdana" w:cs="Cambria"/>
          <w:color w:val="000000" w:themeColor="text1"/>
          <w:sz w:val="24"/>
          <w:szCs w:val="24"/>
        </w:rPr>
      </w:pPr>
      <w:r w:rsidRPr="0015033B">
        <w:rPr>
          <w:rFonts w:ascii="Verdana" w:hAnsi="Verdana" w:cs="Cambria"/>
          <w:color w:val="000000" w:themeColor="text1"/>
          <w:sz w:val="24"/>
          <w:szCs w:val="24"/>
        </w:rPr>
        <w:t>GERMÁN CORREDOR</w:t>
      </w:r>
    </w:p>
    <w:p w14:paraId="73AA05C1" w14:textId="39D69B9A" w:rsidR="0048104A" w:rsidRPr="0015033B" w:rsidRDefault="0048104A" w:rsidP="00C94904">
      <w:pPr>
        <w:pStyle w:val="Prrafodelista"/>
        <w:numPr>
          <w:ilvl w:val="0"/>
          <w:numId w:val="11"/>
        </w:numPr>
        <w:jc w:val="both"/>
        <w:rPr>
          <w:rFonts w:ascii="Verdana" w:hAnsi="Verdana" w:cs="Cambria"/>
          <w:color w:val="000000" w:themeColor="text1"/>
          <w:sz w:val="24"/>
          <w:szCs w:val="24"/>
        </w:rPr>
      </w:pPr>
      <w:r>
        <w:rPr>
          <w:rFonts w:ascii="Verdana" w:hAnsi="Verdana" w:cs="Cambria"/>
          <w:color w:val="000000" w:themeColor="text1"/>
          <w:sz w:val="24"/>
          <w:szCs w:val="24"/>
        </w:rPr>
        <w:t>DAVID R</w:t>
      </w:r>
      <w:bookmarkStart w:id="0" w:name="_GoBack"/>
      <w:bookmarkEnd w:id="0"/>
      <w:r>
        <w:rPr>
          <w:rFonts w:ascii="Verdana" w:hAnsi="Verdana" w:cs="Cambria"/>
          <w:color w:val="000000" w:themeColor="text1"/>
          <w:sz w:val="24"/>
          <w:szCs w:val="24"/>
        </w:rPr>
        <w:t>IAÑO</w:t>
      </w:r>
    </w:p>
    <w:p w14:paraId="3B106FE5" w14:textId="27F2E830" w:rsidR="004A2125" w:rsidRPr="0015033B" w:rsidRDefault="004A2125" w:rsidP="00C94904">
      <w:pPr>
        <w:jc w:val="both"/>
        <w:rPr>
          <w:rFonts w:ascii="Verdana" w:hAnsi="Verdana" w:cs="Cambria"/>
          <w:color w:val="000000" w:themeColor="text1"/>
        </w:rPr>
      </w:pPr>
      <w:r w:rsidRPr="0015033B">
        <w:rPr>
          <w:rFonts w:ascii="Verdana" w:hAnsi="Verdana" w:cs="Cambria"/>
          <w:color w:val="000000" w:themeColor="text1"/>
        </w:rPr>
        <w:t xml:space="preserve"> </w:t>
      </w:r>
      <w:r w:rsidR="007304F0" w:rsidRPr="0015033B">
        <w:rPr>
          <w:rFonts w:ascii="Verdana" w:hAnsi="Verdana" w:cs="Cambria"/>
          <w:color w:val="000000" w:themeColor="text1"/>
        </w:rPr>
        <w:t xml:space="preserve"> </w:t>
      </w:r>
    </w:p>
    <w:p w14:paraId="4F81A129" w14:textId="4C8BAC02" w:rsidR="004A2125" w:rsidRPr="0015033B" w:rsidRDefault="004A2125" w:rsidP="00C94904">
      <w:pPr>
        <w:pStyle w:val="Prrafodelista"/>
        <w:numPr>
          <w:ilvl w:val="0"/>
          <w:numId w:val="5"/>
        </w:numPr>
        <w:jc w:val="both"/>
        <w:rPr>
          <w:rFonts w:ascii="Verdana" w:hAnsi="Verdana" w:cs="Cambria"/>
          <w:color w:val="000000" w:themeColor="text1"/>
          <w:sz w:val="24"/>
          <w:szCs w:val="24"/>
        </w:rPr>
      </w:pPr>
      <w:r w:rsidRPr="0015033B">
        <w:rPr>
          <w:rFonts w:ascii="Verdana" w:hAnsi="Verdana" w:cs="Cambria"/>
          <w:color w:val="000000" w:themeColor="text1"/>
          <w:sz w:val="24"/>
          <w:szCs w:val="24"/>
        </w:rPr>
        <w:t>Se propone la fecha del 17 y 18 de mayo para la visita a Ituango así:</w:t>
      </w:r>
    </w:p>
    <w:p w14:paraId="714CC2A7" w14:textId="77777777" w:rsidR="004A2125" w:rsidRPr="0015033B" w:rsidRDefault="004A2125" w:rsidP="00C94904">
      <w:pPr>
        <w:pStyle w:val="Prrafodelista"/>
        <w:jc w:val="both"/>
        <w:rPr>
          <w:rFonts w:ascii="Verdana" w:hAnsi="Verdana" w:cs="Cambria"/>
          <w:color w:val="000000" w:themeColor="text1"/>
          <w:sz w:val="24"/>
          <w:szCs w:val="24"/>
        </w:rPr>
      </w:pPr>
    </w:p>
    <w:p w14:paraId="2552B73F" w14:textId="4EEBE85F" w:rsidR="004A2125" w:rsidRPr="0015033B" w:rsidRDefault="004A2125" w:rsidP="00C94904">
      <w:pPr>
        <w:ind w:left="720"/>
        <w:jc w:val="both"/>
        <w:rPr>
          <w:rFonts w:ascii="Verdana" w:hAnsi="Verdana" w:cs="Cambria"/>
          <w:color w:val="000000" w:themeColor="text1"/>
        </w:rPr>
      </w:pPr>
      <w:r w:rsidRPr="0015033B">
        <w:rPr>
          <w:rFonts w:ascii="Verdana" w:hAnsi="Verdana" w:cs="Cambria"/>
          <w:color w:val="000000" w:themeColor="text1"/>
        </w:rPr>
        <w:t>Dia 17:   am: viaje Ituango.</w:t>
      </w:r>
    </w:p>
    <w:p w14:paraId="4B3E759E" w14:textId="2E35FCEF" w:rsidR="004A2125" w:rsidRPr="0015033B" w:rsidRDefault="004A2125" w:rsidP="00C94904">
      <w:pPr>
        <w:ind w:left="720"/>
        <w:jc w:val="both"/>
        <w:rPr>
          <w:rFonts w:ascii="Verdana" w:hAnsi="Verdana" w:cs="Cambria"/>
          <w:color w:val="000000" w:themeColor="text1"/>
        </w:rPr>
      </w:pPr>
      <w:r w:rsidRPr="0015033B">
        <w:rPr>
          <w:rFonts w:ascii="Verdana" w:hAnsi="Verdana" w:cs="Cambria"/>
          <w:color w:val="000000" w:themeColor="text1"/>
        </w:rPr>
        <w:t xml:space="preserve">              pm: visita obra.</w:t>
      </w:r>
    </w:p>
    <w:p w14:paraId="683539CF" w14:textId="5CF7A3FF" w:rsidR="004A2125" w:rsidRPr="0015033B" w:rsidRDefault="004A2125" w:rsidP="00C94904">
      <w:pPr>
        <w:ind w:left="720"/>
        <w:jc w:val="both"/>
        <w:rPr>
          <w:rFonts w:ascii="Verdana" w:hAnsi="Verdana" w:cs="Cambria"/>
          <w:color w:val="000000" w:themeColor="text1"/>
        </w:rPr>
      </w:pPr>
    </w:p>
    <w:p w14:paraId="4488B263" w14:textId="221CD871" w:rsidR="00A35FAC" w:rsidRPr="0015033B" w:rsidRDefault="004A2125" w:rsidP="00C94904">
      <w:pPr>
        <w:ind w:left="720"/>
        <w:jc w:val="both"/>
        <w:rPr>
          <w:rFonts w:ascii="Verdana" w:hAnsi="Verdana" w:cs="Cambria"/>
          <w:color w:val="000000" w:themeColor="text1"/>
        </w:rPr>
      </w:pPr>
      <w:r w:rsidRPr="0015033B">
        <w:rPr>
          <w:rFonts w:ascii="Verdana" w:hAnsi="Verdana" w:cs="Cambria"/>
          <w:color w:val="000000" w:themeColor="text1"/>
        </w:rPr>
        <w:t xml:space="preserve">Dia 18:  am: viaje regreso Medellín </w:t>
      </w:r>
    </w:p>
    <w:p w14:paraId="328DA17C" w14:textId="77777777" w:rsidR="00A35FAC" w:rsidRPr="0015033B" w:rsidRDefault="00A35FAC" w:rsidP="00C94904">
      <w:pPr>
        <w:jc w:val="both"/>
        <w:rPr>
          <w:rFonts w:ascii="Verdana" w:hAnsi="Verdana" w:cs="Cambria"/>
          <w:color w:val="000000" w:themeColor="text1"/>
        </w:rPr>
      </w:pPr>
    </w:p>
    <w:p w14:paraId="1F9E465F" w14:textId="0E5AD69C" w:rsidR="00057E7C" w:rsidRPr="0015033B" w:rsidRDefault="00057E7C" w:rsidP="00C94904">
      <w:pPr>
        <w:jc w:val="both"/>
        <w:rPr>
          <w:rFonts w:ascii="Verdana" w:hAnsi="Verdana" w:cs="Cambria"/>
          <w:color w:val="000000" w:themeColor="text1"/>
          <w:u w:val="single"/>
        </w:rPr>
      </w:pPr>
      <w:r w:rsidRPr="0015033B">
        <w:rPr>
          <w:rFonts w:ascii="Verdana" w:hAnsi="Verdana" w:cs="Cambria"/>
          <w:color w:val="000000" w:themeColor="text1"/>
          <w:u w:val="single"/>
        </w:rPr>
        <w:t xml:space="preserve">Aspectos </w:t>
      </w:r>
      <w:r w:rsidR="002E1F7F" w:rsidRPr="0015033B">
        <w:rPr>
          <w:rFonts w:ascii="Verdana" w:hAnsi="Verdana" w:cs="Cambria"/>
          <w:color w:val="000000" w:themeColor="text1"/>
          <w:u w:val="single"/>
        </w:rPr>
        <w:t>T</w:t>
      </w:r>
      <w:r w:rsidRPr="0015033B">
        <w:rPr>
          <w:rFonts w:ascii="Verdana" w:hAnsi="Verdana" w:cs="Cambria"/>
          <w:color w:val="000000" w:themeColor="text1"/>
          <w:u w:val="single"/>
        </w:rPr>
        <w:t>écnicos</w:t>
      </w:r>
      <w:r w:rsidR="00AE208C" w:rsidRPr="0015033B">
        <w:rPr>
          <w:rFonts w:ascii="Verdana" w:hAnsi="Verdana" w:cs="Cambria"/>
          <w:color w:val="000000" w:themeColor="text1"/>
          <w:u w:val="single"/>
        </w:rPr>
        <w:t>:</w:t>
      </w:r>
    </w:p>
    <w:p w14:paraId="71E33ABD" w14:textId="77777777" w:rsidR="00CF0B30" w:rsidRPr="0015033B" w:rsidRDefault="00CF0B30" w:rsidP="00C94904">
      <w:pPr>
        <w:keepNext/>
        <w:tabs>
          <w:tab w:val="left" w:pos="-426"/>
          <w:tab w:val="left" w:pos="540"/>
        </w:tabs>
        <w:autoSpaceDE w:val="0"/>
        <w:autoSpaceDN w:val="0"/>
        <w:adjustRightInd w:val="0"/>
        <w:jc w:val="both"/>
        <w:outlineLvl w:val="2"/>
        <w:rPr>
          <w:rFonts w:ascii="Verdana" w:hAnsi="Verdana" w:cs="Cambria"/>
          <w:bCs/>
          <w:color w:val="000000" w:themeColor="text1"/>
          <w:lang w:val="pt-BR"/>
        </w:rPr>
      </w:pPr>
    </w:p>
    <w:p w14:paraId="42C8B429" w14:textId="188CDF6C" w:rsidR="002F3EBE" w:rsidRPr="0015033B" w:rsidRDefault="00C14F9A" w:rsidP="00C94904">
      <w:pPr>
        <w:pStyle w:val="Prrafodelista"/>
        <w:numPr>
          <w:ilvl w:val="0"/>
          <w:numId w:val="8"/>
        </w:numPr>
        <w:contextualSpacing/>
        <w:jc w:val="both"/>
        <w:rPr>
          <w:rFonts w:ascii="Verdana" w:hAnsi="Verdana" w:cs="Arial"/>
          <w:color w:val="000000" w:themeColor="text1"/>
          <w:sz w:val="24"/>
          <w:szCs w:val="24"/>
        </w:rPr>
      </w:pPr>
      <w:r w:rsidRPr="0015033B">
        <w:rPr>
          <w:rFonts w:ascii="Verdana" w:hAnsi="Verdana" w:cs="Arial"/>
          <w:color w:val="000000" w:themeColor="text1"/>
          <w:sz w:val="24"/>
          <w:szCs w:val="24"/>
        </w:rPr>
        <w:t xml:space="preserve">Se </w:t>
      </w:r>
      <w:r w:rsidR="003915F0" w:rsidRPr="0015033B">
        <w:rPr>
          <w:rFonts w:ascii="Verdana" w:hAnsi="Verdana" w:cs="Arial"/>
          <w:color w:val="000000" w:themeColor="text1"/>
          <w:sz w:val="24"/>
          <w:szCs w:val="24"/>
        </w:rPr>
        <w:t xml:space="preserve">llevaron </w:t>
      </w:r>
      <w:r w:rsidR="00CB725D" w:rsidRPr="0015033B">
        <w:rPr>
          <w:rFonts w:ascii="Verdana" w:hAnsi="Verdana" w:cs="Arial"/>
          <w:color w:val="000000" w:themeColor="text1"/>
          <w:sz w:val="24"/>
          <w:szCs w:val="24"/>
        </w:rPr>
        <w:t xml:space="preserve">a </w:t>
      </w:r>
      <w:r w:rsidR="003915F0" w:rsidRPr="0015033B">
        <w:rPr>
          <w:rFonts w:ascii="Verdana" w:hAnsi="Verdana" w:cs="Arial"/>
          <w:color w:val="000000" w:themeColor="text1"/>
          <w:sz w:val="24"/>
          <w:szCs w:val="24"/>
        </w:rPr>
        <w:t xml:space="preserve">cabo los análisis hidrológicos y de impacto energético por la aplicación de la guía de caudal ambiental del MADS. Los resultados obtenidos y las principales conclusiones </w:t>
      </w:r>
      <w:r w:rsidR="00CB725D" w:rsidRPr="0015033B">
        <w:rPr>
          <w:rFonts w:ascii="Verdana" w:hAnsi="Verdana" w:cs="Arial"/>
          <w:color w:val="000000" w:themeColor="text1"/>
          <w:sz w:val="24"/>
          <w:szCs w:val="24"/>
        </w:rPr>
        <w:t>fueron</w:t>
      </w:r>
      <w:r w:rsidR="003915F0" w:rsidRPr="0015033B">
        <w:rPr>
          <w:rFonts w:ascii="Verdana" w:hAnsi="Verdana" w:cs="Arial"/>
          <w:color w:val="000000" w:themeColor="text1"/>
          <w:sz w:val="24"/>
          <w:szCs w:val="24"/>
        </w:rPr>
        <w:t xml:space="preserve"> presentad</w:t>
      </w:r>
      <w:r w:rsidR="00713A21" w:rsidRPr="0015033B">
        <w:rPr>
          <w:rFonts w:ascii="Verdana" w:hAnsi="Verdana" w:cs="Arial"/>
          <w:color w:val="000000" w:themeColor="text1"/>
          <w:sz w:val="24"/>
          <w:szCs w:val="24"/>
        </w:rPr>
        <w:t>a</w:t>
      </w:r>
      <w:r w:rsidR="003915F0" w:rsidRPr="0015033B">
        <w:rPr>
          <w:rFonts w:ascii="Verdana" w:hAnsi="Verdana" w:cs="Arial"/>
          <w:color w:val="000000" w:themeColor="text1"/>
          <w:sz w:val="24"/>
          <w:szCs w:val="24"/>
        </w:rPr>
        <w:t xml:space="preserve">s </w:t>
      </w:r>
      <w:r w:rsidR="00CB725D" w:rsidRPr="0015033B">
        <w:rPr>
          <w:rFonts w:ascii="Verdana" w:hAnsi="Verdana" w:cs="Arial"/>
          <w:color w:val="000000" w:themeColor="text1"/>
          <w:sz w:val="24"/>
          <w:szCs w:val="24"/>
        </w:rPr>
        <w:t>en reunión</w:t>
      </w:r>
      <w:r w:rsidR="004A2125" w:rsidRPr="0015033B">
        <w:rPr>
          <w:rFonts w:ascii="Verdana" w:hAnsi="Verdana" w:cs="Arial"/>
          <w:color w:val="000000" w:themeColor="text1"/>
          <w:sz w:val="24"/>
          <w:szCs w:val="24"/>
        </w:rPr>
        <w:t xml:space="preserve"> con el </w:t>
      </w:r>
      <w:r w:rsidR="00003AB9" w:rsidRPr="0015033B">
        <w:rPr>
          <w:rFonts w:ascii="Verdana" w:hAnsi="Verdana" w:cs="Arial"/>
          <w:color w:val="000000" w:themeColor="text1"/>
          <w:sz w:val="24"/>
          <w:szCs w:val="24"/>
        </w:rPr>
        <w:t xml:space="preserve">MME y el </w:t>
      </w:r>
      <w:r w:rsidR="004A2125" w:rsidRPr="0015033B">
        <w:rPr>
          <w:rFonts w:ascii="Verdana" w:hAnsi="Verdana" w:cs="Arial"/>
          <w:color w:val="000000" w:themeColor="text1"/>
          <w:sz w:val="24"/>
          <w:szCs w:val="24"/>
        </w:rPr>
        <w:t>MADS</w:t>
      </w:r>
      <w:r w:rsidR="003915F0" w:rsidRPr="0015033B">
        <w:rPr>
          <w:rFonts w:ascii="Verdana" w:hAnsi="Verdana" w:cs="Arial"/>
          <w:color w:val="000000" w:themeColor="text1"/>
          <w:sz w:val="24"/>
          <w:szCs w:val="24"/>
        </w:rPr>
        <w:t>.</w:t>
      </w:r>
      <w:r w:rsidR="004A2125" w:rsidRPr="0015033B">
        <w:rPr>
          <w:rFonts w:ascii="Verdana" w:hAnsi="Verdana" w:cs="Arial"/>
          <w:color w:val="000000" w:themeColor="text1"/>
          <w:sz w:val="24"/>
          <w:szCs w:val="24"/>
        </w:rPr>
        <w:t xml:space="preserve"> Se env</w:t>
      </w:r>
      <w:r w:rsidR="00E67900" w:rsidRPr="0015033B">
        <w:rPr>
          <w:rFonts w:ascii="Verdana" w:hAnsi="Verdana" w:cs="Arial"/>
          <w:color w:val="000000" w:themeColor="text1"/>
          <w:sz w:val="24"/>
          <w:szCs w:val="24"/>
        </w:rPr>
        <w:t>ió</w:t>
      </w:r>
      <w:r w:rsidR="004A2125" w:rsidRPr="0015033B">
        <w:rPr>
          <w:rFonts w:ascii="Verdana" w:hAnsi="Verdana" w:cs="Arial"/>
          <w:color w:val="000000" w:themeColor="text1"/>
          <w:sz w:val="24"/>
          <w:szCs w:val="24"/>
        </w:rPr>
        <w:t xml:space="preserve"> comunicación </w:t>
      </w:r>
      <w:r w:rsidR="000D285A" w:rsidRPr="0015033B">
        <w:rPr>
          <w:rFonts w:ascii="Verdana" w:hAnsi="Verdana" w:cs="Arial"/>
          <w:color w:val="000000" w:themeColor="text1"/>
          <w:sz w:val="24"/>
          <w:szCs w:val="24"/>
        </w:rPr>
        <w:t xml:space="preserve">conjunta </w:t>
      </w:r>
      <w:r w:rsidR="004A2125" w:rsidRPr="0015033B">
        <w:rPr>
          <w:rFonts w:ascii="Verdana" w:hAnsi="Verdana" w:cs="Arial"/>
          <w:color w:val="000000" w:themeColor="text1"/>
          <w:sz w:val="24"/>
          <w:szCs w:val="24"/>
        </w:rPr>
        <w:t>UPM</w:t>
      </w:r>
      <w:r w:rsidR="002F3EBE" w:rsidRPr="0015033B">
        <w:rPr>
          <w:rFonts w:ascii="Verdana" w:hAnsi="Verdana" w:cs="Arial"/>
          <w:color w:val="000000" w:themeColor="text1"/>
          <w:sz w:val="24"/>
          <w:szCs w:val="24"/>
        </w:rPr>
        <w:t>E</w:t>
      </w:r>
      <w:r w:rsidR="000D285A" w:rsidRPr="0015033B">
        <w:rPr>
          <w:rFonts w:ascii="Verdana" w:hAnsi="Verdana" w:cs="Arial"/>
          <w:color w:val="000000" w:themeColor="text1"/>
          <w:sz w:val="24"/>
          <w:szCs w:val="24"/>
        </w:rPr>
        <w:t>-CN</w:t>
      </w:r>
      <w:r w:rsidR="00713A21" w:rsidRPr="0015033B">
        <w:rPr>
          <w:rFonts w:ascii="Verdana" w:hAnsi="Verdana" w:cs="Arial"/>
          <w:color w:val="000000" w:themeColor="text1"/>
          <w:sz w:val="24"/>
          <w:szCs w:val="24"/>
        </w:rPr>
        <w:t>O</w:t>
      </w:r>
      <w:r w:rsidR="000D285A" w:rsidRPr="0015033B">
        <w:rPr>
          <w:rFonts w:ascii="Verdana" w:hAnsi="Verdana" w:cs="Arial"/>
          <w:color w:val="000000" w:themeColor="text1"/>
          <w:sz w:val="24"/>
          <w:szCs w:val="24"/>
        </w:rPr>
        <w:t>-XM</w:t>
      </w:r>
      <w:r w:rsidR="004A2125" w:rsidRPr="0015033B">
        <w:rPr>
          <w:rFonts w:ascii="Verdana" w:hAnsi="Verdana" w:cs="Arial"/>
          <w:color w:val="000000" w:themeColor="text1"/>
          <w:sz w:val="24"/>
          <w:szCs w:val="24"/>
        </w:rPr>
        <w:t xml:space="preserve"> a los </w:t>
      </w:r>
      <w:proofErr w:type="gramStart"/>
      <w:r w:rsidR="004A2125" w:rsidRPr="0015033B">
        <w:rPr>
          <w:rFonts w:ascii="Verdana" w:hAnsi="Verdana" w:cs="Arial"/>
          <w:color w:val="000000" w:themeColor="text1"/>
          <w:sz w:val="24"/>
          <w:szCs w:val="24"/>
        </w:rPr>
        <w:t>Ministros</w:t>
      </w:r>
      <w:proofErr w:type="gramEnd"/>
      <w:r w:rsidR="004A2125" w:rsidRPr="0015033B">
        <w:rPr>
          <w:rFonts w:ascii="Verdana" w:hAnsi="Verdana" w:cs="Arial"/>
          <w:color w:val="000000" w:themeColor="text1"/>
          <w:sz w:val="24"/>
          <w:szCs w:val="24"/>
        </w:rPr>
        <w:t xml:space="preserve"> de Minas y Energía y de Ambiente</w:t>
      </w:r>
      <w:r w:rsidR="00E67900" w:rsidRPr="0015033B">
        <w:rPr>
          <w:rFonts w:ascii="Verdana" w:hAnsi="Verdana" w:cs="Arial"/>
          <w:color w:val="000000" w:themeColor="text1"/>
          <w:sz w:val="24"/>
          <w:szCs w:val="24"/>
        </w:rPr>
        <w:t xml:space="preserve"> y Desarrollo Sostenible</w:t>
      </w:r>
      <w:r w:rsidR="004A2125" w:rsidRPr="0015033B">
        <w:rPr>
          <w:rFonts w:ascii="Verdana" w:hAnsi="Verdana" w:cs="Arial"/>
          <w:color w:val="000000" w:themeColor="text1"/>
          <w:sz w:val="24"/>
          <w:szCs w:val="24"/>
        </w:rPr>
        <w:t xml:space="preserve"> con los resultados presentados</w:t>
      </w:r>
      <w:r w:rsidR="000D285A" w:rsidRPr="0015033B">
        <w:rPr>
          <w:rFonts w:ascii="Verdana" w:hAnsi="Verdana" w:cs="Arial"/>
          <w:color w:val="000000" w:themeColor="text1"/>
          <w:sz w:val="24"/>
          <w:szCs w:val="24"/>
        </w:rPr>
        <w:t>,</w:t>
      </w:r>
      <w:r w:rsidR="004A2125" w:rsidRPr="0015033B">
        <w:rPr>
          <w:rFonts w:ascii="Verdana" w:hAnsi="Verdana" w:cs="Arial"/>
          <w:color w:val="000000" w:themeColor="text1"/>
          <w:sz w:val="24"/>
          <w:szCs w:val="24"/>
        </w:rPr>
        <w:t xml:space="preserve"> incluyendo </w:t>
      </w:r>
      <w:r w:rsidR="000D285A" w:rsidRPr="0015033B">
        <w:rPr>
          <w:rFonts w:ascii="Verdana" w:hAnsi="Verdana" w:cs="Arial"/>
          <w:color w:val="000000" w:themeColor="text1"/>
          <w:sz w:val="24"/>
          <w:szCs w:val="24"/>
        </w:rPr>
        <w:t>el impacto en la ENFICC</w:t>
      </w:r>
      <w:r w:rsidR="004A2125" w:rsidRPr="0015033B">
        <w:rPr>
          <w:rFonts w:ascii="Verdana" w:hAnsi="Verdana" w:cs="Arial"/>
          <w:color w:val="000000" w:themeColor="text1"/>
          <w:sz w:val="24"/>
          <w:szCs w:val="24"/>
        </w:rPr>
        <w:t>.</w:t>
      </w:r>
      <w:r w:rsidR="000D285A" w:rsidRPr="0015033B">
        <w:rPr>
          <w:rFonts w:ascii="Verdana" w:hAnsi="Verdana" w:cs="Arial"/>
          <w:color w:val="000000" w:themeColor="text1"/>
          <w:sz w:val="24"/>
          <w:szCs w:val="24"/>
        </w:rPr>
        <w:t xml:space="preserve"> </w:t>
      </w:r>
      <w:r w:rsidR="00713A21" w:rsidRPr="0015033B">
        <w:rPr>
          <w:rFonts w:ascii="Verdana" w:hAnsi="Verdana" w:cs="Arial"/>
          <w:color w:val="000000" w:themeColor="text1"/>
          <w:sz w:val="24"/>
          <w:szCs w:val="24"/>
        </w:rPr>
        <w:t xml:space="preserve">Respecto a este último punto, se observa una disminución del 43 % para el escenario de aplicación de la guía a proyectos con renovación de concesiones durante los próximos 15 años, y del 93 % si la misma cobija a todas las plantas hidroeléctricas, lo anterior respecto a la vigencia 2017-2018. Es importante mencionar que la ENFICC hidroeléctrica para dicho periodo es de 93.7 GWh-día, y la demanda actual para un día de operación ordinario es cercana a los 190 GWh-día. </w:t>
      </w:r>
      <w:r w:rsidR="00713A21" w:rsidRPr="0015033B">
        <w:rPr>
          <w:rFonts w:ascii="Verdana" w:hAnsi="Verdana" w:cs="Arial"/>
          <w:color w:val="000000" w:themeColor="text1"/>
          <w:sz w:val="24"/>
          <w:szCs w:val="24"/>
        </w:rPr>
        <w:lastRenderedPageBreak/>
        <w:t xml:space="preserve">En conclusión, se pasaría a un valor de ENFICC de 53.4 GWh-día y 6.5 GWh-día para los escenarios referenciados. </w:t>
      </w:r>
      <w:r w:rsidR="008D5A46" w:rsidRPr="0015033B">
        <w:rPr>
          <w:rFonts w:ascii="Verdana" w:hAnsi="Verdana" w:cs="Arial"/>
          <w:color w:val="000000" w:themeColor="text1"/>
          <w:sz w:val="24"/>
          <w:szCs w:val="24"/>
        </w:rPr>
        <w:t xml:space="preserve"> </w:t>
      </w:r>
      <w:r w:rsidR="000D285A" w:rsidRPr="0015033B">
        <w:rPr>
          <w:rFonts w:ascii="Verdana" w:hAnsi="Verdana" w:cs="Arial"/>
          <w:color w:val="000000" w:themeColor="text1"/>
          <w:sz w:val="24"/>
          <w:szCs w:val="24"/>
        </w:rPr>
        <w:t xml:space="preserve"> </w:t>
      </w:r>
    </w:p>
    <w:p w14:paraId="2D6FFE9F" w14:textId="77777777" w:rsidR="002F3EBE" w:rsidRPr="0015033B" w:rsidRDefault="002F3EBE" w:rsidP="00C94904">
      <w:pPr>
        <w:pStyle w:val="Prrafodelista"/>
        <w:ind w:left="720"/>
        <w:contextualSpacing/>
        <w:jc w:val="both"/>
        <w:rPr>
          <w:rFonts w:ascii="Verdana" w:hAnsi="Verdana" w:cs="Arial"/>
          <w:color w:val="000000" w:themeColor="text1"/>
          <w:sz w:val="24"/>
          <w:szCs w:val="24"/>
        </w:rPr>
      </w:pPr>
    </w:p>
    <w:p w14:paraId="6895B023" w14:textId="15560DFE" w:rsidR="002F3EBE" w:rsidRPr="0015033B" w:rsidRDefault="002F3EBE" w:rsidP="00C94904">
      <w:pPr>
        <w:pStyle w:val="Prrafodelista"/>
        <w:ind w:left="720"/>
        <w:contextualSpacing/>
        <w:jc w:val="both"/>
        <w:rPr>
          <w:rFonts w:ascii="Verdana" w:hAnsi="Verdana" w:cs="Arial"/>
          <w:color w:val="000000" w:themeColor="text1"/>
          <w:sz w:val="24"/>
          <w:szCs w:val="24"/>
        </w:rPr>
      </w:pPr>
      <w:r w:rsidRPr="0015033B">
        <w:rPr>
          <w:rFonts w:ascii="Verdana" w:hAnsi="Verdana" w:cs="PTSans-Regular"/>
          <w:color w:val="000000" w:themeColor="text1"/>
          <w:sz w:val="24"/>
          <w:szCs w:val="24"/>
          <w:lang w:eastAsia="en-CA"/>
        </w:rPr>
        <w:t xml:space="preserve">A partir de estos resultados, </w:t>
      </w:r>
      <w:r w:rsidRPr="0015033B">
        <w:rPr>
          <w:rFonts w:ascii="Verdana" w:hAnsi="Verdana" w:cs="PTSans-Regular"/>
          <w:color w:val="000000" w:themeColor="text1"/>
          <w:sz w:val="24"/>
          <w:szCs w:val="24"/>
          <w:lang w:val="es-ES" w:eastAsia="en-CA"/>
        </w:rPr>
        <w:t xml:space="preserve">es preocupante como esta iniciativa puede comprometer la expansión del SIN y la confiabilidad del mismo. Si bien el Decreto 570 de 2018 del MME plantea unos objetivos de diversificación de la matriz eléctrica, en el que se reconocen los atributos de sostenibilidad (COP21), complementariedad y resiliencia, </w:t>
      </w:r>
      <w:r w:rsidR="00866C2B" w:rsidRPr="0015033B">
        <w:rPr>
          <w:rFonts w:ascii="Verdana" w:hAnsi="Verdana" w:cs="PTSans-Regular"/>
          <w:color w:val="000000" w:themeColor="text1"/>
          <w:sz w:val="24"/>
          <w:szCs w:val="24"/>
          <w:lang w:val="es-ES" w:eastAsia="en-CA"/>
        </w:rPr>
        <w:t xml:space="preserve">y se incentiva la participación de las tecnologías FNCER con la definición de un esquema de contratación de largo plazo, </w:t>
      </w:r>
      <w:r w:rsidRPr="0015033B">
        <w:rPr>
          <w:rFonts w:ascii="Verdana" w:hAnsi="Verdana" w:cs="PTSans-Regular"/>
          <w:color w:val="000000" w:themeColor="text1"/>
          <w:sz w:val="24"/>
          <w:szCs w:val="24"/>
          <w:lang w:val="es-ES" w:eastAsia="en-CA"/>
        </w:rPr>
        <w:t>se vislumbran escenarios restrictivos para la operación futura del SIN con la aplicación de la guía</w:t>
      </w:r>
      <w:r w:rsidR="00866C2B" w:rsidRPr="0015033B">
        <w:rPr>
          <w:rFonts w:ascii="Verdana" w:hAnsi="Verdana" w:cs="PTSans-Regular"/>
          <w:color w:val="000000" w:themeColor="text1"/>
          <w:sz w:val="24"/>
          <w:szCs w:val="24"/>
          <w:lang w:val="es-ES" w:eastAsia="en-CA"/>
        </w:rPr>
        <w:t xml:space="preserve"> de caudal ambiental;</w:t>
      </w:r>
      <w:r w:rsidRPr="0015033B">
        <w:rPr>
          <w:rFonts w:ascii="Verdana" w:hAnsi="Verdana" w:cs="PTSans-Regular"/>
          <w:color w:val="000000" w:themeColor="text1"/>
          <w:sz w:val="24"/>
          <w:szCs w:val="24"/>
          <w:lang w:val="es-ES" w:eastAsia="en-CA"/>
        </w:rPr>
        <w:t xml:space="preserve"> </w:t>
      </w:r>
      <w:r w:rsidR="00866C2B" w:rsidRPr="0015033B">
        <w:rPr>
          <w:rFonts w:ascii="Verdana" w:hAnsi="Verdana" w:cs="PTSans-Regular"/>
          <w:color w:val="000000" w:themeColor="text1"/>
          <w:sz w:val="24"/>
          <w:szCs w:val="24"/>
          <w:lang w:val="es-ES" w:eastAsia="en-CA"/>
        </w:rPr>
        <w:t>s</w:t>
      </w:r>
      <w:r w:rsidRPr="0015033B">
        <w:rPr>
          <w:rFonts w:ascii="Verdana" w:hAnsi="Verdana" w:cs="PTSans-Regular"/>
          <w:color w:val="000000" w:themeColor="text1"/>
          <w:sz w:val="24"/>
          <w:szCs w:val="24"/>
          <w:lang w:val="es-ES" w:eastAsia="en-CA"/>
        </w:rPr>
        <w:t xml:space="preserve">e limitaría la expansión del parque hidroeléctrico y la capacidad actual de regulación de los embalses, elemento fundamental para la flexibilidad e integración al sistema de las FNCER. </w:t>
      </w:r>
      <w:r w:rsidR="00866C2B" w:rsidRPr="0015033B">
        <w:rPr>
          <w:rFonts w:ascii="Verdana" w:hAnsi="Verdana" w:cs="PTSans-Regular"/>
          <w:color w:val="000000" w:themeColor="text1"/>
          <w:sz w:val="24"/>
          <w:szCs w:val="24"/>
          <w:lang w:val="es-ES" w:eastAsia="en-CA"/>
        </w:rPr>
        <w:t xml:space="preserve">Adicionalmente y ante la </w:t>
      </w:r>
      <w:r w:rsidR="00351531" w:rsidRPr="0015033B">
        <w:rPr>
          <w:rFonts w:ascii="Verdana" w:hAnsi="Verdana" w:cs="PTSans-Regular"/>
          <w:color w:val="000000" w:themeColor="text1"/>
          <w:sz w:val="24"/>
          <w:szCs w:val="24"/>
          <w:lang w:val="es-ES" w:eastAsia="en-CA"/>
        </w:rPr>
        <w:t>pérdida</w:t>
      </w:r>
      <w:r w:rsidR="00866C2B" w:rsidRPr="0015033B">
        <w:rPr>
          <w:rFonts w:ascii="Verdana" w:hAnsi="Verdana" w:cs="PTSans-Regular"/>
          <w:color w:val="000000" w:themeColor="text1"/>
          <w:sz w:val="24"/>
          <w:szCs w:val="24"/>
          <w:lang w:val="es-ES" w:eastAsia="en-CA"/>
        </w:rPr>
        <w:t xml:space="preserve"> de</w:t>
      </w:r>
      <w:r w:rsidRPr="0015033B">
        <w:rPr>
          <w:rFonts w:ascii="Verdana" w:hAnsi="Verdana" w:cs="PTSans-Regular"/>
          <w:color w:val="000000" w:themeColor="text1"/>
          <w:sz w:val="24"/>
          <w:szCs w:val="24"/>
          <w:lang w:val="es-ES" w:eastAsia="en-CA"/>
        </w:rPr>
        <w:t xml:space="preserve"> la firmeza del recurso hidroeléctrico y </w:t>
      </w:r>
      <w:r w:rsidR="00866C2B" w:rsidRPr="0015033B">
        <w:rPr>
          <w:rFonts w:ascii="Verdana" w:hAnsi="Verdana" w:cs="PTSans-Regular"/>
          <w:color w:val="000000" w:themeColor="text1"/>
          <w:sz w:val="24"/>
          <w:szCs w:val="24"/>
          <w:lang w:val="es-ES" w:eastAsia="en-CA"/>
        </w:rPr>
        <w:t xml:space="preserve">que </w:t>
      </w:r>
      <w:r w:rsidRPr="0015033B">
        <w:rPr>
          <w:rFonts w:ascii="Verdana" w:hAnsi="Verdana" w:cs="PTSans-Regular"/>
          <w:color w:val="000000" w:themeColor="text1"/>
          <w:sz w:val="24"/>
          <w:szCs w:val="24"/>
          <w:lang w:val="es-ES" w:eastAsia="en-CA"/>
        </w:rPr>
        <w:t xml:space="preserve">las FNCER no tienen un aporte significativo en la Energía Firme, la única alternativa de expansión en el mediano y largo plazo para garantizar la suficiencia del sistema sería el carbón o el gas, ya sea nacional o importado, (asumiendo que las plantas térmicas </w:t>
      </w:r>
      <w:r w:rsidR="00866C2B" w:rsidRPr="0015033B">
        <w:rPr>
          <w:rFonts w:ascii="Verdana" w:hAnsi="Verdana" w:cs="PTSans-Regular"/>
          <w:color w:val="000000" w:themeColor="text1"/>
          <w:sz w:val="24"/>
          <w:szCs w:val="24"/>
          <w:lang w:val="es-ES" w:eastAsia="en-CA"/>
        </w:rPr>
        <w:t>cuenten con la</w:t>
      </w:r>
      <w:r w:rsidRPr="0015033B">
        <w:rPr>
          <w:rFonts w:ascii="Verdana" w:hAnsi="Verdana" w:cs="PTSans-Regular"/>
          <w:color w:val="000000" w:themeColor="text1"/>
          <w:sz w:val="24"/>
          <w:szCs w:val="24"/>
          <w:lang w:val="es-ES" w:eastAsia="en-CA"/>
        </w:rPr>
        <w:t xml:space="preserve"> disponibilidad de agua para refrigeración, efecto que aún no se ha estudiado), lo cual puede aportar otros aspectos al posible incumplimiento de las metas del COP 21</w:t>
      </w:r>
      <w:r w:rsidR="00866C2B" w:rsidRPr="0015033B">
        <w:rPr>
          <w:rFonts w:ascii="Verdana" w:hAnsi="Verdana" w:cs="PTSans-Regular"/>
          <w:color w:val="000000" w:themeColor="text1"/>
          <w:sz w:val="24"/>
          <w:szCs w:val="24"/>
          <w:lang w:val="es-ES" w:eastAsia="en-CA"/>
        </w:rPr>
        <w:t>, como el aumento de las emisiones de gases de efecto invernadero y material particulado</w:t>
      </w:r>
      <w:r w:rsidRPr="0015033B">
        <w:rPr>
          <w:rFonts w:ascii="Verdana" w:hAnsi="Verdana" w:cs="PTSans-Regular"/>
          <w:color w:val="000000" w:themeColor="text1"/>
          <w:sz w:val="24"/>
          <w:szCs w:val="24"/>
          <w:lang w:val="es-ES" w:eastAsia="en-CA"/>
        </w:rPr>
        <w:t xml:space="preserve">.  </w:t>
      </w:r>
    </w:p>
    <w:p w14:paraId="78759AE7" w14:textId="77777777" w:rsidR="008E49E7" w:rsidRPr="0015033B" w:rsidRDefault="008E49E7" w:rsidP="00C94904">
      <w:pPr>
        <w:contextualSpacing/>
        <w:jc w:val="both"/>
        <w:rPr>
          <w:rFonts w:ascii="Verdana" w:hAnsi="Verdana" w:cs="Arial"/>
          <w:color w:val="000000" w:themeColor="text1"/>
        </w:rPr>
      </w:pPr>
    </w:p>
    <w:p w14:paraId="2DB2086C" w14:textId="331D5B60" w:rsidR="00144785" w:rsidRPr="0015033B" w:rsidRDefault="008D5A46" w:rsidP="00C94904">
      <w:pPr>
        <w:pStyle w:val="Prrafodelista"/>
        <w:numPr>
          <w:ilvl w:val="0"/>
          <w:numId w:val="8"/>
        </w:numPr>
        <w:jc w:val="both"/>
        <w:rPr>
          <w:rFonts w:ascii="Verdana" w:hAnsi="Verdana" w:cs="PTSans-Regular"/>
          <w:color w:val="000000" w:themeColor="text1"/>
          <w:sz w:val="24"/>
          <w:szCs w:val="24"/>
          <w:lang w:val="es-ES" w:eastAsia="en-CA"/>
        </w:rPr>
      </w:pPr>
      <w:r w:rsidRPr="0015033B">
        <w:rPr>
          <w:rFonts w:ascii="Verdana" w:hAnsi="Verdana" w:cs="PTSans-Regular"/>
          <w:color w:val="000000" w:themeColor="text1"/>
          <w:sz w:val="24"/>
          <w:szCs w:val="24"/>
          <w:lang w:val="es-ES" w:eastAsia="en-CA"/>
        </w:rPr>
        <w:t xml:space="preserve">La CREG publicó la </w:t>
      </w:r>
      <w:r w:rsidR="00FC28DD" w:rsidRPr="0015033B">
        <w:rPr>
          <w:rFonts w:ascii="Verdana" w:hAnsi="Verdana" w:cs="PTSans-Regular"/>
          <w:color w:val="000000" w:themeColor="text1"/>
          <w:sz w:val="24"/>
          <w:szCs w:val="24"/>
          <w:lang w:val="es-ES" w:eastAsia="en-CA"/>
        </w:rPr>
        <w:t>C</w:t>
      </w:r>
      <w:r w:rsidRPr="0015033B">
        <w:rPr>
          <w:rFonts w:ascii="Verdana" w:hAnsi="Verdana" w:cs="PTSans-Regular"/>
          <w:color w:val="000000" w:themeColor="text1"/>
          <w:sz w:val="24"/>
          <w:szCs w:val="24"/>
          <w:lang w:val="es-ES" w:eastAsia="en-CA"/>
        </w:rPr>
        <w:t xml:space="preserve">ircular número 30 de 2018, </w:t>
      </w:r>
      <w:r w:rsidR="00866C2B" w:rsidRPr="0015033B">
        <w:rPr>
          <w:rFonts w:ascii="Verdana" w:hAnsi="Verdana" w:cs="PTSans-Regular"/>
          <w:color w:val="000000" w:themeColor="text1"/>
          <w:sz w:val="24"/>
          <w:szCs w:val="24"/>
          <w:lang w:val="es-ES" w:eastAsia="en-CA"/>
        </w:rPr>
        <w:t xml:space="preserve">que </w:t>
      </w:r>
      <w:r w:rsidRPr="0015033B">
        <w:rPr>
          <w:rFonts w:ascii="Verdana" w:hAnsi="Verdana" w:cs="PTSans-Regular"/>
          <w:color w:val="000000" w:themeColor="text1"/>
          <w:sz w:val="24"/>
          <w:szCs w:val="24"/>
          <w:lang w:val="es-ES" w:eastAsia="en-CA"/>
        </w:rPr>
        <w:t xml:space="preserve">pone a disposición de los interesados los Términos de Referencia-TDR para la contratación de </w:t>
      </w:r>
      <w:r w:rsidR="00F274B0" w:rsidRPr="0015033B">
        <w:rPr>
          <w:rFonts w:ascii="Verdana" w:hAnsi="Verdana" w:cs="PTSans-Regular"/>
          <w:color w:val="000000" w:themeColor="text1"/>
          <w:sz w:val="24"/>
          <w:szCs w:val="24"/>
          <w:lang w:val="es-ES" w:eastAsia="en-CA"/>
        </w:rPr>
        <w:t>la</w:t>
      </w:r>
      <w:r w:rsidRPr="0015033B">
        <w:rPr>
          <w:rFonts w:ascii="Verdana" w:hAnsi="Verdana" w:cs="PTSans-Regular"/>
          <w:color w:val="000000" w:themeColor="text1"/>
          <w:sz w:val="24"/>
          <w:szCs w:val="24"/>
          <w:lang w:val="es-ES" w:eastAsia="en-CA"/>
        </w:rPr>
        <w:t xml:space="preserve"> consultoría </w:t>
      </w:r>
      <w:r w:rsidR="00F274B0" w:rsidRPr="0015033B">
        <w:rPr>
          <w:rFonts w:ascii="Verdana" w:hAnsi="Verdana" w:cs="PTSans-Regular"/>
          <w:color w:val="000000" w:themeColor="text1"/>
          <w:sz w:val="24"/>
          <w:szCs w:val="24"/>
          <w:lang w:val="es-ES" w:eastAsia="en-CA"/>
        </w:rPr>
        <w:t>“A</w:t>
      </w:r>
      <w:r w:rsidRPr="0015033B">
        <w:rPr>
          <w:rFonts w:ascii="Verdana" w:hAnsi="Verdana" w:cs="PTSans-Regular"/>
          <w:color w:val="000000" w:themeColor="text1"/>
          <w:sz w:val="24"/>
          <w:szCs w:val="24"/>
          <w:lang w:val="es-ES" w:eastAsia="en-CA"/>
        </w:rPr>
        <w:t>nálisis, revisión y actualización del Código de Redes</w:t>
      </w:r>
      <w:r w:rsidR="00F274B0" w:rsidRPr="0015033B">
        <w:rPr>
          <w:rFonts w:ascii="Verdana" w:hAnsi="Verdana" w:cs="PTSans-Regular"/>
          <w:color w:val="000000" w:themeColor="text1"/>
          <w:sz w:val="24"/>
          <w:szCs w:val="24"/>
          <w:lang w:val="es-ES" w:eastAsia="en-CA"/>
        </w:rPr>
        <w:t>”</w:t>
      </w:r>
      <w:r w:rsidRPr="0015033B">
        <w:rPr>
          <w:rFonts w:ascii="Verdana" w:hAnsi="Verdana" w:cs="PTSans-Regular"/>
          <w:color w:val="000000" w:themeColor="text1"/>
          <w:sz w:val="24"/>
          <w:szCs w:val="24"/>
          <w:lang w:val="es-ES" w:eastAsia="en-CA"/>
        </w:rPr>
        <w:t>.</w:t>
      </w:r>
      <w:r w:rsidR="00F274B0" w:rsidRPr="0015033B">
        <w:rPr>
          <w:rFonts w:ascii="Verdana" w:hAnsi="Verdana" w:cs="PTSans-Regular"/>
          <w:color w:val="000000" w:themeColor="text1"/>
          <w:sz w:val="24"/>
          <w:szCs w:val="24"/>
          <w:lang w:val="es-ES" w:eastAsia="en-CA"/>
        </w:rPr>
        <w:t xml:space="preserve"> El contratista seleccionado debe llevar a cabo un desarrollo detallado de los temas </w:t>
      </w:r>
      <w:r w:rsidR="0008441F" w:rsidRPr="0015033B">
        <w:rPr>
          <w:rFonts w:ascii="Verdana" w:hAnsi="Verdana" w:cs="PTSans-Regular"/>
          <w:color w:val="000000" w:themeColor="text1"/>
          <w:sz w:val="24"/>
          <w:szCs w:val="24"/>
          <w:lang w:val="es-ES" w:eastAsia="en-CA"/>
        </w:rPr>
        <w:t>a</w:t>
      </w:r>
      <w:r w:rsidR="00F274B0" w:rsidRPr="0015033B">
        <w:rPr>
          <w:rFonts w:ascii="Verdana" w:hAnsi="Verdana" w:cs="PTSans-Regular"/>
          <w:color w:val="000000" w:themeColor="text1"/>
          <w:sz w:val="24"/>
          <w:szCs w:val="24"/>
          <w:lang w:val="es-ES" w:eastAsia="en-CA"/>
        </w:rPr>
        <w:t xml:space="preserve"> ser considerados por la CREG en la actualización de dicho Código, en aspectos relacionados con la planeación, conexión y operación</w:t>
      </w:r>
      <w:r w:rsidR="009C710C" w:rsidRPr="0015033B">
        <w:rPr>
          <w:rFonts w:ascii="Verdana" w:hAnsi="Verdana" w:cs="PTSans-Regular"/>
          <w:color w:val="000000" w:themeColor="text1"/>
          <w:sz w:val="24"/>
          <w:szCs w:val="24"/>
          <w:lang w:val="es-ES" w:eastAsia="en-CA"/>
        </w:rPr>
        <w:t xml:space="preserve"> de las redes del STN</w:t>
      </w:r>
      <w:r w:rsidR="0008441F" w:rsidRPr="0015033B">
        <w:rPr>
          <w:rFonts w:ascii="Verdana" w:hAnsi="Verdana" w:cs="PTSans-Regular"/>
          <w:color w:val="000000" w:themeColor="text1"/>
          <w:sz w:val="24"/>
          <w:szCs w:val="24"/>
          <w:lang w:val="es-ES" w:eastAsia="en-CA"/>
        </w:rPr>
        <w:t xml:space="preserve"> y </w:t>
      </w:r>
      <w:r w:rsidR="009C710C" w:rsidRPr="0015033B">
        <w:rPr>
          <w:rFonts w:ascii="Verdana" w:hAnsi="Verdana" w:cs="PTSans-Regular"/>
          <w:color w:val="000000" w:themeColor="text1"/>
          <w:sz w:val="24"/>
          <w:szCs w:val="24"/>
          <w:lang w:val="es-ES" w:eastAsia="en-CA"/>
        </w:rPr>
        <w:t>STR</w:t>
      </w:r>
      <w:r w:rsidR="0008441F" w:rsidRPr="0015033B">
        <w:rPr>
          <w:rFonts w:ascii="Verdana" w:hAnsi="Verdana" w:cs="PTSans-Regular"/>
          <w:color w:val="000000" w:themeColor="text1"/>
          <w:sz w:val="24"/>
          <w:szCs w:val="24"/>
          <w:lang w:val="es-ES" w:eastAsia="en-CA"/>
        </w:rPr>
        <w:t>,</w:t>
      </w:r>
      <w:r w:rsidR="009C710C" w:rsidRPr="0015033B">
        <w:rPr>
          <w:rFonts w:ascii="Verdana" w:hAnsi="Verdana" w:cs="PTSans-Regular"/>
          <w:color w:val="000000" w:themeColor="text1"/>
          <w:sz w:val="24"/>
          <w:szCs w:val="24"/>
          <w:lang w:val="es-ES" w:eastAsia="en-CA"/>
        </w:rPr>
        <w:t xml:space="preserve"> los nuevos desarrollos en transmisión de energía (HVDC), la incorporación de nuevas fuentes de generación, los sistemas de almacenamiento y la </w:t>
      </w:r>
      <w:r w:rsidR="0008441F" w:rsidRPr="0015033B">
        <w:rPr>
          <w:rFonts w:ascii="Verdana" w:hAnsi="Verdana" w:cs="PTSans-Regular"/>
          <w:color w:val="000000" w:themeColor="text1"/>
          <w:sz w:val="24"/>
          <w:szCs w:val="24"/>
          <w:lang w:val="es-ES" w:eastAsia="en-CA"/>
        </w:rPr>
        <w:t>participación de la demanda</w:t>
      </w:r>
      <w:r w:rsidR="009C710C" w:rsidRPr="0015033B">
        <w:rPr>
          <w:rFonts w:ascii="Verdana" w:hAnsi="Verdana" w:cs="PTSans-Regular"/>
          <w:color w:val="000000" w:themeColor="text1"/>
          <w:sz w:val="24"/>
          <w:szCs w:val="24"/>
          <w:lang w:val="es-ES" w:eastAsia="en-CA"/>
        </w:rPr>
        <w:t>.</w:t>
      </w:r>
      <w:r w:rsidR="00713A21" w:rsidRPr="0015033B">
        <w:rPr>
          <w:rFonts w:ascii="Verdana" w:hAnsi="Verdana" w:cs="PTSans-Regular"/>
          <w:color w:val="000000" w:themeColor="text1"/>
          <w:sz w:val="24"/>
          <w:szCs w:val="24"/>
          <w:lang w:val="es-ES" w:eastAsia="en-CA"/>
        </w:rPr>
        <w:t xml:space="preserve"> La consultoría tiene un plazo de ejecución de 20 semanas.</w:t>
      </w:r>
    </w:p>
    <w:p w14:paraId="3BEF7CBA" w14:textId="77777777" w:rsidR="00144EAF" w:rsidRPr="0015033B" w:rsidRDefault="00144EAF" w:rsidP="00C94904">
      <w:pPr>
        <w:pStyle w:val="Prrafodelista"/>
        <w:jc w:val="both"/>
        <w:rPr>
          <w:rFonts w:ascii="Verdana" w:hAnsi="Verdana" w:cs="PTSans-Regular"/>
          <w:color w:val="000000" w:themeColor="text1"/>
          <w:sz w:val="24"/>
          <w:szCs w:val="24"/>
          <w:lang w:val="es-ES" w:eastAsia="en-CA"/>
        </w:rPr>
      </w:pPr>
    </w:p>
    <w:p w14:paraId="099F3636" w14:textId="10DEDC5A" w:rsidR="00144EAF" w:rsidRPr="0015033B" w:rsidRDefault="00FC28DD" w:rsidP="00C94904">
      <w:pPr>
        <w:pStyle w:val="Prrafodelista"/>
        <w:ind w:left="720"/>
        <w:jc w:val="both"/>
        <w:rPr>
          <w:rFonts w:ascii="Verdana" w:hAnsi="Verdana" w:cs="PTSans-Regular"/>
          <w:color w:val="000000" w:themeColor="text1"/>
          <w:sz w:val="24"/>
          <w:szCs w:val="24"/>
          <w:lang w:val="es-ES" w:eastAsia="en-CA"/>
        </w:rPr>
      </w:pPr>
      <w:r w:rsidRPr="0015033B">
        <w:rPr>
          <w:rFonts w:ascii="Verdana" w:hAnsi="Verdana" w:cs="PTSans-Regular"/>
          <w:color w:val="000000" w:themeColor="text1"/>
          <w:sz w:val="24"/>
          <w:szCs w:val="24"/>
          <w:lang w:val="es-ES" w:eastAsia="en-CA"/>
        </w:rPr>
        <w:t>L</w:t>
      </w:r>
      <w:r w:rsidR="00144EAF" w:rsidRPr="0015033B">
        <w:rPr>
          <w:rFonts w:ascii="Verdana" w:hAnsi="Verdana" w:cs="PTSans-Regular"/>
          <w:color w:val="000000" w:themeColor="text1"/>
          <w:sz w:val="24"/>
          <w:szCs w:val="24"/>
          <w:lang w:val="es-ES" w:eastAsia="en-CA"/>
        </w:rPr>
        <w:t xml:space="preserve">os Comités y Subcomités </w:t>
      </w:r>
      <w:r w:rsidRPr="0015033B">
        <w:rPr>
          <w:rFonts w:ascii="Verdana" w:hAnsi="Verdana" w:cs="PTSans-Regular"/>
          <w:color w:val="000000" w:themeColor="text1"/>
          <w:sz w:val="24"/>
          <w:szCs w:val="24"/>
          <w:lang w:val="es-ES" w:eastAsia="en-CA"/>
        </w:rPr>
        <w:t>revisaron</w:t>
      </w:r>
      <w:r w:rsidR="00144EAF" w:rsidRPr="0015033B">
        <w:rPr>
          <w:rFonts w:ascii="Verdana" w:hAnsi="Verdana" w:cs="PTSans-Regular"/>
          <w:color w:val="000000" w:themeColor="text1"/>
          <w:sz w:val="24"/>
          <w:szCs w:val="24"/>
          <w:lang w:val="es-ES" w:eastAsia="en-CA"/>
        </w:rPr>
        <w:t xml:space="preserve"> el Plan Operativo 2018, priorizando los temas en sintonía con las circulares CREG 21, 22 y 30. A partir de ello se elaborarán los productos (documentos) del Consejo, de tal manera que el grupo técnico recientemente creado en el CNO interactúe con la CREG y sus consultores.</w:t>
      </w:r>
    </w:p>
    <w:p w14:paraId="4DA7742D" w14:textId="15CF6CD0" w:rsidR="00A54490" w:rsidRPr="0015033B" w:rsidRDefault="00A54490" w:rsidP="00C94904">
      <w:pPr>
        <w:pStyle w:val="Prrafodelista"/>
        <w:ind w:left="720"/>
        <w:jc w:val="both"/>
        <w:rPr>
          <w:rFonts w:ascii="Verdana" w:hAnsi="Verdana" w:cs="PTSans-Regular"/>
          <w:color w:val="000000" w:themeColor="text1"/>
          <w:sz w:val="24"/>
          <w:szCs w:val="24"/>
          <w:lang w:val="es-ES" w:eastAsia="en-CA"/>
        </w:rPr>
      </w:pPr>
    </w:p>
    <w:p w14:paraId="114FB252" w14:textId="3C882AAF" w:rsidR="00080007" w:rsidRPr="0015033B" w:rsidRDefault="00866C2B" w:rsidP="00C94904">
      <w:pPr>
        <w:pStyle w:val="Prrafodelista"/>
        <w:numPr>
          <w:ilvl w:val="0"/>
          <w:numId w:val="8"/>
        </w:numPr>
        <w:jc w:val="both"/>
        <w:rPr>
          <w:rFonts w:ascii="Verdana" w:hAnsi="Verdana" w:cs="PTSans-Regular"/>
          <w:color w:val="000000" w:themeColor="text1"/>
          <w:sz w:val="24"/>
          <w:szCs w:val="24"/>
          <w:lang w:val="es-ES" w:eastAsia="en-CA"/>
        </w:rPr>
      </w:pPr>
      <w:r w:rsidRPr="0015033B">
        <w:rPr>
          <w:rFonts w:ascii="Verdana" w:hAnsi="Verdana" w:cs="PTSans-Regular"/>
          <w:color w:val="000000" w:themeColor="text1"/>
          <w:sz w:val="24"/>
          <w:szCs w:val="24"/>
          <w:lang w:val="es-ES" w:eastAsia="en-CA"/>
        </w:rPr>
        <w:t xml:space="preserve">Con base en el </w:t>
      </w:r>
      <w:r w:rsidR="00713A21" w:rsidRPr="0015033B">
        <w:rPr>
          <w:rFonts w:ascii="Verdana" w:hAnsi="Verdana" w:cs="PTSans-Regular"/>
          <w:color w:val="000000" w:themeColor="text1"/>
          <w:sz w:val="24"/>
          <w:szCs w:val="24"/>
          <w:lang w:val="es-ES" w:eastAsia="en-CA"/>
        </w:rPr>
        <w:t>Acuerdo 572</w:t>
      </w:r>
      <w:r w:rsidRPr="0015033B">
        <w:rPr>
          <w:rFonts w:ascii="Verdana" w:hAnsi="Verdana" w:cs="PTSans-Regular"/>
          <w:color w:val="000000" w:themeColor="text1"/>
          <w:sz w:val="24"/>
          <w:szCs w:val="24"/>
          <w:lang w:val="es-ES" w:eastAsia="en-CA"/>
        </w:rPr>
        <w:t xml:space="preserve"> (</w:t>
      </w:r>
      <w:r w:rsidR="00620B91" w:rsidRPr="0015033B">
        <w:rPr>
          <w:rFonts w:ascii="Verdana" w:hAnsi="Verdana" w:cs="PTSans-Regular"/>
          <w:color w:val="000000" w:themeColor="text1"/>
          <w:sz w:val="24"/>
          <w:szCs w:val="24"/>
          <w:lang w:val="es-ES" w:eastAsia="en-CA"/>
        </w:rPr>
        <w:t xml:space="preserve">aprobación de </w:t>
      </w:r>
      <w:r w:rsidR="00C36D7B" w:rsidRPr="0015033B">
        <w:rPr>
          <w:rFonts w:ascii="Verdana" w:hAnsi="Verdana" w:cs="PTSans-Regular"/>
          <w:color w:val="000000" w:themeColor="text1"/>
          <w:sz w:val="24"/>
          <w:szCs w:val="24"/>
          <w:lang w:val="es-ES" w:eastAsia="en-CA"/>
        </w:rPr>
        <w:t>generación mínima obligatoria</w:t>
      </w:r>
      <w:r w:rsidR="00620B91" w:rsidRPr="0015033B">
        <w:rPr>
          <w:rFonts w:ascii="Verdana" w:hAnsi="Verdana" w:cs="PTSans-Regular"/>
          <w:color w:val="000000" w:themeColor="text1"/>
          <w:sz w:val="24"/>
          <w:szCs w:val="24"/>
          <w:lang w:val="es-ES" w:eastAsia="en-CA"/>
        </w:rPr>
        <w:t>)</w:t>
      </w:r>
      <w:r w:rsidR="00C36D7B" w:rsidRPr="0015033B">
        <w:rPr>
          <w:rFonts w:ascii="Verdana" w:hAnsi="Verdana" w:cs="PTSans-Regular"/>
          <w:color w:val="000000" w:themeColor="text1"/>
          <w:sz w:val="24"/>
          <w:szCs w:val="24"/>
          <w:lang w:val="es-ES" w:eastAsia="en-CA"/>
        </w:rPr>
        <w:t>,</w:t>
      </w:r>
      <w:r w:rsidR="009A511D" w:rsidRPr="0015033B">
        <w:rPr>
          <w:rFonts w:ascii="Verdana" w:hAnsi="Verdana" w:cs="PTSans-Regular"/>
          <w:color w:val="000000" w:themeColor="text1"/>
          <w:sz w:val="24"/>
          <w:szCs w:val="24"/>
          <w:lang w:val="es-ES" w:eastAsia="en-CA"/>
        </w:rPr>
        <w:t xml:space="preserve"> EPM </w:t>
      </w:r>
      <w:r w:rsidR="00620B91" w:rsidRPr="0015033B">
        <w:rPr>
          <w:rFonts w:ascii="Verdana" w:hAnsi="Verdana" w:cs="PTSans-Regular"/>
          <w:color w:val="000000" w:themeColor="text1"/>
          <w:sz w:val="24"/>
          <w:szCs w:val="24"/>
          <w:lang w:val="es-ES" w:eastAsia="en-CA"/>
        </w:rPr>
        <w:t>presentó al</w:t>
      </w:r>
      <w:r w:rsidR="009A511D" w:rsidRPr="0015033B">
        <w:rPr>
          <w:rFonts w:ascii="Verdana" w:hAnsi="Verdana" w:cs="PTSans-Regular"/>
          <w:color w:val="000000" w:themeColor="text1"/>
          <w:sz w:val="24"/>
          <w:szCs w:val="24"/>
          <w:lang w:val="es-ES" w:eastAsia="en-CA"/>
        </w:rPr>
        <w:t xml:space="preserve"> </w:t>
      </w:r>
      <w:r w:rsidR="00620B91" w:rsidRPr="0015033B">
        <w:rPr>
          <w:rFonts w:ascii="Verdana" w:hAnsi="Verdana" w:cs="PTSans-Regular"/>
          <w:color w:val="000000" w:themeColor="text1"/>
          <w:sz w:val="24"/>
          <w:szCs w:val="24"/>
          <w:lang w:val="es-ES" w:eastAsia="en-CA"/>
        </w:rPr>
        <w:t>S</w:t>
      </w:r>
      <w:r w:rsidR="009A511D" w:rsidRPr="0015033B">
        <w:rPr>
          <w:rFonts w:ascii="Verdana" w:hAnsi="Verdana" w:cs="PTSans-Regular"/>
          <w:color w:val="000000" w:themeColor="text1"/>
          <w:sz w:val="24"/>
          <w:szCs w:val="24"/>
          <w:lang w:val="es-ES" w:eastAsia="en-CA"/>
        </w:rPr>
        <w:t xml:space="preserve">ubcomité de </w:t>
      </w:r>
      <w:r w:rsidR="00620B91" w:rsidRPr="0015033B">
        <w:rPr>
          <w:rFonts w:ascii="Verdana" w:hAnsi="Verdana" w:cs="PTSans-Regular"/>
          <w:color w:val="000000" w:themeColor="text1"/>
          <w:sz w:val="24"/>
          <w:szCs w:val="24"/>
          <w:lang w:val="es-ES" w:eastAsia="en-CA"/>
        </w:rPr>
        <w:t>P</w:t>
      </w:r>
      <w:r w:rsidR="009A511D" w:rsidRPr="0015033B">
        <w:rPr>
          <w:rFonts w:ascii="Verdana" w:hAnsi="Verdana" w:cs="PTSans-Regular"/>
          <w:color w:val="000000" w:themeColor="text1"/>
          <w:sz w:val="24"/>
          <w:szCs w:val="24"/>
          <w:lang w:val="es-ES" w:eastAsia="en-CA"/>
        </w:rPr>
        <w:t xml:space="preserve">lantas </w:t>
      </w:r>
      <w:r w:rsidR="00620B91" w:rsidRPr="0015033B">
        <w:rPr>
          <w:rFonts w:ascii="Verdana" w:hAnsi="Verdana" w:cs="PTSans-Regular"/>
          <w:color w:val="000000" w:themeColor="text1"/>
          <w:sz w:val="24"/>
          <w:szCs w:val="24"/>
          <w:lang w:val="es-ES" w:eastAsia="en-CA"/>
        </w:rPr>
        <w:t>de abril</w:t>
      </w:r>
      <w:r w:rsidR="009A511D" w:rsidRPr="0015033B">
        <w:rPr>
          <w:rFonts w:ascii="Verdana" w:hAnsi="Verdana" w:cs="PTSans-Regular"/>
          <w:color w:val="000000" w:themeColor="text1"/>
          <w:sz w:val="24"/>
          <w:szCs w:val="24"/>
          <w:lang w:val="es-ES" w:eastAsia="en-CA"/>
        </w:rPr>
        <w:t xml:space="preserve"> </w:t>
      </w:r>
      <w:r w:rsidR="00620B91" w:rsidRPr="0015033B">
        <w:rPr>
          <w:rFonts w:ascii="Verdana" w:hAnsi="Verdana" w:cs="PTSans-Regular"/>
          <w:color w:val="000000" w:themeColor="text1"/>
          <w:sz w:val="24"/>
          <w:szCs w:val="24"/>
          <w:lang w:val="es-ES" w:eastAsia="en-CA"/>
        </w:rPr>
        <w:t xml:space="preserve">la </w:t>
      </w:r>
      <w:r w:rsidR="009C68DC" w:rsidRPr="0015033B">
        <w:rPr>
          <w:rFonts w:ascii="Verdana" w:hAnsi="Verdana" w:cs="PTSans-Regular"/>
          <w:color w:val="000000" w:themeColor="text1"/>
          <w:sz w:val="24"/>
          <w:szCs w:val="24"/>
          <w:lang w:val="es-ES" w:eastAsia="en-CA"/>
        </w:rPr>
        <w:t xml:space="preserve">solicitud de recomendación para </w:t>
      </w:r>
      <w:r w:rsidR="00620B91" w:rsidRPr="0015033B">
        <w:rPr>
          <w:rFonts w:ascii="Verdana" w:hAnsi="Verdana" w:cs="PTSans-Regular"/>
          <w:color w:val="000000" w:themeColor="text1"/>
          <w:sz w:val="24"/>
          <w:szCs w:val="24"/>
          <w:lang w:val="es-ES" w:eastAsia="en-CA"/>
        </w:rPr>
        <w:t xml:space="preserve">aprobación del </w:t>
      </w:r>
      <w:r w:rsidR="009A511D" w:rsidRPr="0015033B">
        <w:rPr>
          <w:rFonts w:ascii="Verdana" w:hAnsi="Verdana" w:cs="PTSans-Regular"/>
          <w:color w:val="000000" w:themeColor="text1"/>
          <w:sz w:val="24"/>
          <w:szCs w:val="24"/>
          <w:lang w:val="es-ES" w:eastAsia="en-CA"/>
        </w:rPr>
        <w:t xml:space="preserve">procedimiento de cálculo del mínimo obligatorio de Ituango. </w:t>
      </w:r>
      <w:r w:rsidR="00620B91" w:rsidRPr="0015033B">
        <w:rPr>
          <w:rFonts w:ascii="Verdana" w:hAnsi="Verdana" w:cs="PTSans-Regular"/>
          <w:color w:val="000000" w:themeColor="text1"/>
          <w:sz w:val="24"/>
          <w:szCs w:val="24"/>
          <w:lang w:val="es-ES" w:eastAsia="en-CA"/>
        </w:rPr>
        <w:t>En el análisis del tema participarán también los S</w:t>
      </w:r>
      <w:r w:rsidR="00080007" w:rsidRPr="0015033B">
        <w:rPr>
          <w:rFonts w:ascii="Verdana" w:hAnsi="Verdana" w:cs="PTSans-Regular"/>
          <w:color w:val="000000" w:themeColor="text1"/>
          <w:sz w:val="24"/>
          <w:szCs w:val="24"/>
          <w:lang w:val="es-ES" w:eastAsia="en-CA"/>
        </w:rPr>
        <w:t>ubcomités de Análisis y Plane</w:t>
      </w:r>
      <w:r w:rsidR="00620B91" w:rsidRPr="0015033B">
        <w:rPr>
          <w:rFonts w:ascii="Verdana" w:hAnsi="Verdana" w:cs="PTSans-Regular"/>
          <w:color w:val="000000" w:themeColor="text1"/>
          <w:sz w:val="24"/>
          <w:szCs w:val="24"/>
          <w:lang w:val="es-ES" w:eastAsia="en-CA"/>
        </w:rPr>
        <w:t>ación</w:t>
      </w:r>
      <w:r w:rsidR="00080007" w:rsidRPr="0015033B">
        <w:rPr>
          <w:rFonts w:ascii="Verdana" w:hAnsi="Verdana" w:cs="PTSans-Regular"/>
          <w:color w:val="000000" w:themeColor="text1"/>
          <w:sz w:val="24"/>
          <w:szCs w:val="24"/>
          <w:lang w:val="es-ES" w:eastAsia="en-CA"/>
        </w:rPr>
        <w:t xml:space="preserve"> Eléctrico y Planeamiento Operativo. Una vez se tenga el concepto de cada subcomité, el Comité de Operación analizará y se pronunciará sobre esta solicitud.</w:t>
      </w:r>
      <w:r w:rsidR="009A511D" w:rsidRPr="0015033B">
        <w:rPr>
          <w:rFonts w:ascii="Verdana" w:hAnsi="Verdana" w:cs="PTSans-Regular"/>
          <w:color w:val="000000" w:themeColor="text1"/>
          <w:sz w:val="24"/>
          <w:szCs w:val="24"/>
          <w:lang w:val="es-ES" w:eastAsia="en-CA"/>
        </w:rPr>
        <w:t xml:space="preserve"> </w:t>
      </w:r>
    </w:p>
    <w:p w14:paraId="70011524" w14:textId="559F30D5" w:rsidR="002F3EBE" w:rsidRPr="0015033B" w:rsidRDefault="002F3EBE" w:rsidP="00C94904">
      <w:pPr>
        <w:pStyle w:val="Prrafodelista"/>
        <w:ind w:left="720"/>
        <w:jc w:val="both"/>
        <w:rPr>
          <w:rFonts w:ascii="Verdana" w:hAnsi="Verdana" w:cs="PTSans-Regular"/>
          <w:color w:val="000000" w:themeColor="text1"/>
          <w:sz w:val="24"/>
          <w:szCs w:val="24"/>
          <w:lang w:val="es-ES" w:eastAsia="en-CA"/>
        </w:rPr>
      </w:pPr>
    </w:p>
    <w:p w14:paraId="1FDDC96B" w14:textId="2C963DE2" w:rsidR="002F3EBE" w:rsidRPr="0015033B" w:rsidRDefault="002F3EBE" w:rsidP="00C94904">
      <w:pPr>
        <w:pStyle w:val="Prrafodelista"/>
        <w:numPr>
          <w:ilvl w:val="0"/>
          <w:numId w:val="8"/>
        </w:numPr>
        <w:jc w:val="both"/>
        <w:rPr>
          <w:rFonts w:ascii="Verdana" w:hAnsi="Verdana" w:cs="PTSans-Regular"/>
          <w:color w:val="000000" w:themeColor="text1"/>
          <w:sz w:val="24"/>
          <w:szCs w:val="24"/>
          <w:lang w:val="es-ES" w:eastAsia="en-CA"/>
        </w:rPr>
      </w:pPr>
      <w:r w:rsidRPr="0015033B">
        <w:rPr>
          <w:rFonts w:ascii="Verdana" w:hAnsi="Verdana" w:cs="PTSans-Regular"/>
          <w:color w:val="000000" w:themeColor="text1"/>
          <w:sz w:val="24"/>
          <w:szCs w:val="24"/>
          <w:lang w:eastAsia="en-CA"/>
        </w:rPr>
        <w:t>The Nature Conservancy-TNC solicitó apoyo del Consejo para la elaboración de un estudio</w:t>
      </w:r>
      <w:r w:rsidR="00141A3F" w:rsidRPr="0015033B">
        <w:rPr>
          <w:rFonts w:ascii="Verdana" w:hAnsi="Verdana" w:cs="PTSans-Regular"/>
          <w:color w:val="000000" w:themeColor="text1"/>
          <w:sz w:val="24"/>
          <w:szCs w:val="24"/>
          <w:lang w:eastAsia="en-CA"/>
        </w:rPr>
        <w:t xml:space="preserve"> conjunto con el BID, </w:t>
      </w:r>
      <w:r w:rsidR="00620B91" w:rsidRPr="0015033B">
        <w:rPr>
          <w:rFonts w:ascii="Verdana" w:hAnsi="Verdana" w:cs="PTSans-Regular"/>
          <w:color w:val="000000" w:themeColor="text1"/>
          <w:sz w:val="24"/>
          <w:szCs w:val="24"/>
          <w:lang w:eastAsia="en-CA"/>
        </w:rPr>
        <w:t>sobre e</w:t>
      </w:r>
      <w:r w:rsidRPr="0015033B">
        <w:rPr>
          <w:rFonts w:ascii="Verdana" w:hAnsi="Verdana" w:cs="PTSans-Regular"/>
          <w:color w:val="000000" w:themeColor="text1"/>
          <w:sz w:val="24"/>
          <w:szCs w:val="24"/>
          <w:lang w:val="es-ES" w:eastAsia="en-CA"/>
        </w:rPr>
        <w:t xml:space="preserve">l estado y perspectivas de mediano plazo de </w:t>
      </w:r>
      <w:r w:rsidR="00141A3F" w:rsidRPr="0015033B">
        <w:rPr>
          <w:rFonts w:ascii="Verdana" w:hAnsi="Verdana" w:cs="PTSans-Regular"/>
          <w:color w:val="000000" w:themeColor="text1"/>
          <w:sz w:val="24"/>
          <w:szCs w:val="24"/>
          <w:lang w:val="es-ES" w:eastAsia="en-CA"/>
        </w:rPr>
        <w:t xml:space="preserve">las </w:t>
      </w:r>
      <w:r w:rsidRPr="0015033B">
        <w:rPr>
          <w:rFonts w:ascii="Verdana" w:hAnsi="Verdana" w:cs="PTSans-Regular"/>
          <w:color w:val="000000" w:themeColor="text1"/>
          <w:sz w:val="24"/>
          <w:szCs w:val="24"/>
          <w:lang w:val="es-ES" w:eastAsia="en-CA"/>
        </w:rPr>
        <w:t xml:space="preserve">FNCER en Colombia. </w:t>
      </w:r>
      <w:r w:rsidR="00141A3F" w:rsidRPr="0015033B">
        <w:rPr>
          <w:rFonts w:ascii="Verdana" w:hAnsi="Verdana" w:cs="PTSans-Regular"/>
          <w:color w:val="000000" w:themeColor="text1"/>
          <w:sz w:val="24"/>
          <w:szCs w:val="24"/>
          <w:lang w:val="es-ES" w:eastAsia="en-CA"/>
        </w:rPr>
        <w:t xml:space="preserve">El objetivo es determinar las zonas de bajo riesgo ambiental y social para inversión, al igual que el desarrollo de un estudio de </w:t>
      </w:r>
      <w:r w:rsidR="00620B91" w:rsidRPr="0015033B">
        <w:rPr>
          <w:rFonts w:ascii="Verdana" w:hAnsi="Verdana" w:cs="PTSans-Regular"/>
          <w:color w:val="000000" w:themeColor="text1"/>
          <w:sz w:val="24"/>
          <w:szCs w:val="24"/>
          <w:lang w:val="es-ES" w:eastAsia="en-CA"/>
        </w:rPr>
        <w:t>a</w:t>
      </w:r>
      <w:r w:rsidR="00141A3F" w:rsidRPr="0015033B">
        <w:rPr>
          <w:rFonts w:ascii="Verdana" w:hAnsi="Verdana" w:cs="PTSans-Regular"/>
          <w:color w:val="000000" w:themeColor="text1"/>
          <w:sz w:val="24"/>
          <w:szCs w:val="24"/>
          <w:lang w:val="es-ES" w:eastAsia="en-CA"/>
        </w:rPr>
        <w:t xml:space="preserve">lertas </w:t>
      </w:r>
      <w:r w:rsidR="00620B91" w:rsidRPr="0015033B">
        <w:rPr>
          <w:rFonts w:ascii="Verdana" w:hAnsi="Verdana" w:cs="PTSans-Regular"/>
          <w:color w:val="000000" w:themeColor="text1"/>
          <w:sz w:val="24"/>
          <w:szCs w:val="24"/>
          <w:lang w:val="es-ES" w:eastAsia="en-CA"/>
        </w:rPr>
        <w:t>t</w:t>
      </w:r>
      <w:r w:rsidR="00141A3F" w:rsidRPr="0015033B">
        <w:rPr>
          <w:rFonts w:ascii="Verdana" w:hAnsi="Verdana" w:cs="PTSans-Regular"/>
          <w:color w:val="000000" w:themeColor="text1"/>
          <w:sz w:val="24"/>
          <w:szCs w:val="24"/>
          <w:lang w:val="es-ES" w:eastAsia="en-CA"/>
        </w:rPr>
        <w:t>empranas bajo un futuro con alta participación de F</w:t>
      </w:r>
      <w:r w:rsidR="00620B91" w:rsidRPr="0015033B">
        <w:rPr>
          <w:rFonts w:ascii="Verdana" w:hAnsi="Verdana" w:cs="PTSans-Regular"/>
          <w:color w:val="000000" w:themeColor="text1"/>
          <w:sz w:val="24"/>
          <w:szCs w:val="24"/>
          <w:lang w:val="es-ES" w:eastAsia="en-CA"/>
        </w:rPr>
        <w:t>NCER.</w:t>
      </w:r>
      <w:r w:rsidR="00141A3F" w:rsidRPr="0015033B">
        <w:rPr>
          <w:rFonts w:ascii="Verdana" w:hAnsi="Verdana" w:cs="PTSans-Regular"/>
          <w:color w:val="000000" w:themeColor="text1"/>
          <w:sz w:val="24"/>
          <w:szCs w:val="24"/>
          <w:lang w:val="es-ES" w:eastAsia="en-CA"/>
        </w:rPr>
        <w:t xml:space="preserve"> </w:t>
      </w:r>
    </w:p>
    <w:p w14:paraId="416513A6" w14:textId="77777777" w:rsidR="00141A3F" w:rsidRPr="0015033B" w:rsidRDefault="00141A3F" w:rsidP="00C94904">
      <w:pPr>
        <w:pStyle w:val="Prrafodelista"/>
        <w:jc w:val="both"/>
        <w:rPr>
          <w:rFonts w:ascii="Verdana" w:hAnsi="Verdana" w:cs="PTSans-Regular"/>
          <w:color w:val="000000" w:themeColor="text1"/>
          <w:sz w:val="24"/>
          <w:szCs w:val="24"/>
          <w:lang w:val="es-ES" w:eastAsia="en-CA"/>
        </w:rPr>
      </w:pPr>
    </w:p>
    <w:p w14:paraId="082BBBFB" w14:textId="31ECC7D6" w:rsidR="002F3EBE" w:rsidRPr="0015033B" w:rsidRDefault="00141A3F" w:rsidP="00C94904">
      <w:pPr>
        <w:pStyle w:val="Prrafodelista"/>
        <w:ind w:left="720"/>
        <w:jc w:val="both"/>
        <w:rPr>
          <w:rFonts w:ascii="Verdana" w:hAnsi="Verdana" w:cs="PTSans-Regular"/>
          <w:color w:val="000000" w:themeColor="text1"/>
          <w:sz w:val="24"/>
          <w:szCs w:val="24"/>
          <w:lang w:val="es-ES" w:eastAsia="en-CA"/>
        </w:rPr>
      </w:pPr>
      <w:r w:rsidRPr="0015033B">
        <w:rPr>
          <w:rFonts w:ascii="Verdana" w:hAnsi="Verdana" w:cs="PTSans-Regular"/>
          <w:color w:val="000000" w:themeColor="text1"/>
          <w:sz w:val="24"/>
          <w:szCs w:val="24"/>
          <w:lang w:val="es-ES" w:eastAsia="en-CA"/>
        </w:rPr>
        <w:t xml:space="preserve">Adicionalmente, TNC quiere replicar un estudio similar al publicado el año pasado </w:t>
      </w:r>
      <w:r w:rsidR="00620B91" w:rsidRPr="0015033B">
        <w:rPr>
          <w:rFonts w:ascii="Verdana" w:hAnsi="Verdana" w:cs="PTSans-Regular"/>
          <w:color w:val="000000" w:themeColor="text1"/>
          <w:sz w:val="24"/>
          <w:szCs w:val="24"/>
          <w:lang w:val="es-ES" w:eastAsia="en-CA"/>
        </w:rPr>
        <w:t>sobre</w:t>
      </w:r>
      <w:r w:rsidRPr="0015033B">
        <w:rPr>
          <w:rFonts w:ascii="Verdana" w:hAnsi="Verdana" w:cs="PTSans-Regular"/>
          <w:color w:val="000000" w:themeColor="text1"/>
          <w:sz w:val="24"/>
          <w:szCs w:val="24"/>
          <w:lang w:val="es-ES" w:eastAsia="en-CA"/>
        </w:rPr>
        <w:t xml:space="preserve"> hidroenergía por diseño</w:t>
      </w:r>
      <w:r w:rsidR="002F3EBE" w:rsidRPr="0015033B">
        <w:rPr>
          <w:rFonts w:ascii="Verdana" w:hAnsi="Verdana" w:cs="PTSans-Regular"/>
          <w:color w:val="000000" w:themeColor="text1"/>
          <w:sz w:val="24"/>
          <w:szCs w:val="24"/>
          <w:lang w:val="es-ES" w:eastAsia="en-CA"/>
        </w:rPr>
        <w:t xml:space="preserve"> “Power of Rivers: Caso de Negocio”</w:t>
      </w:r>
      <w:r w:rsidRPr="0015033B">
        <w:rPr>
          <w:rFonts w:ascii="Verdana" w:hAnsi="Verdana" w:cs="PTSans-Regular"/>
          <w:color w:val="000000" w:themeColor="text1"/>
          <w:sz w:val="24"/>
          <w:szCs w:val="24"/>
          <w:lang w:val="es-ES" w:eastAsia="en-CA"/>
        </w:rPr>
        <w:t>, pero aplicado a las FNCER. El objetivo sería determinar</w:t>
      </w:r>
      <w:r w:rsidR="002F3EBE" w:rsidRPr="0015033B">
        <w:rPr>
          <w:rFonts w:ascii="Verdana" w:hAnsi="Verdana" w:cs="PTSans-Regular"/>
          <w:color w:val="000000" w:themeColor="text1"/>
          <w:sz w:val="24"/>
          <w:szCs w:val="24"/>
          <w:lang w:val="es-ES" w:eastAsia="en-CA"/>
        </w:rPr>
        <w:t xml:space="preserve"> las implicaciones económicas de la incorporación de criterios ambientales en proyectos </w:t>
      </w:r>
      <w:r w:rsidRPr="0015033B">
        <w:rPr>
          <w:rFonts w:ascii="Verdana" w:hAnsi="Verdana" w:cs="PTSans-Regular"/>
          <w:color w:val="000000" w:themeColor="text1"/>
          <w:sz w:val="24"/>
          <w:szCs w:val="24"/>
          <w:lang w:val="es-ES" w:eastAsia="en-CA"/>
        </w:rPr>
        <w:t xml:space="preserve">renovables no convencionales, </w:t>
      </w:r>
      <w:r w:rsidR="002F3EBE" w:rsidRPr="0015033B">
        <w:rPr>
          <w:rFonts w:ascii="Verdana" w:hAnsi="Verdana" w:cs="PTSans-Regular"/>
          <w:color w:val="000000" w:themeColor="text1"/>
          <w:sz w:val="24"/>
          <w:szCs w:val="24"/>
          <w:lang w:val="es-ES" w:eastAsia="en-CA"/>
        </w:rPr>
        <w:t>utilizando modelos de optimización de</w:t>
      </w:r>
      <w:r w:rsidRPr="0015033B">
        <w:rPr>
          <w:rFonts w:ascii="Verdana" w:hAnsi="Verdana" w:cs="PTSans-Regular"/>
          <w:color w:val="000000" w:themeColor="text1"/>
          <w:sz w:val="24"/>
          <w:szCs w:val="24"/>
          <w:lang w:val="es-ES" w:eastAsia="en-CA"/>
        </w:rPr>
        <w:t xml:space="preserve"> la</w:t>
      </w:r>
      <w:r w:rsidR="002F3EBE" w:rsidRPr="0015033B">
        <w:rPr>
          <w:rFonts w:ascii="Verdana" w:hAnsi="Verdana" w:cs="PTSans-Regular"/>
          <w:color w:val="000000" w:themeColor="text1"/>
          <w:sz w:val="24"/>
          <w:szCs w:val="24"/>
          <w:lang w:val="es-ES" w:eastAsia="en-CA"/>
        </w:rPr>
        <w:t xml:space="preserve"> operación, ingeniería y aspectos ambientales</w:t>
      </w:r>
      <w:r w:rsidRPr="0015033B">
        <w:rPr>
          <w:rFonts w:ascii="Verdana" w:hAnsi="Verdana" w:cs="PTSans-Regular"/>
          <w:color w:val="000000" w:themeColor="text1"/>
          <w:sz w:val="24"/>
          <w:szCs w:val="24"/>
          <w:lang w:val="es-ES" w:eastAsia="en-CA"/>
        </w:rPr>
        <w:t xml:space="preserve">, tales </w:t>
      </w:r>
      <w:r w:rsidR="002F3EBE" w:rsidRPr="0015033B">
        <w:rPr>
          <w:rFonts w:ascii="Verdana" w:hAnsi="Verdana" w:cs="PTSans-Regular"/>
          <w:color w:val="000000" w:themeColor="text1"/>
          <w:sz w:val="24"/>
          <w:szCs w:val="24"/>
          <w:lang w:val="es-ES" w:eastAsia="en-CA"/>
        </w:rPr>
        <w:t>como SDDP, HERA, OPTFOLIO y</w:t>
      </w:r>
      <w:r w:rsidRPr="0015033B">
        <w:rPr>
          <w:rFonts w:ascii="Verdana" w:hAnsi="Verdana" w:cs="PTSans-Regular"/>
          <w:color w:val="000000" w:themeColor="text1"/>
          <w:sz w:val="24"/>
          <w:szCs w:val="24"/>
          <w:lang w:val="es-ES" w:eastAsia="en-CA"/>
        </w:rPr>
        <w:t xml:space="preserve"> </w:t>
      </w:r>
      <w:r w:rsidR="002F3EBE" w:rsidRPr="0015033B">
        <w:rPr>
          <w:rFonts w:ascii="Verdana" w:hAnsi="Verdana" w:cs="PTSans-Regular"/>
          <w:color w:val="000000" w:themeColor="text1"/>
          <w:sz w:val="24"/>
          <w:szCs w:val="24"/>
          <w:lang w:val="es-ES" w:eastAsia="en-CA"/>
        </w:rPr>
        <w:t>SIMA.</w:t>
      </w:r>
    </w:p>
    <w:p w14:paraId="63BB1B9B" w14:textId="77777777" w:rsidR="0015033B" w:rsidRPr="0015033B" w:rsidRDefault="0015033B" w:rsidP="00C94904">
      <w:pPr>
        <w:pStyle w:val="Prrafodelista"/>
        <w:ind w:left="720"/>
        <w:jc w:val="both"/>
        <w:rPr>
          <w:rFonts w:ascii="Verdana" w:hAnsi="Verdana" w:cs="PTSans-Regular"/>
          <w:color w:val="000000" w:themeColor="text1"/>
          <w:sz w:val="24"/>
          <w:szCs w:val="24"/>
          <w:lang w:val="es-ES" w:eastAsia="en-CA"/>
        </w:rPr>
      </w:pPr>
    </w:p>
    <w:p w14:paraId="2C120EC5" w14:textId="455B639B" w:rsidR="008E4834" w:rsidRPr="0015033B" w:rsidRDefault="00EC11D4" w:rsidP="00C94904">
      <w:pPr>
        <w:pStyle w:val="Prrafodelista"/>
        <w:numPr>
          <w:ilvl w:val="0"/>
          <w:numId w:val="8"/>
        </w:numPr>
        <w:jc w:val="both"/>
        <w:rPr>
          <w:rFonts w:ascii="Verdana" w:hAnsi="Verdana" w:cs="PTSans-Regular"/>
          <w:color w:val="000000" w:themeColor="text1"/>
          <w:sz w:val="24"/>
          <w:szCs w:val="24"/>
          <w:lang w:val="es-ES" w:eastAsia="en-CA"/>
        </w:rPr>
      </w:pPr>
      <w:r w:rsidRPr="0015033B">
        <w:rPr>
          <w:rFonts w:ascii="Verdana" w:hAnsi="Verdana" w:cs="PTSans-Regular"/>
          <w:color w:val="000000" w:themeColor="text1"/>
          <w:sz w:val="24"/>
          <w:szCs w:val="24"/>
          <w:lang w:val="es-ES" w:eastAsia="en-CA"/>
        </w:rPr>
        <w:t>El Subcomité de Planeamiento Operativo-</w:t>
      </w:r>
      <w:r w:rsidR="008E4834" w:rsidRPr="0015033B">
        <w:rPr>
          <w:rFonts w:ascii="Verdana" w:hAnsi="Verdana" w:cs="PTSans-Regular"/>
          <w:color w:val="000000" w:themeColor="text1"/>
          <w:sz w:val="24"/>
          <w:szCs w:val="24"/>
          <w:lang w:val="es-ES" w:eastAsia="en-CA"/>
        </w:rPr>
        <w:t>SPO</w:t>
      </w:r>
      <w:r w:rsidR="00534C0E" w:rsidRPr="0015033B">
        <w:rPr>
          <w:rFonts w:ascii="Verdana" w:hAnsi="Verdana" w:cs="PTSans-Regular"/>
          <w:color w:val="000000" w:themeColor="text1"/>
          <w:sz w:val="24"/>
          <w:szCs w:val="24"/>
          <w:lang w:val="es-ES" w:eastAsia="en-CA"/>
        </w:rPr>
        <w:t xml:space="preserve"> está organizando</w:t>
      </w:r>
      <w:r w:rsidR="008E4834" w:rsidRPr="0015033B">
        <w:rPr>
          <w:rFonts w:ascii="Verdana" w:hAnsi="Verdana" w:cs="PTSans-Regular"/>
          <w:color w:val="000000" w:themeColor="text1"/>
          <w:sz w:val="24"/>
          <w:szCs w:val="24"/>
          <w:lang w:val="es-ES" w:eastAsia="en-CA"/>
        </w:rPr>
        <w:t xml:space="preserve"> un seminario de planeamiento energético, </w:t>
      </w:r>
      <w:r w:rsidR="00FC28DD" w:rsidRPr="0015033B">
        <w:rPr>
          <w:rFonts w:ascii="Verdana" w:hAnsi="Verdana" w:cs="PTSans-Regular"/>
          <w:color w:val="000000" w:themeColor="text1"/>
          <w:sz w:val="24"/>
          <w:szCs w:val="24"/>
          <w:lang w:val="es-ES" w:eastAsia="en-CA"/>
        </w:rPr>
        <w:t xml:space="preserve">en el que se traten </w:t>
      </w:r>
      <w:r w:rsidR="008E4834" w:rsidRPr="0015033B">
        <w:rPr>
          <w:rFonts w:ascii="Verdana" w:hAnsi="Verdana" w:cs="PTSans-Regular"/>
          <w:color w:val="000000" w:themeColor="text1"/>
          <w:sz w:val="24"/>
          <w:szCs w:val="24"/>
          <w:lang w:val="es-ES" w:eastAsia="en-CA"/>
        </w:rPr>
        <w:t>los cambios estructurales que enfrentará el SIN con la incorporación de nuevas tecnologías.</w:t>
      </w:r>
      <w:r w:rsidRPr="0015033B">
        <w:rPr>
          <w:rFonts w:ascii="Verdana" w:hAnsi="Verdana" w:cs="PTSans-Regular"/>
          <w:color w:val="000000" w:themeColor="text1"/>
          <w:sz w:val="24"/>
          <w:szCs w:val="24"/>
          <w:lang w:val="es-ES" w:eastAsia="en-CA"/>
        </w:rPr>
        <w:t xml:space="preserve"> El mismo se llevará a cabo los días 5 y 6 de junio en conjunto con el BID, el MME y la CEPAL. En este momento ya se tiene la confirmación de varios desarrolladores de modelos, como PSR, Energy Examplar y XM. En este evento se tendrá un encuentro técnico con los diferentes planificadores regionales.</w:t>
      </w:r>
      <w:r w:rsidR="008E4834" w:rsidRPr="0015033B">
        <w:rPr>
          <w:rFonts w:ascii="Verdana" w:hAnsi="Verdana" w:cs="PTSans-Regular"/>
          <w:color w:val="000000" w:themeColor="text1"/>
          <w:sz w:val="24"/>
          <w:szCs w:val="24"/>
          <w:lang w:val="es-ES" w:eastAsia="en-CA"/>
        </w:rPr>
        <w:t xml:space="preserve"> </w:t>
      </w:r>
    </w:p>
    <w:p w14:paraId="70F188CE" w14:textId="77777777" w:rsidR="00EC11D4" w:rsidRPr="0015033B" w:rsidRDefault="00EC11D4" w:rsidP="00C94904">
      <w:pPr>
        <w:jc w:val="both"/>
        <w:rPr>
          <w:rFonts w:ascii="Verdana" w:hAnsi="Verdana" w:cs="PTSans-Regular"/>
          <w:color w:val="000000" w:themeColor="text1"/>
          <w:lang w:val="es-ES" w:eastAsia="en-CA"/>
        </w:rPr>
      </w:pPr>
    </w:p>
    <w:p w14:paraId="2336308E" w14:textId="483B4EF0" w:rsidR="00EC11D4" w:rsidRPr="0015033B" w:rsidRDefault="00EC11D4" w:rsidP="00C94904">
      <w:pPr>
        <w:pStyle w:val="Prrafodelista"/>
        <w:numPr>
          <w:ilvl w:val="0"/>
          <w:numId w:val="8"/>
        </w:numPr>
        <w:jc w:val="both"/>
        <w:rPr>
          <w:rFonts w:ascii="Verdana" w:hAnsi="Verdana" w:cs="PTSans-Regular"/>
          <w:color w:val="000000" w:themeColor="text1"/>
          <w:sz w:val="24"/>
          <w:szCs w:val="24"/>
          <w:lang w:val="es-ES" w:eastAsia="en-CA"/>
        </w:rPr>
      </w:pPr>
      <w:r w:rsidRPr="0015033B">
        <w:rPr>
          <w:rFonts w:ascii="Verdana" w:hAnsi="Verdana" w:cs="PTSans-Regular"/>
          <w:color w:val="000000" w:themeColor="text1"/>
          <w:sz w:val="24"/>
          <w:szCs w:val="24"/>
          <w:lang w:val="es-ES" w:eastAsia="en-CA"/>
        </w:rPr>
        <w:t xml:space="preserve">El Comité de Distribución definió </w:t>
      </w:r>
      <w:r w:rsidR="00620B91" w:rsidRPr="0015033B">
        <w:rPr>
          <w:rFonts w:ascii="Verdana" w:hAnsi="Verdana" w:cs="PTSans-Regular"/>
          <w:color w:val="000000" w:themeColor="text1"/>
          <w:sz w:val="24"/>
          <w:szCs w:val="24"/>
          <w:lang w:val="es-ES" w:eastAsia="en-CA"/>
        </w:rPr>
        <w:t xml:space="preserve">la lista de </w:t>
      </w:r>
      <w:r w:rsidRPr="0015033B">
        <w:rPr>
          <w:rFonts w:ascii="Verdana" w:hAnsi="Verdana" w:cs="PTSans-Regular"/>
          <w:color w:val="000000" w:themeColor="text1"/>
          <w:sz w:val="24"/>
          <w:szCs w:val="24"/>
          <w:lang w:val="es-ES" w:eastAsia="en-CA"/>
        </w:rPr>
        <w:t xml:space="preserve">los posibles eventos que pueden presentarse en los SDL’s, en </w:t>
      </w:r>
      <w:r w:rsidR="00620B91" w:rsidRPr="0015033B">
        <w:rPr>
          <w:rFonts w:ascii="Verdana" w:hAnsi="Verdana" w:cs="PTSans-Regular"/>
          <w:color w:val="000000" w:themeColor="text1"/>
          <w:sz w:val="24"/>
          <w:szCs w:val="24"/>
          <w:lang w:val="es-ES" w:eastAsia="en-CA"/>
        </w:rPr>
        <w:t xml:space="preserve">respuesta al mandato </w:t>
      </w:r>
      <w:r w:rsidRPr="0015033B">
        <w:rPr>
          <w:rFonts w:ascii="Verdana" w:hAnsi="Verdana" w:cs="PTSans-Regular"/>
          <w:color w:val="000000" w:themeColor="text1"/>
          <w:sz w:val="24"/>
          <w:szCs w:val="24"/>
          <w:lang w:val="es-ES" w:eastAsia="en-CA"/>
        </w:rPr>
        <w:t xml:space="preserve">de la Resolución CREG 015 de 2018. Se publicó </w:t>
      </w:r>
      <w:r w:rsidR="00620B91" w:rsidRPr="0015033B">
        <w:rPr>
          <w:rFonts w:ascii="Verdana" w:hAnsi="Verdana" w:cs="PTSans-Regular"/>
          <w:color w:val="000000" w:themeColor="text1"/>
          <w:sz w:val="24"/>
          <w:szCs w:val="24"/>
          <w:lang w:val="es-ES" w:eastAsia="en-CA"/>
        </w:rPr>
        <w:t>la C</w:t>
      </w:r>
      <w:r w:rsidRPr="0015033B">
        <w:rPr>
          <w:rFonts w:ascii="Verdana" w:hAnsi="Verdana" w:cs="PTSans-Regular"/>
          <w:color w:val="000000" w:themeColor="text1"/>
          <w:sz w:val="24"/>
          <w:szCs w:val="24"/>
          <w:lang w:val="es-ES" w:eastAsia="en-CA"/>
        </w:rPr>
        <w:t xml:space="preserve">ircular </w:t>
      </w:r>
      <w:r w:rsidR="00620B91" w:rsidRPr="0015033B">
        <w:rPr>
          <w:rFonts w:ascii="Verdana" w:hAnsi="Verdana" w:cs="PTSans-Regular"/>
          <w:color w:val="000000" w:themeColor="text1"/>
          <w:sz w:val="24"/>
          <w:szCs w:val="24"/>
          <w:lang w:val="es-ES" w:eastAsia="en-CA"/>
        </w:rPr>
        <w:t xml:space="preserve">26 dirigida a los operadores de red, </w:t>
      </w:r>
      <w:r w:rsidRPr="0015033B">
        <w:rPr>
          <w:rFonts w:ascii="Verdana" w:hAnsi="Verdana" w:cs="PTSans-Regular"/>
          <w:color w:val="000000" w:themeColor="text1"/>
          <w:sz w:val="24"/>
          <w:szCs w:val="24"/>
          <w:lang w:val="es-ES" w:eastAsia="en-CA"/>
        </w:rPr>
        <w:t>para recibir comentarios a la lista propuesta, con fecha límite del 03 de mayo</w:t>
      </w:r>
      <w:r w:rsidR="00620B91" w:rsidRPr="0015033B">
        <w:rPr>
          <w:rFonts w:ascii="Verdana" w:hAnsi="Verdana" w:cs="PTSans-Regular"/>
          <w:color w:val="000000" w:themeColor="text1"/>
          <w:sz w:val="24"/>
          <w:szCs w:val="24"/>
          <w:lang w:val="es-ES" w:eastAsia="en-CA"/>
        </w:rPr>
        <w:t xml:space="preserve"> y el mismo día se debe enviar a la Comisión para su consideración.</w:t>
      </w:r>
    </w:p>
    <w:p w14:paraId="47929547" w14:textId="77777777" w:rsidR="00EC11D4" w:rsidRPr="0015033B" w:rsidRDefault="00EC11D4" w:rsidP="00C94904">
      <w:pPr>
        <w:pStyle w:val="Prrafodelista"/>
        <w:jc w:val="both"/>
        <w:rPr>
          <w:rFonts w:ascii="Verdana" w:hAnsi="Verdana" w:cs="PTSans-Regular"/>
          <w:color w:val="000000" w:themeColor="text1"/>
          <w:sz w:val="24"/>
          <w:szCs w:val="24"/>
          <w:lang w:val="es-ES" w:eastAsia="en-CA"/>
        </w:rPr>
      </w:pPr>
    </w:p>
    <w:p w14:paraId="6C3BA76B" w14:textId="294A2E94" w:rsidR="00EC11D4" w:rsidRPr="0015033B" w:rsidRDefault="00EC11D4" w:rsidP="000500A3">
      <w:pPr>
        <w:pStyle w:val="Prrafodelista"/>
        <w:numPr>
          <w:ilvl w:val="0"/>
          <w:numId w:val="8"/>
        </w:numPr>
        <w:jc w:val="both"/>
        <w:rPr>
          <w:rFonts w:ascii="Verdana" w:hAnsi="Verdana" w:cs="PTSans-Regular"/>
          <w:color w:val="000000" w:themeColor="text1"/>
          <w:sz w:val="24"/>
          <w:szCs w:val="24"/>
          <w:lang w:val="es-ES" w:eastAsia="en-CA"/>
        </w:rPr>
      </w:pPr>
      <w:r w:rsidRPr="0015033B">
        <w:rPr>
          <w:rFonts w:ascii="Verdana" w:hAnsi="Verdana" w:cs="PTSans-Regular"/>
          <w:color w:val="000000" w:themeColor="text1"/>
          <w:sz w:val="24"/>
          <w:szCs w:val="24"/>
          <w:lang w:val="es-ES" w:eastAsia="en-CA"/>
        </w:rPr>
        <w:t>Se llevó a cabo reunión conjunta entre XM-UPME-CNO, para compartir la visión que tiene cada una de las entidades respecto al concepto de flexibilidad sistémica</w:t>
      </w:r>
      <w:r w:rsidR="0046209F" w:rsidRPr="0015033B">
        <w:rPr>
          <w:rFonts w:ascii="Verdana" w:hAnsi="Verdana" w:cs="PTSans-Regular"/>
          <w:color w:val="000000" w:themeColor="text1"/>
          <w:sz w:val="24"/>
          <w:szCs w:val="24"/>
          <w:lang w:val="es-ES" w:eastAsia="en-CA"/>
        </w:rPr>
        <w:t>, ello en el marco de los análisis técnicos que se deben realizar para evaluar el impacto de la incorporación de las FNCER</w:t>
      </w:r>
      <w:r w:rsidRPr="0015033B">
        <w:rPr>
          <w:rFonts w:ascii="Verdana" w:hAnsi="Verdana" w:cs="PTSans-Regular"/>
          <w:color w:val="000000" w:themeColor="text1"/>
          <w:sz w:val="24"/>
          <w:szCs w:val="24"/>
          <w:lang w:val="es-ES" w:eastAsia="en-CA"/>
        </w:rPr>
        <w:t>.</w:t>
      </w:r>
      <w:r w:rsidR="0046209F" w:rsidRPr="0015033B">
        <w:rPr>
          <w:rFonts w:ascii="Verdana" w:hAnsi="Verdana" w:cs="PTSans-Regular"/>
          <w:color w:val="000000" w:themeColor="text1"/>
          <w:sz w:val="24"/>
          <w:szCs w:val="24"/>
          <w:lang w:val="es-ES" w:eastAsia="en-CA"/>
        </w:rPr>
        <w:t xml:space="preserve"> Se acordó realizar otra reunión donde XM muestre la metodología y supuestos considerados en su estudio piloto.</w:t>
      </w:r>
      <w:r w:rsidRPr="0015033B">
        <w:rPr>
          <w:rFonts w:ascii="Verdana" w:hAnsi="Verdana" w:cs="PTSans-Regular"/>
          <w:color w:val="000000" w:themeColor="text1"/>
          <w:sz w:val="24"/>
          <w:szCs w:val="24"/>
          <w:lang w:val="es-ES" w:eastAsia="en-CA"/>
        </w:rPr>
        <w:t xml:space="preserve"> </w:t>
      </w:r>
    </w:p>
    <w:p w14:paraId="266D0AE9" w14:textId="77777777" w:rsidR="000500A3" w:rsidRPr="0015033B" w:rsidRDefault="000500A3" w:rsidP="00351531">
      <w:pPr>
        <w:pStyle w:val="Prrafodelista"/>
        <w:rPr>
          <w:rFonts w:ascii="Verdana" w:hAnsi="Verdana" w:cs="PTSans-Regular"/>
          <w:color w:val="000000" w:themeColor="text1"/>
          <w:sz w:val="24"/>
          <w:szCs w:val="24"/>
          <w:lang w:val="es-ES" w:eastAsia="en-CA"/>
        </w:rPr>
      </w:pPr>
    </w:p>
    <w:p w14:paraId="758BEB31" w14:textId="1612AA22" w:rsidR="000500A3" w:rsidRPr="0015033B" w:rsidRDefault="000500A3" w:rsidP="000500A3">
      <w:pPr>
        <w:pStyle w:val="Prrafodelista"/>
        <w:numPr>
          <w:ilvl w:val="0"/>
          <w:numId w:val="8"/>
        </w:numPr>
        <w:jc w:val="both"/>
        <w:rPr>
          <w:rFonts w:ascii="Verdana" w:hAnsi="Verdana" w:cs="PTSans-Regular"/>
          <w:color w:val="000000" w:themeColor="text1"/>
          <w:sz w:val="24"/>
          <w:szCs w:val="24"/>
          <w:lang w:val="es-ES" w:eastAsia="en-CA"/>
        </w:rPr>
      </w:pPr>
      <w:r w:rsidRPr="0015033B">
        <w:rPr>
          <w:rFonts w:ascii="Verdana" w:hAnsi="Verdana" w:cs="PTSans-Regular"/>
          <w:color w:val="000000" w:themeColor="text1"/>
          <w:sz w:val="24"/>
          <w:szCs w:val="24"/>
          <w:lang w:val="es-ES" w:eastAsia="en-CA"/>
        </w:rPr>
        <w:t xml:space="preserve">Dando cumplimiento a las tareas asignadas por la Resolución CREG 030 de 2018 al CNO, el Subcomité de Protecciones está elaborando el documento de las protecciones necesarias para la correcta operación de la Autogeneración a Pequeña Escala - AGPE y la Generación Distribuida - GD en el STR y SDL y las pruebas requeridas durante el proceso de conexión. El Comité de Distribución está trabajando en la estandarización de los formatos de solicitud de conexión simplificada y el contenido de los estudios de conexión simplificado, a partir de la información enviada </w:t>
      </w:r>
      <w:r w:rsidRPr="0015033B">
        <w:rPr>
          <w:rFonts w:ascii="Verdana" w:hAnsi="Verdana" w:cs="PTSans-Regular"/>
          <w:color w:val="000000" w:themeColor="text1"/>
          <w:sz w:val="24"/>
          <w:szCs w:val="24"/>
          <w:lang w:val="es-ES" w:eastAsia="en-CA"/>
        </w:rPr>
        <w:lastRenderedPageBreak/>
        <w:t xml:space="preserve">por los operadores de red. </w:t>
      </w:r>
      <w:r w:rsidR="00A931CC" w:rsidRPr="0015033B">
        <w:rPr>
          <w:rFonts w:ascii="Verdana" w:hAnsi="Verdana" w:cs="PTSans-Regular"/>
          <w:color w:val="000000" w:themeColor="text1"/>
          <w:sz w:val="24"/>
          <w:szCs w:val="24"/>
          <w:lang w:val="es-ES" w:eastAsia="en-CA"/>
        </w:rPr>
        <w:t>El resultado de la estandarización debe ser publicada para consulta del público en general y posterior envío a la CREG.</w:t>
      </w:r>
    </w:p>
    <w:p w14:paraId="651597CA" w14:textId="7C4FF9A5" w:rsidR="00A931CC" w:rsidRPr="0015033B" w:rsidRDefault="00A931CC" w:rsidP="00351531">
      <w:pPr>
        <w:jc w:val="both"/>
        <w:rPr>
          <w:rFonts w:ascii="Verdana" w:hAnsi="Verdana" w:cs="PTSans-Regular"/>
          <w:color w:val="000000" w:themeColor="text1"/>
          <w:lang w:val="es-ES" w:eastAsia="en-CA"/>
        </w:rPr>
      </w:pPr>
    </w:p>
    <w:p w14:paraId="1DF7650F" w14:textId="7F44D316" w:rsidR="007220A3" w:rsidRPr="0015033B" w:rsidRDefault="007220A3" w:rsidP="007220A3">
      <w:pPr>
        <w:pStyle w:val="Prrafodelista"/>
        <w:numPr>
          <w:ilvl w:val="0"/>
          <w:numId w:val="8"/>
        </w:numPr>
        <w:jc w:val="both"/>
        <w:rPr>
          <w:rFonts w:ascii="Verdana" w:hAnsi="Verdana" w:cs="PTSans-Regular"/>
          <w:color w:val="000000" w:themeColor="text1"/>
          <w:sz w:val="24"/>
          <w:szCs w:val="24"/>
          <w:lang w:val="es-ES" w:eastAsia="en-CA"/>
        </w:rPr>
      </w:pPr>
      <w:r w:rsidRPr="0015033B">
        <w:rPr>
          <w:rFonts w:ascii="Verdana" w:hAnsi="Verdana" w:cs="PTSans-Regular"/>
          <w:color w:val="000000" w:themeColor="text1"/>
          <w:sz w:val="24"/>
          <w:szCs w:val="24"/>
          <w:lang w:val="es-ES" w:eastAsia="en-CA"/>
        </w:rPr>
        <w:t xml:space="preserve">Teniendo en cuenta lo previsto en la Resolución CREG 015 de 2018 sobre el cálculo de </w:t>
      </w:r>
      <w:r w:rsidR="009C68DC" w:rsidRPr="0015033B">
        <w:rPr>
          <w:rFonts w:ascii="Verdana" w:hAnsi="Verdana" w:cs="PTSans-Regular"/>
          <w:color w:val="000000" w:themeColor="text1"/>
          <w:sz w:val="24"/>
          <w:szCs w:val="24"/>
          <w:lang w:val="es-ES" w:eastAsia="en-CA"/>
        </w:rPr>
        <w:t>p</w:t>
      </w:r>
      <w:r w:rsidR="00351531" w:rsidRPr="0015033B">
        <w:rPr>
          <w:rFonts w:ascii="Verdana" w:hAnsi="Verdana" w:cs="PTSans-Regular"/>
          <w:color w:val="000000" w:themeColor="text1"/>
          <w:sz w:val="24"/>
          <w:szCs w:val="24"/>
          <w:lang w:val="es-ES" w:eastAsia="en-CA"/>
        </w:rPr>
        <w:t>érdidas</w:t>
      </w:r>
      <w:r w:rsidRPr="0015033B">
        <w:rPr>
          <w:rFonts w:ascii="Verdana" w:hAnsi="Verdana" w:cs="PTSans-Regular"/>
          <w:color w:val="000000" w:themeColor="text1"/>
          <w:sz w:val="24"/>
          <w:szCs w:val="24"/>
          <w:lang w:val="es-ES" w:eastAsia="en-CA"/>
        </w:rPr>
        <w:t xml:space="preserve"> del nivel de tensión 4, el Comité de Distribución está </w:t>
      </w:r>
      <w:r w:rsidR="009C68DC" w:rsidRPr="0015033B">
        <w:rPr>
          <w:rFonts w:ascii="Verdana" w:hAnsi="Verdana" w:cs="PTSans-Regular"/>
          <w:color w:val="000000" w:themeColor="text1"/>
          <w:sz w:val="24"/>
          <w:szCs w:val="24"/>
          <w:lang w:val="es-ES" w:eastAsia="en-CA"/>
        </w:rPr>
        <w:t>estructurando</w:t>
      </w:r>
      <w:r w:rsidRPr="0015033B">
        <w:rPr>
          <w:rFonts w:ascii="Verdana" w:hAnsi="Verdana" w:cs="PTSans-Regular"/>
          <w:color w:val="000000" w:themeColor="text1"/>
          <w:sz w:val="24"/>
          <w:szCs w:val="24"/>
          <w:lang w:val="es-ES" w:eastAsia="en-CA"/>
        </w:rPr>
        <w:t xml:space="preserve"> un procedimiento para la elaboración de dicho cálculo, el cual sería adoptado mediante acuerdo. Teniendo en cuenta que se deben revisar casos especiales que se presentan en el Sistema para la definición de la </w:t>
      </w:r>
      <w:proofErr w:type="spellStart"/>
      <w:r w:rsidRPr="0015033B">
        <w:rPr>
          <w:rFonts w:ascii="Verdana" w:hAnsi="Verdana" w:cs="PTSans-Regular"/>
          <w:color w:val="000000" w:themeColor="text1"/>
          <w:sz w:val="24"/>
          <w:szCs w:val="24"/>
          <w:lang w:val="es-ES" w:eastAsia="en-CA"/>
        </w:rPr>
        <w:t>formula</w:t>
      </w:r>
      <w:proofErr w:type="spellEnd"/>
      <w:r w:rsidRPr="0015033B">
        <w:rPr>
          <w:rFonts w:ascii="Verdana" w:hAnsi="Verdana" w:cs="PTSans-Regular"/>
          <w:color w:val="000000" w:themeColor="text1"/>
          <w:sz w:val="24"/>
          <w:szCs w:val="24"/>
          <w:lang w:val="es-ES" w:eastAsia="en-CA"/>
        </w:rPr>
        <w:t xml:space="preserve"> de cálculo del factor de pérdidas del nivel de tensión 4, se expidió la Circular 25 dirigida a los operadores d</w:t>
      </w:r>
      <w:r w:rsidR="003037F8" w:rsidRPr="0015033B">
        <w:rPr>
          <w:rFonts w:ascii="Verdana" w:hAnsi="Verdana" w:cs="PTSans-Regular"/>
          <w:color w:val="000000" w:themeColor="text1"/>
          <w:sz w:val="24"/>
          <w:szCs w:val="24"/>
          <w:lang w:val="es-ES" w:eastAsia="en-CA"/>
        </w:rPr>
        <w:t>e red en la</w:t>
      </w:r>
      <w:r w:rsidRPr="0015033B">
        <w:rPr>
          <w:rFonts w:ascii="Verdana" w:hAnsi="Verdana" w:cs="PTSans-Regular"/>
          <w:color w:val="000000" w:themeColor="text1"/>
          <w:sz w:val="24"/>
          <w:szCs w:val="24"/>
          <w:lang w:val="es-ES" w:eastAsia="en-CA"/>
        </w:rPr>
        <w:t xml:space="preserve"> que se les solicitó el envío de información hasta el 4 de mayo y se citó a una reunión del comité el 8 de mayo.</w:t>
      </w:r>
    </w:p>
    <w:p w14:paraId="315ED3FD" w14:textId="77777777" w:rsidR="007220A3" w:rsidRPr="0015033B" w:rsidRDefault="007220A3" w:rsidP="00351531">
      <w:pPr>
        <w:pStyle w:val="Prrafodelista"/>
        <w:ind w:left="720"/>
        <w:jc w:val="both"/>
        <w:rPr>
          <w:rFonts w:ascii="Verdana" w:hAnsi="Verdana" w:cs="PTSans-Regular"/>
          <w:color w:val="000000" w:themeColor="text1"/>
          <w:sz w:val="24"/>
          <w:szCs w:val="24"/>
          <w:lang w:val="es-ES" w:eastAsia="en-CA"/>
        </w:rPr>
      </w:pPr>
    </w:p>
    <w:p w14:paraId="1DE99E5D" w14:textId="0E62FE96" w:rsidR="000500A3" w:rsidRPr="0015033B" w:rsidRDefault="00A931CC" w:rsidP="000500A3">
      <w:pPr>
        <w:pStyle w:val="Prrafodelista"/>
        <w:numPr>
          <w:ilvl w:val="0"/>
          <w:numId w:val="8"/>
        </w:numPr>
        <w:jc w:val="both"/>
        <w:rPr>
          <w:rFonts w:ascii="Verdana" w:hAnsi="Verdana" w:cs="PTSans-Regular"/>
          <w:color w:val="000000" w:themeColor="text1"/>
          <w:sz w:val="24"/>
          <w:szCs w:val="24"/>
          <w:lang w:val="es-ES" w:eastAsia="en-CA"/>
        </w:rPr>
      </w:pPr>
      <w:r w:rsidRPr="0015033B">
        <w:rPr>
          <w:rFonts w:ascii="Verdana" w:hAnsi="Verdana" w:cs="PTSans-Regular"/>
          <w:color w:val="000000" w:themeColor="text1"/>
          <w:sz w:val="24"/>
          <w:szCs w:val="24"/>
          <w:lang w:val="es-ES" w:eastAsia="en-CA"/>
        </w:rPr>
        <w:t>Se llevó a cabo un taller con el CAC, XM, los verificadores de que trata la Resolución CREG 038 de 2014</w:t>
      </w:r>
      <w:r w:rsidR="005359E9">
        <w:rPr>
          <w:rFonts w:ascii="Verdana" w:hAnsi="Verdana" w:cs="PTSans-Regular"/>
          <w:color w:val="000000" w:themeColor="text1"/>
          <w:sz w:val="24"/>
          <w:szCs w:val="24"/>
          <w:lang w:val="es-ES" w:eastAsia="en-CA"/>
        </w:rPr>
        <w:t>,</w:t>
      </w:r>
      <w:r w:rsidRPr="0015033B">
        <w:rPr>
          <w:rFonts w:ascii="Verdana" w:hAnsi="Verdana" w:cs="PTSans-Regular"/>
          <w:color w:val="000000" w:themeColor="text1"/>
          <w:sz w:val="24"/>
          <w:szCs w:val="24"/>
          <w:lang w:val="es-ES" w:eastAsia="en-CA"/>
        </w:rPr>
        <w:t xml:space="preserve"> para dar claridad a las inquietudes presentadas sobre la aplicación de los Acuerdos 701, 1004 y 1043 (Condiciones mínimas de seguridad de la información).</w:t>
      </w:r>
    </w:p>
    <w:p w14:paraId="6FE0D4F3" w14:textId="77777777" w:rsidR="00A931CC" w:rsidRPr="0015033B" w:rsidRDefault="00A931CC" w:rsidP="00351531">
      <w:pPr>
        <w:pStyle w:val="Prrafodelista"/>
        <w:rPr>
          <w:rFonts w:ascii="Verdana" w:hAnsi="Verdana" w:cs="PTSans-Regular"/>
          <w:color w:val="000000" w:themeColor="text1"/>
          <w:sz w:val="24"/>
          <w:szCs w:val="24"/>
          <w:lang w:val="es-ES" w:eastAsia="en-CA"/>
        </w:rPr>
      </w:pPr>
    </w:p>
    <w:p w14:paraId="6D945DD6" w14:textId="39E13004" w:rsidR="00A931CC" w:rsidRPr="0015033B" w:rsidRDefault="00C8550F" w:rsidP="000500A3">
      <w:pPr>
        <w:pStyle w:val="Prrafodelista"/>
        <w:numPr>
          <w:ilvl w:val="0"/>
          <w:numId w:val="8"/>
        </w:numPr>
        <w:jc w:val="both"/>
        <w:rPr>
          <w:rFonts w:ascii="Verdana" w:hAnsi="Verdana" w:cs="PTSans-Regular"/>
          <w:color w:val="000000" w:themeColor="text1"/>
          <w:sz w:val="24"/>
          <w:szCs w:val="24"/>
          <w:lang w:val="es-ES" w:eastAsia="en-CA"/>
        </w:rPr>
      </w:pPr>
      <w:r w:rsidRPr="0015033B">
        <w:rPr>
          <w:rFonts w:ascii="Verdana" w:hAnsi="Verdana" w:cs="PTSans-Regular"/>
          <w:color w:val="000000" w:themeColor="text1"/>
          <w:sz w:val="24"/>
          <w:szCs w:val="24"/>
          <w:lang w:val="es-ES" w:eastAsia="en-CA"/>
        </w:rPr>
        <w:t>La Agencia Nacional de Minería expidió el 19 de abril de 2018 la Resolución 107 que estableció nuevos criterios para la demostración de la capacidad económica de los comercializadores de minerales</w:t>
      </w:r>
      <w:r w:rsidR="00B4166B" w:rsidRPr="0015033B">
        <w:rPr>
          <w:rFonts w:ascii="Verdana" w:hAnsi="Verdana" w:cs="PTSans-Regular"/>
          <w:color w:val="000000" w:themeColor="text1"/>
          <w:sz w:val="24"/>
          <w:szCs w:val="24"/>
          <w:lang w:val="es-ES" w:eastAsia="en-CA"/>
        </w:rPr>
        <w:t xml:space="preserve"> que presenten solicitud de inscripción o renovación del Registro Único de Comercializadores de Minerales RUCOM</w:t>
      </w:r>
      <w:r w:rsidR="000F7E5F" w:rsidRPr="0015033B">
        <w:rPr>
          <w:rFonts w:ascii="Verdana" w:hAnsi="Verdana" w:cs="PTSans-Regular"/>
          <w:color w:val="000000" w:themeColor="text1"/>
          <w:sz w:val="24"/>
          <w:szCs w:val="24"/>
          <w:lang w:val="es-ES" w:eastAsia="en-CA"/>
        </w:rPr>
        <w:t xml:space="preserve">, lo cual soluciona los inconvenientes que se estaban presentando para </w:t>
      </w:r>
      <w:r w:rsidR="00351531" w:rsidRPr="0015033B">
        <w:rPr>
          <w:rFonts w:ascii="Verdana" w:hAnsi="Verdana" w:cs="PTSans-Regular"/>
          <w:color w:val="000000" w:themeColor="text1"/>
          <w:sz w:val="24"/>
          <w:szCs w:val="24"/>
          <w:lang w:val="es-ES" w:eastAsia="en-CA"/>
        </w:rPr>
        <w:t>GECELCA</w:t>
      </w:r>
      <w:r w:rsidR="000F7E5F" w:rsidRPr="0015033B">
        <w:rPr>
          <w:rFonts w:ascii="Verdana" w:hAnsi="Verdana" w:cs="PTSans-Regular"/>
          <w:color w:val="000000" w:themeColor="text1"/>
          <w:sz w:val="24"/>
          <w:szCs w:val="24"/>
          <w:lang w:val="es-ES" w:eastAsia="en-CA"/>
        </w:rPr>
        <w:t xml:space="preserve"> y </w:t>
      </w:r>
      <w:r w:rsidR="00351531" w:rsidRPr="0015033B">
        <w:rPr>
          <w:rFonts w:ascii="Verdana" w:hAnsi="Verdana" w:cs="PTSans-Regular"/>
          <w:color w:val="000000" w:themeColor="text1"/>
          <w:sz w:val="24"/>
          <w:szCs w:val="24"/>
          <w:lang w:val="es-ES" w:eastAsia="en-CA"/>
        </w:rPr>
        <w:t>GENSA.</w:t>
      </w:r>
    </w:p>
    <w:p w14:paraId="5B59DD25" w14:textId="77777777" w:rsidR="000500A3" w:rsidRPr="0015033B" w:rsidRDefault="000500A3" w:rsidP="00351531">
      <w:pPr>
        <w:pStyle w:val="Prrafodelista"/>
        <w:rPr>
          <w:rFonts w:ascii="Verdana" w:hAnsi="Verdana" w:cs="PTSans-Regular"/>
          <w:color w:val="000000" w:themeColor="text1"/>
          <w:sz w:val="24"/>
          <w:szCs w:val="24"/>
          <w:lang w:val="es-ES" w:eastAsia="en-CA"/>
        </w:rPr>
      </w:pPr>
    </w:p>
    <w:p w14:paraId="041A3F8A" w14:textId="77777777" w:rsidR="00EC11D4" w:rsidRPr="0015033B" w:rsidRDefault="00EC11D4" w:rsidP="00C94904">
      <w:pPr>
        <w:ind w:left="360"/>
        <w:jc w:val="both"/>
        <w:rPr>
          <w:rFonts w:ascii="Verdana" w:hAnsi="Verdana" w:cs="PTSans-Regular"/>
          <w:color w:val="000000" w:themeColor="text1"/>
          <w:lang w:val="es-ES" w:eastAsia="en-CA"/>
        </w:rPr>
      </w:pPr>
    </w:p>
    <w:p w14:paraId="02DE6FED" w14:textId="77777777" w:rsidR="00E5320E" w:rsidRPr="0015033B" w:rsidRDefault="00E5320E" w:rsidP="00C94904">
      <w:pPr>
        <w:pStyle w:val="Prrafodelista"/>
        <w:ind w:left="720"/>
        <w:jc w:val="both"/>
        <w:rPr>
          <w:rFonts w:ascii="Verdana" w:hAnsi="Verdana" w:cs="PTSans-Regular"/>
          <w:color w:val="000000" w:themeColor="text1"/>
          <w:sz w:val="24"/>
          <w:szCs w:val="24"/>
          <w:highlight w:val="yellow"/>
          <w:lang w:val="es-ES" w:eastAsia="en-CA"/>
        </w:rPr>
      </w:pPr>
    </w:p>
    <w:sectPr w:rsidR="00E5320E" w:rsidRPr="0015033B"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037F1" w14:textId="77777777" w:rsidR="006C7400" w:rsidRDefault="006C7400">
      <w:r>
        <w:separator/>
      </w:r>
    </w:p>
  </w:endnote>
  <w:endnote w:type="continuationSeparator" w:id="0">
    <w:p w14:paraId="06A240CC" w14:textId="77777777" w:rsidR="006C7400" w:rsidRDefault="006C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TSans-Regular">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19D" w14:textId="03210A25" w:rsidR="00135EB1" w:rsidRPr="003D56D0" w:rsidRDefault="003B26E1" w:rsidP="003D56D0">
    <w:pPr>
      <w:pStyle w:val="Piedepgina"/>
    </w:pPr>
    <w:r>
      <w:t>Informe Reunión CNO 5</w:t>
    </w:r>
    <w:r w:rsidR="00546B6B">
      <w:t>3</w:t>
    </w:r>
    <w:r w:rsidR="00AA5BF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984EB" w14:textId="77777777" w:rsidR="006C7400" w:rsidRDefault="006C7400">
      <w:r>
        <w:separator/>
      </w:r>
    </w:p>
  </w:footnote>
  <w:footnote w:type="continuationSeparator" w:id="0">
    <w:p w14:paraId="28F69A38" w14:textId="77777777" w:rsidR="006C7400" w:rsidRDefault="006C7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eastAsia="es-CO"/>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eastAsia="es-CO"/>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 w15:restartNumberingAfterBreak="0">
    <w:nsid w:val="1EED1010"/>
    <w:multiLevelType w:val="hybridMultilevel"/>
    <w:tmpl w:val="124C6F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923186"/>
    <w:multiLevelType w:val="hybridMultilevel"/>
    <w:tmpl w:val="5CA82CB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23007B35"/>
    <w:multiLevelType w:val="hybridMultilevel"/>
    <w:tmpl w:val="10E8F044"/>
    <w:lvl w:ilvl="0" w:tplc="E3109E4A">
      <w:numFmt w:val="bullet"/>
      <w:lvlText w:val="-"/>
      <w:lvlJc w:val="left"/>
      <w:pPr>
        <w:ind w:left="1080"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A4558E8"/>
    <w:multiLevelType w:val="hybridMultilevel"/>
    <w:tmpl w:val="0D6073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CF70D0"/>
    <w:multiLevelType w:val="hybridMultilevel"/>
    <w:tmpl w:val="63728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26A1A49"/>
    <w:multiLevelType w:val="hybridMultilevel"/>
    <w:tmpl w:val="22625CFC"/>
    <w:lvl w:ilvl="0" w:tplc="240A000F">
      <w:start w:val="1"/>
      <w:numFmt w:val="decimal"/>
      <w:lvlText w:val="%1."/>
      <w:lvlJc w:val="lef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15:restartNumberingAfterBreak="0">
    <w:nsid w:val="4B4E244C"/>
    <w:multiLevelType w:val="hybridMultilevel"/>
    <w:tmpl w:val="E4288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D05044E"/>
    <w:multiLevelType w:val="hybridMultilevel"/>
    <w:tmpl w:val="A0F433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2"/>
  </w:num>
  <w:num w:numId="5">
    <w:abstractNumId w:val="7"/>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A5C"/>
    <w:rsid w:val="00002B31"/>
    <w:rsid w:val="00002C24"/>
    <w:rsid w:val="00002F11"/>
    <w:rsid w:val="00003AB9"/>
    <w:rsid w:val="00003F51"/>
    <w:rsid w:val="0000414B"/>
    <w:rsid w:val="000050B5"/>
    <w:rsid w:val="000055F4"/>
    <w:rsid w:val="00006D2A"/>
    <w:rsid w:val="00010529"/>
    <w:rsid w:val="000141A1"/>
    <w:rsid w:val="000146AB"/>
    <w:rsid w:val="000147DB"/>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5AC3"/>
    <w:rsid w:val="00035D46"/>
    <w:rsid w:val="0004173B"/>
    <w:rsid w:val="000430A7"/>
    <w:rsid w:val="00043249"/>
    <w:rsid w:val="000472EC"/>
    <w:rsid w:val="0004751B"/>
    <w:rsid w:val="00047F90"/>
    <w:rsid w:val="000500A3"/>
    <w:rsid w:val="0005188C"/>
    <w:rsid w:val="00051EFF"/>
    <w:rsid w:val="0005455C"/>
    <w:rsid w:val="000556BD"/>
    <w:rsid w:val="00055B14"/>
    <w:rsid w:val="00056218"/>
    <w:rsid w:val="00057A83"/>
    <w:rsid w:val="00057E7C"/>
    <w:rsid w:val="00057F27"/>
    <w:rsid w:val="00060E4B"/>
    <w:rsid w:val="00062609"/>
    <w:rsid w:val="00063CFB"/>
    <w:rsid w:val="00064156"/>
    <w:rsid w:val="00064DE6"/>
    <w:rsid w:val="00065E25"/>
    <w:rsid w:val="00066876"/>
    <w:rsid w:val="00067654"/>
    <w:rsid w:val="000678B5"/>
    <w:rsid w:val="00067C42"/>
    <w:rsid w:val="00072D74"/>
    <w:rsid w:val="00073CD2"/>
    <w:rsid w:val="00074D7A"/>
    <w:rsid w:val="00077E1C"/>
    <w:rsid w:val="00080007"/>
    <w:rsid w:val="000805D1"/>
    <w:rsid w:val="0008441F"/>
    <w:rsid w:val="000857CE"/>
    <w:rsid w:val="00086091"/>
    <w:rsid w:val="000867D2"/>
    <w:rsid w:val="00086D5A"/>
    <w:rsid w:val="00090DBF"/>
    <w:rsid w:val="00091EE8"/>
    <w:rsid w:val="00092FED"/>
    <w:rsid w:val="000958F6"/>
    <w:rsid w:val="00095BD5"/>
    <w:rsid w:val="0009624D"/>
    <w:rsid w:val="00096396"/>
    <w:rsid w:val="00097920"/>
    <w:rsid w:val="000A368B"/>
    <w:rsid w:val="000A42D0"/>
    <w:rsid w:val="000A43E5"/>
    <w:rsid w:val="000A491D"/>
    <w:rsid w:val="000A5315"/>
    <w:rsid w:val="000A570E"/>
    <w:rsid w:val="000A5E29"/>
    <w:rsid w:val="000A664F"/>
    <w:rsid w:val="000A7198"/>
    <w:rsid w:val="000A7F18"/>
    <w:rsid w:val="000B099A"/>
    <w:rsid w:val="000B67AE"/>
    <w:rsid w:val="000C1867"/>
    <w:rsid w:val="000C2B35"/>
    <w:rsid w:val="000C60BE"/>
    <w:rsid w:val="000C79E4"/>
    <w:rsid w:val="000C7DF4"/>
    <w:rsid w:val="000D04B8"/>
    <w:rsid w:val="000D285A"/>
    <w:rsid w:val="000D3ED1"/>
    <w:rsid w:val="000D5579"/>
    <w:rsid w:val="000D77C5"/>
    <w:rsid w:val="000D7C46"/>
    <w:rsid w:val="000D7D2A"/>
    <w:rsid w:val="000E0673"/>
    <w:rsid w:val="000E1DD2"/>
    <w:rsid w:val="000E3C44"/>
    <w:rsid w:val="000E4232"/>
    <w:rsid w:val="000E5D82"/>
    <w:rsid w:val="000E7261"/>
    <w:rsid w:val="000E7AAD"/>
    <w:rsid w:val="000F1DC8"/>
    <w:rsid w:val="000F2FB6"/>
    <w:rsid w:val="000F710E"/>
    <w:rsid w:val="000F73CD"/>
    <w:rsid w:val="000F7E5F"/>
    <w:rsid w:val="00100A62"/>
    <w:rsid w:val="00100AE9"/>
    <w:rsid w:val="00102353"/>
    <w:rsid w:val="001024F8"/>
    <w:rsid w:val="001047C7"/>
    <w:rsid w:val="0010567B"/>
    <w:rsid w:val="001059CF"/>
    <w:rsid w:val="00105F87"/>
    <w:rsid w:val="00107D94"/>
    <w:rsid w:val="00110A4B"/>
    <w:rsid w:val="001135ED"/>
    <w:rsid w:val="00114D0D"/>
    <w:rsid w:val="001174DE"/>
    <w:rsid w:val="001206D2"/>
    <w:rsid w:val="00120B71"/>
    <w:rsid w:val="00120C33"/>
    <w:rsid w:val="001218F4"/>
    <w:rsid w:val="00123BA7"/>
    <w:rsid w:val="00124D0B"/>
    <w:rsid w:val="001273FD"/>
    <w:rsid w:val="00130BEC"/>
    <w:rsid w:val="00131701"/>
    <w:rsid w:val="00132790"/>
    <w:rsid w:val="00132DA5"/>
    <w:rsid w:val="00133196"/>
    <w:rsid w:val="001341AC"/>
    <w:rsid w:val="00134A22"/>
    <w:rsid w:val="001356DD"/>
    <w:rsid w:val="00135EB1"/>
    <w:rsid w:val="00136511"/>
    <w:rsid w:val="0013654F"/>
    <w:rsid w:val="001374D4"/>
    <w:rsid w:val="00141A3F"/>
    <w:rsid w:val="00144785"/>
    <w:rsid w:val="00144EAF"/>
    <w:rsid w:val="00150013"/>
    <w:rsid w:val="0015033B"/>
    <w:rsid w:val="00150EC8"/>
    <w:rsid w:val="00152C78"/>
    <w:rsid w:val="0015318E"/>
    <w:rsid w:val="00154937"/>
    <w:rsid w:val="00155E45"/>
    <w:rsid w:val="00156F57"/>
    <w:rsid w:val="00156F89"/>
    <w:rsid w:val="00157319"/>
    <w:rsid w:val="001607D8"/>
    <w:rsid w:val="00163780"/>
    <w:rsid w:val="00164037"/>
    <w:rsid w:val="00165D51"/>
    <w:rsid w:val="001676EE"/>
    <w:rsid w:val="00167D5A"/>
    <w:rsid w:val="00170083"/>
    <w:rsid w:val="00171F50"/>
    <w:rsid w:val="00172130"/>
    <w:rsid w:val="00173163"/>
    <w:rsid w:val="00173584"/>
    <w:rsid w:val="001756FB"/>
    <w:rsid w:val="001762EF"/>
    <w:rsid w:val="00176A52"/>
    <w:rsid w:val="00176CF9"/>
    <w:rsid w:val="00176EED"/>
    <w:rsid w:val="00182EEA"/>
    <w:rsid w:val="00185148"/>
    <w:rsid w:val="001857AF"/>
    <w:rsid w:val="001862E3"/>
    <w:rsid w:val="001918E2"/>
    <w:rsid w:val="001A0338"/>
    <w:rsid w:val="001A0E60"/>
    <w:rsid w:val="001A25AB"/>
    <w:rsid w:val="001A2B49"/>
    <w:rsid w:val="001A3613"/>
    <w:rsid w:val="001A4B3B"/>
    <w:rsid w:val="001A4D15"/>
    <w:rsid w:val="001A717E"/>
    <w:rsid w:val="001B38D8"/>
    <w:rsid w:val="001C00E2"/>
    <w:rsid w:val="001C2F8F"/>
    <w:rsid w:val="001C31B7"/>
    <w:rsid w:val="001C46C2"/>
    <w:rsid w:val="001C536C"/>
    <w:rsid w:val="001C6B67"/>
    <w:rsid w:val="001C6CE2"/>
    <w:rsid w:val="001E1646"/>
    <w:rsid w:val="001E1DFE"/>
    <w:rsid w:val="001E504E"/>
    <w:rsid w:val="001F19D3"/>
    <w:rsid w:val="001F2B25"/>
    <w:rsid w:val="001F35A5"/>
    <w:rsid w:val="001F4F11"/>
    <w:rsid w:val="001F57DA"/>
    <w:rsid w:val="001F6104"/>
    <w:rsid w:val="001F6A62"/>
    <w:rsid w:val="002031E5"/>
    <w:rsid w:val="002051D0"/>
    <w:rsid w:val="00206447"/>
    <w:rsid w:val="002073DC"/>
    <w:rsid w:val="00210E22"/>
    <w:rsid w:val="002111B6"/>
    <w:rsid w:val="00211B1F"/>
    <w:rsid w:val="0021279B"/>
    <w:rsid w:val="00212844"/>
    <w:rsid w:val="0021412E"/>
    <w:rsid w:val="00214496"/>
    <w:rsid w:val="002158C1"/>
    <w:rsid w:val="00217A4A"/>
    <w:rsid w:val="00224164"/>
    <w:rsid w:val="002244CE"/>
    <w:rsid w:val="0022458E"/>
    <w:rsid w:val="00226DA5"/>
    <w:rsid w:val="00227D1D"/>
    <w:rsid w:val="002305C1"/>
    <w:rsid w:val="002310B1"/>
    <w:rsid w:val="002317CF"/>
    <w:rsid w:val="00234790"/>
    <w:rsid w:val="0023739F"/>
    <w:rsid w:val="00242232"/>
    <w:rsid w:val="00247DD1"/>
    <w:rsid w:val="00247FDF"/>
    <w:rsid w:val="00253E04"/>
    <w:rsid w:val="00255B89"/>
    <w:rsid w:val="00260319"/>
    <w:rsid w:val="002603D5"/>
    <w:rsid w:val="002628DB"/>
    <w:rsid w:val="002642C1"/>
    <w:rsid w:val="00266C0E"/>
    <w:rsid w:val="00270F7E"/>
    <w:rsid w:val="00270FEC"/>
    <w:rsid w:val="002764AA"/>
    <w:rsid w:val="002774A6"/>
    <w:rsid w:val="00280DCD"/>
    <w:rsid w:val="00282872"/>
    <w:rsid w:val="0028403E"/>
    <w:rsid w:val="00284FE2"/>
    <w:rsid w:val="0028655D"/>
    <w:rsid w:val="00290503"/>
    <w:rsid w:val="00290843"/>
    <w:rsid w:val="00290C6C"/>
    <w:rsid w:val="00291F19"/>
    <w:rsid w:val="002922E9"/>
    <w:rsid w:val="00294DBE"/>
    <w:rsid w:val="00295157"/>
    <w:rsid w:val="00295250"/>
    <w:rsid w:val="00295A44"/>
    <w:rsid w:val="00295A8E"/>
    <w:rsid w:val="0029666E"/>
    <w:rsid w:val="002972BF"/>
    <w:rsid w:val="00297858"/>
    <w:rsid w:val="00297DE8"/>
    <w:rsid w:val="002A076E"/>
    <w:rsid w:val="002A0AA4"/>
    <w:rsid w:val="002A1C47"/>
    <w:rsid w:val="002A216D"/>
    <w:rsid w:val="002A4E30"/>
    <w:rsid w:val="002A6213"/>
    <w:rsid w:val="002B3BDD"/>
    <w:rsid w:val="002C16EA"/>
    <w:rsid w:val="002C2A3B"/>
    <w:rsid w:val="002C36E5"/>
    <w:rsid w:val="002C497E"/>
    <w:rsid w:val="002C4D46"/>
    <w:rsid w:val="002C691A"/>
    <w:rsid w:val="002D0372"/>
    <w:rsid w:val="002D06FC"/>
    <w:rsid w:val="002D07F0"/>
    <w:rsid w:val="002D24FA"/>
    <w:rsid w:val="002D31E6"/>
    <w:rsid w:val="002D360B"/>
    <w:rsid w:val="002D5C49"/>
    <w:rsid w:val="002D5D8D"/>
    <w:rsid w:val="002D7738"/>
    <w:rsid w:val="002D7FAF"/>
    <w:rsid w:val="002E1F7F"/>
    <w:rsid w:val="002F0821"/>
    <w:rsid w:val="002F225C"/>
    <w:rsid w:val="002F28F4"/>
    <w:rsid w:val="002F3EBE"/>
    <w:rsid w:val="002F432D"/>
    <w:rsid w:val="002F455D"/>
    <w:rsid w:val="002F458B"/>
    <w:rsid w:val="002F47AB"/>
    <w:rsid w:val="002F523A"/>
    <w:rsid w:val="002F73D7"/>
    <w:rsid w:val="002F7E22"/>
    <w:rsid w:val="00300739"/>
    <w:rsid w:val="00300DCE"/>
    <w:rsid w:val="003037F8"/>
    <w:rsid w:val="0030565C"/>
    <w:rsid w:val="0030657A"/>
    <w:rsid w:val="00306819"/>
    <w:rsid w:val="0030698D"/>
    <w:rsid w:val="00310530"/>
    <w:rsid w:val="003173E1"/>
    <w:rsid w:val="00321705"/>
    <w:rsid w:val="003265EE"/>
    <w:rsid w:val="00326FA3"/>
    <w:rsid w:val="003270C2"/>
    <w:rsid w:val="0033179F"/>
    <w:rsid w:val="00332C02"/>
    <w:rsid w:val="00333970"/>
    <w:rsid w:val="00334EBA"/>
    <w:rsid w:val="00335DE4"/>
    <w:rsid w:val="003371B4"/>
    <w:rsid w:val="00341F32"/>
    <w:rsid w:val="0034253E"/>
    <w:rsid w:val="00342DB0"/>
    <w:rsid w:val="00344A8B"/>
    <w:rsid w:val="00346C9D"/>
    <w:rsid w:val="003479C7"/>
    <w:rsid w:val="00350A11"/>
    <w:rsid w:val="00351293"/>
    <w:rsid w:val="00351531"/>
    <w:rsid w:val="00351DAA"/>
    <w:rsid w:val="003546E9"/>
    <w:rsid w:val="003547F1"/>
    <w:rsid w:val="00354C3E"/>
    <w:rsid w:val="0035504C"/>
    <w:rsid w:val="00356369"/>
    <w:rsid w:val="003573E3"/>
    <w:rsid w:val="00357CB6"/>
    <w:rsid w:val="00360B14"/>
    <w:rsid w:val="00361EBE"/>
    <w:rsid w:val="003624CD"/>
    <w:rsid w:val="003631A7"/>
    <w:rsid w:val="003642C4"/>
    <w:rsid w:val="003645D3"/>
    <w:rsid w:val="0037288D"/>
    <w:rsid w:val="00373236"/>
    <w:rsid w:val="0038256D"/>
    <w:rsid w:val="003843AC"/>
    <w:rsid w:val="00385FA0"/>
    <w:rsid w:val="00391382"/>
    <w:rsid w:val="003915F0"/>
    <w:rsid w:val="00394096"/>
    <w:rsid w:val="0039710B"/>
    <w:rsid w:val="003972E1"/>
    <w:rsid w:val="003A0506"/>
    <w:rsid w:val="003A0F92"/>
    <w:rsid w:val="003A1499"/>
    <w:rsid w:val="003A3383"/>
    <w:rsid w:val="003A49EE"/>
    <w:rsid w:val="003A5D17"/>
    <w:rsid w:val="003B02C8"/>
    <w:rsid w:val="003B03F4"/>
    <w:rsid w:val="003B19B1"/>
    <w:rsid w:val="003B26E1"/>
    <w:rsid w:val="003B2F30"/>
    <w:rsid w:val="003B43B5"/>
    <w:rsid w:val="003B4701"/>
    <w:rsid w:val="003B5668"/>
    <w:rsid w:val="003B571C"/>
    <w:rsid w:val="003B5E47"/>
    <w:rsid w:val="003C1465"/>
    <w:rsid w:val="003C1A92"/>
    <w:rsid w:val="003C3496"/>
    <w:rsid w:val="003C3846"/>
    <w:rsid w:val="003C507C"/>
    <w:rsid w:val="003C7712"/>
    <w:rsid w:val="003D0AF1"/>
    <w:rsid w:val="003D1980"/>
    <w:rsid w:val="003D5281"/>
    <w:rsid w:val="003D56D0"/>
    <w:rsid w:val="003D5855"/>
    <w:rsid w:val="003D730A"/>
    <w:rsid w:val="003E1713"/>
    <w:rsid w:val="003E2FB4"/>
    <w:rsid w:val="003E4AF1"/>
    <w:rsid w:val="003E61BF"/>
    <w:rsid w:val="003E76FC"/>
    <w:rsid w:val="003E7901"/>
    <w:rsid w:val="003F11EF"/>
    <w:rsid w:val="003F3C4D"/>
    <w:rsid w:val="003F44D7"/>
    <w:rsid w:val="003F665B"/>
    <w:rsid w:val="003F7378"/>
    <w:rsid w:val="00400174"/>
    <w:rsid w:val="00401628"/>
    <w:rsid w:val="00402A3C"/>
    <w:rsid w:val="004030F7"/>
    <w:rsid w:val="004043DB"/>
    <w:rsid w:val="004061B6"/>
    <w:rsid w:val="00406322"/>
    <w:rsid w:val="00407090"/>
    <w:rsid w:val="004073E7"/>
    <w:rsid w:val="00410287"/>
    <w:rsid w:val="00415757"/>
    <w:rsid w:val="00416DD2"/>
    <w:rsid w:val="00420001"/>
    <w:rsid w:val="00423704"/>
    <w:rsid w:val="0042373E"/>
    <w:rsid w:val="00423789"/>
    <w:rsid w:val="0042421F"/>
    <w:rsid w:val="00427666"/>
    <w:rsid w:val="00430D1B"/>
    <w:rsid w:val="00431736"/>
    <w:rsid w:val="004348E7"/>
    <w:rsid w:val="00434994"/>
    <w:rsid w:val="0043792A"/>
    <w:rsid w:val="004417C3"/>
    <w:rsid w:val="004423DA"/>
    <w:rsid w:val="00443B7D"/>
    <w:rsid w:val="00444CFE"/>
    <w:rsid w:val="00444E4E"/>
    <w:rsid w:val="004454E2"/>
    <w:rsid w:val="004462B1"/>
    <w:rsid w:val="004513AF"/>
    <w:rsid w:val="004528C2"/>
    <w:rsid w:val="0045315F"/>
    <w:rsid w:val="00453D54"/>
    <w:rsid w:val="0045507C"/>
    <w:rsid w:val="00460610"/>
    <w:rsid w:val="00460EB6"/>
    <w:rsid w:val="0046116D"/>
    <w:rsid w:val="0046209F"/>
    <w:rsid w:val="004735A0"/>
    <w:rsid w:val="004745D1"/>
    <w:rsid w:val="0047689E"/>
    <w:rsid w:val="00480817"/>
    <w:rsid w:val="0048104A"/>
    <w:rsid w:val="00481189"/>
    <w:rsid w:val="0048334E"/>
    <w:rsid w:val="00483DBB"/>
    <w:rsid w:val="0049262E"/>
    <w:rsid w:val="00493238"/>
    <w:rsid w:val="004967B6"/>
    <w:rsid w:val="004A1DD3"/>
    <w:rsid w:val="004A2125"/>
    <w:rsid w:val="004A25AD"/>
    <w:rsid w:val="004A487E"/>
    <w:rsid w:val="004A5461"/>
    <w:rsid w:val="004A651A"/>
    <w:rsid w:val="004A67F9"/>
    <w:rsid w:val="004B0A1A"/>
    <w:rsid w:val="004B0DEB"/>
    <w:rsid w:val="004B0F03"/>
    <w:rsid w:val="004B31BC"/>
    <w:rsid w:val="004B5A64"/>
    <w:rsid w:val="004B72E6"/>
    <w:rsid w:val="004C0348"/>
    <w:rsid w:val="004C11C2"/>
    <w:rsid w:val="004C3530"/>
    <w:rsid w:val="004C35ED"/>
    <w:rsid w:val="004C3F1D"/>
    <w:rsid w:val="004C63DA"/>
    <w:rsid w:val="004C6824"/>
    <w:rsid w:val="004D19EF"/>
    <w:rsid w:val="004D37E5"/>
    <w:rsid w:val="004D5770"/>
    <w:rsid w:val="004D5DCA"/>
    <w:rsid w:val="004D7259"/>
    <w:rsid w:val="004D7883"/>
    <w:rsid w:val="004E05BE"/>
    <w:rsid w:val="004E0C74"/>
    <w:rsid w:val="004E2C10"/>
    <w:rsid w:val="004E33EB"/>
    <w:rsid w:val="004E592A"/>
    <w:rsid w:val="004E6CD0"/>
    <w:rsid w:val="004E7B1D"/>
    <w:rsid w:val="004F0377"/>
    <w:rsid w:val="004F1080"/>
    <w:rsid w:val="004F35FB"/>
    <w:rsid w:val="004F3D39"/>
    <w:rsid w:val="004F3EA9"/>
    <w:rsid w:val="004F42F9"/>
    <w:rsid w:val="004F59F0"/>
    <w:rsid w:val="00502069"/>
    <w:rsid w:val="00502183"/>
    <w:rsid w:val="005031A2"/>
    <w:rsid w:val="005033B0"/>
    <w:rsid w:val="00505977"/>
    <w:rsid w:val="00506349"/>
    <w:rsid w:val="005068DB"/>
    <w:rsid w:val="005073F2"/>
    <w:rsid w:val="005105E1"/>
    <w:rsid w:val="005108DC"/>
    <w:rsid w:val="00512B88"/>
    <w:rsid w:val="00513DC4"/>
    <w:rsid w:val="00516C44"/>
    <w:rsid w:val="005177D6"/>
    <w:rsid w:val="005229BB"/>
    <w:rsid w:val="00523F57"/>
    <w:rsid w:val="005264A8"/>
    <w:rsid w:val="00526CE8"/>
    <w:rsid w:val="00530DFE"/>
    <w:rsid w:val="00531076"/>
    <w:rsid w:val="00533874"/>
    <w:rsid w:val="00534C0E"/>
    <w:rsid w:val="00534CBB"/>
    <w:rsid w:val="005359E9"/>
    <w:rsid w:val="00540DE7"/>
    <w:rsid w:val="00543E7B"/>
    <w:rsid w:val="00546B6B"/>
    <w:rsid w:val="00547FBE"/>
    <w:rsid w:val="005533EB"/>
    <w:rsid w:val="00553EF4"/>
    <w:rsid w:val="005540CB"/>
    <w:rsid w:val="00554E55"/>
    <w:rsid w:val="005559E6"/>
    <w:rsid w:val="0055660B"/>
    <w:rsid w:val="005607BD"/>
    <w:rsid w:val="00564850"/>
    <w:rsid w:val="00565FED"/>
    <w:rsid w:val="00566275"/>
    <w:rsid w:val="00566423"/>
    <w:rsid w:val="005669F3"/>
    <w:rsid w:val="00570088"/>
    <w:rsid w:val="00572889"/>
    <w:rsid w:val="0057296E"/>
    <w:rsid w:val="00574C80"/>
    <w:rsid w:val="005754F7"/>
    <w:rsid w:val="00575E00"/>
    <w:rsid w:val="005814B0"/>
    <w:rsid w:val="0058216E"/>
    <w:rsid w:val="00584B7B"/>
    <w:rsid w:val="00587502"/>
    <w:rsid w:val="00590660"/>
    <w:rsid w:val="00592E0E"/>
    <w:rsid w:val="00593E05"/>
    <w:rsid w:val="0059594F"/>
    <w:rsid w:val="00595C95"/>
    <w:rsid w:val="005A03BF"/>
    <w:rsid w:val="005A1ECB"/>
    <w:rsid w:val="005A1FCD"/>
    <w:rsid w:val="005A2CCA"/>
    <w:rsid w:val="005A36E3"/>
    <w:rsid w:val="005A4AAB"/>
    <w:rsid w:val="005A4F95"/>
    <w:rsid w:val="005A58F1"/>
    <w:rsid w:val="005A5D7E"/>
    <w:rsid w:val="005A770B"/>
    <w:rsid w:val="005A78A0"/>
    <w:rsid w:val="005B040D"/>
    <w:rsid w:val="005B1394"/>
    <w:rsid w:val="005B1875"/>
    <w:rsid w:val="005B1CA7"/>
    <w:rsid w:val="005B244F"/>
    <w:rsid w:val="005B2C3E"/>
    <w:rsid w:val="005B2CA4"/>
    <w:rsid w:val="005B2D2A"/>
    <w:rsid w:val="005B32B3"/>
    <w:rsid w:val="005B36CD"/>
    <w:rsid w:val="005B6FD9"/>
    <w:rsid w:val="005C084B"/>
    <w:rsid w:val="005C3D27"/>
    <w:rsid w:val="005C3D81"/>
    <w:rsid w:val="005C567B"/>
    <w:rsid w:val="005C5745"/>
    <w:rsid w:val="005C5F75"/>
    <w:rsid w:val="005C6EC3"/>
    <w:rsid w:val="005D0B04"/>
    <w:rsid w:val="005D239B"/>
    <w:rsid w:val="005D37DE"/>
    <w:rsid w:val="005D3D2A"/>
    <w:rsid w:val="005D4FF6"/>
    <w:rsid w:val="005D6350"/>
    <w:rsid w:val="005D7719"/>
    <w:rsid w:val="005E35C4"/>
    <w:rsid w:val="005E3730"/>
    <w:rsid w:val="005E3EFA"/>
    <w:rsid w:val="005E3F5A"/>
    <w:rsid w:val="005E467B"/>
    <w:rsid w:val="005E486A"/>
    <w:rsid w:val="005E4E85"/>
    <w:rsid w:val="005E6B70"/>
    <w:rsid w:val="005F1266"/>
    <w:rsid w:val="005F15AC"/>
    <w:rsid w:val="00601475"/>
    <w:rsid w:val="006017A2"/>
    <w:rsid w:val="0060215A"/>
    <w:rsid w:val="0060486E"/>
    <w:rsid w:val="00604CB0"/>
    <w:rsid w:val="00605967"/>
    <w:rsid w:val="00607A15"/>
    <w:rsid w:val="0061155F"/>
    <w:rsid w:val="00611DFD"/>
    <w:rsid w:val="00617DE1"/>
    <w:rsid w:val="00620B00"/>
    <w:rsid w:val="00620B91"/>
    <w:rsid w:val="00621D43"/>
    <w:rsid w:val="006234D2"/>
    <w:rsid w:val="0062464F"/>
    <w:rsid w:val="006249B7"/>
    <w:rsid w:val="0062549C"/>
    <w:rsid w:val="006302BB"/>
    <w:rsid w:val="00630FCE"/>
    <w:rsid w:val="00631B29"/>
    <w:rsid w:val="00635487"/>
    <w:rsid w:val="0064021C"/>
    <w:rsid w:val="006406E3"/>
    <w:rsid w:val="0064336F"/>
    <w:rsid w:val="006435F7"/>
    <w:rsid w:val="00644B59"/>
    <w:rsid w:val="00647CCF"/>
    <w:rsid w:val="00650542"/>
    <w:rsid w:val="0065054A"/>
    <w:rsid w:val="00653037"/>
    <w:rsid w:val="00654B84"/>
    <w:rsid w:val="00654D06"/>
    <w:rsid w:val="0066018F"/>
    <w:rsid w:val="00662AB8"/>
    <w:rsid w:val="006634A1"/>
    <w:rsid w:val="006644CD"/>
    <w:rsid w:val="00666F78"/>
    <w:rsid w:val="00667077"/>
    <w:rsid w:val="00667B79"/>
    <w:rsid w:val="0067162B"/>
    <w:rsid w:val="00676E7B"/>
    <w:rsid w:val="00676EDB"/>
    <w:rsid w:val="00682848"/>
    <w:rsid w:val="00683F64"/>
    <w:rsid w:val="0068405D"/>
    <w:rsid w:val="00684186"/>
    <w:rsid w:val="0068517D"/>
    <w:rsid w:val="00690445"/>
    <w:rsid w:val="00691788"/>
    <w:rsid w:val="00692D1E"/>
    <w:rsid w:val="006931E8"/>
    <w:rsid w:val="0069354E"/>
    <w:rsid w:val="00693B9B"/>
    <w:rsid w:val="00696F2C"/>
    <w:rsid w:val="006A0556"/>
    <w:rsid w:val="006A0B04"/>
    <w:rsid w:val="006A108D"/>
    <w:rsid w:val="006A2256"/>
    <w:rsid w:val="006A2D11"/>
    <w:rsid w:val="006A31F4"/>
    <w:rsid w:val="006A67F3"/>
    <w:rsid w:val="006A69E9"/>
    <w:rsid w:val="006A6BF2"/>
    <w:rsid w:val="006B1E9E"/>
    <w:rsid w:val="006B42B5"/>
    <w:rsid w:val="006B5280"/>
    <w:rsid w:val="006B5653"/>
    <w:rsid w:val="006B5DDA"/>
    <w:rsid w:val="006B78DB"/>
    <w:rsid w:val="006B7DCA"/>
    <w:rsid w:val="006C2487"/>
    <w:rsid w:val="006C38AA"/>
    <w:rsid w:val="006C3979"/>
    <w:rsid w:val="006C443E"/>
    <w:rsid w:val="006C4BFE"/>
    <w:rsid w:val="006C7400"/>
    <w:rsid w:val="006C79A8"/>
    <w:rsid w:val="006D0C5E"/>
    <w:rsid w:val="006D15F9"/>
    <w:rsid w:val="006D2240"/>
    <w:rsid w:val="006D55C2"/>
    <w:rsid w:val="006D5EF7"/>
    <w:rsid w:val="006D5F5B"/>
    <w:rsid w:val="006D6C1E"/>
    <w:rsid w:val="006D70D7"/>
    <w:rsid w:val="006E1709"/>
    <w:rsid w:val="006E2FE7"/>
    <w:rsid w:val="006E6742"/>
    <w:rsid w:val="006F0AEA"/>
    <w:rsid w:val="006F1534"/>
    <w:rsid w:val="006F2A11"/>
    <w:rsid w:val="006F4EA9"/>
    <w:rsid w:val="006F698A"/>
    <w:rsid w:val="00701557"/>
    <w:rsid w:val="00701D89"/>
    <w:rsid w:val="007049AC"/>
    <w:rsid w:val="00705DE6"/>
    <w:rsid w:val="00713A21"/>
    <w:rsid w:val="0071589A"/>
    <w:rsid w:val="0071636D"/>
    <w:rsid w:val="0071651D"/>
    <w:rsid w:val="00721F1C"/>
    <w:rsid w:val="0072207F"/>
    <w:rsid w:val="007220A3"/>
    <w:rsid w:val="00723309"/>
    <w:rsid w:val="00725C5C"/>
    <w:rsid w:val="00726817"/>
    <w:rsid w:val="0072703E"/>
    <w:rsid w:val="007304F0"/>
    <w:rsid w:val="00730694"/>
    <w:rsid w:val="00730D3A"/>
    <w:rsid w:val="007316B2"/>
    <w:rsid w:val="007331C5"/>
    <w:rsid w:val="007354F8"/>
    <w:rsid w:val="00741259"/>
    <w:rsid w:val="00744A4E"/>
    <w:rsid w:val="00745031"/>
    <w:rsid w:val="007450DE"/>
    <w:rsid w:val="00745D68"/>
    <w:rsid w:val="00746CAE"/>
    <w:rsid w:val="00746F8D"/>
    <w:rsid w:val="00747762"/>
    <w:rsid w:val="007530CF"/>
    <w:rsid w:val="007534B1"/>
    <w:rsid w:val="00753968"/>
    <w:rsid w:val="007565F2"/>
    <w:rsid w:val="007631A9"/>
    <w:rsid w:val="00766B6B"/>
    <w:rsid w:val="00767E15"/>
    <w:rsid w:val="007759C5"/>
    <w:rsid w:val="007803D0"/>
    <w:rsid w:val="007807AA"/>
    <w:rsid w:val="007809C4"/>
    <w:rsid w:val="00784BB8"/>
    <w:rsid w:val="00784BD5"/>
    <w:rsid w:val="00784CE5"/>
    <w:rsid w:val="00784D9D"/>
    <w:rsid w:val="00785C17"/>
    <w:rsid w:val="00787221"/>
    <w:rsid w:val="00787EFE"/>
    <w:rsid w:val="0079412E"/>
    <w:rsid w:val="0079461A"/>
    <w:rsid w:val="007958E6"/>
    <w:rsid w:val="00797A2A"/>
    <w:rsid w:val="007A2F90"/>
    <w:rsid w:val="007A3316"/>
    <w:rsid w:val="007A3DFF"/>
    <w:rsid w:val="007A527E"/>
    <w:rsid w:val="007B000C"/>
    <w:rsid w:val="007B1846"/>
    <w:rsid w:val="007B2786"/>
    <w:rsid w:val="007B362B"/>
    <w:rsid w:val="007B4463"/>
    <w:rsid w:val="007B4B61"/>
    <w:rsid w:val="007B5258"/>
    <w:rsid w:val="007B7DD4"/>
    <w:rsid w:val="007C0C2D"/>
    <w:rsid w:val="007C1F6A"/>
    <w:rsid w:val="007C3405"/>
    <w:rsid w:val="007C52D7"/>
    <w:rsid w:val="007D41AC"/>
    <w:rsid w:val="007D4EEF"/>
    <w:rsid w:val="007E0AD9"/>
    <w:rsid w:val="007E4AE0"/>
    <w:rsid w:val="007F2303"/>
    <w:rsid w:val="007F2666"/>
    <w:rsid w:val="007F26CC"/>
    <w:rsid w:val="007F2AFC"/>
    <w:rsid w:val="007F54B5"/>
    <w:rsid w:val="007F5EE4"/>
    <w:rsid w:val="007F72B2"/>
    <w:rsid w:val="00801983"/>
    <w:rsid w:val="00802352"/>
    <w:rsid w:val="00804E70"/>
    <w:rsid w:val="00805173"/>
    <w:rsid w:val="008051A8"/>
    <w:rsid w:val="00806FB4"/>
    <w:rsid w:val="00812360"/>
    <w:rsid w:val="0081423B"/>
    <w:rsid w:val="00814E14"/>
    <w:rsid w:val="008161D2"/>
    <w:rsid w:val="00821FD2"/>
    <w:rsid w:val="00822985"/>
    <w:rsid w:val="00823D2F"/>
    <w:rsid w:val="00825AD5"/>
    <w:rsid w:val="008262AE"/>
    <w:rsid w:val="0082634B"/>
    <w:rsid w:val="008269FE"/>
    <w:rsid w:val="00826F8D"/>
    <w:rsid w:val="00827E97"/>
    <w:rsid w:val="00830896"/>
    <w:rsid w:val="00835E8C"/>
    <w:rsid w:val="00836004"/>
    <w:rsid w:val="008366A1"/>
    <w:rsid w:val="00841A6C"/>
    <w:rsid w:val="008436AE"/>
    <w:rsid w:val="00843E1A"/>
    <w:rsid w:val="0084443C"/>
    <w:rsid w:val="00845803"/>
    <w:rsid w:val="008502B7"/>
    <w:rsid w:val="0085382C"/>
    <w:rsid w:val="00856567"/>
    <w:rsid w:val="008572AB"/>
    <w:rsid w:val="0085756E"/>
    <w:rsid w:val="008604A8"/>
    <w:rsid w:val="008616C9"/>
    <w:rsid w:val="0086536E"/>
    <w:rsid w:val="00866C2B"/>
    <w:rsid w:val="00867E41"/>
    <w:rsid w:val="00870A3A"/>
    <w:rsid w:val="00872258"/>
    <w:rsid w:val="00875313"/>
    <w:rsid w:val="008756D6"/>
    <w:rsid w:val="00877D26"/>
    <w:rsid w:val="00880211"/>
    <w:rsid w:val="008809A3"/>
    <w:rsid w:val="00882BA5"/>
    <w:rsid w:val="00883F18"/>
    <w:rsid w:val="008857DD"/>
    <w:rsid w:val="00885A22"/>
    <w:rsid w:val="00886B23"/>
    <w:rsid w:val="00886B87"/>
    <w:rsid w:val="00891967"/>
    <w:rsid w:val="00891AA2"/>
    <w:rsid w:val="00891FA2"/>
    <w:rsid w:val="00892612"/>
    <w:rsid w:val="00892734"/>
    <w:rsid w:val="0089316F"/>
    <w:rsid w:val="008931B0"/>
    <w:rsid w:val="00894C99"/>
    <w:rsid w:val="00894D7D"/>
    <w:rsid w:val="00896FAC"/>
    <w:rsid w:val="00897D35"/>
    <w:rsid w:val="008A1D10"/>
    <w:rsid w:val="008A2464"/>
    <w:rsid w:val="008A361B"/>
    <w:rsid w:val="008A553C"/>
    <w:rsid w:val="008A5DFA"/>
    <w:rsid w:val="008A6DCB"/>
    <w:rsid w:val="008B114D"/>
    <w:rsid w:val="008B4224"/>
    <w:rsid w:val="008B4806"/>
    <w:rsid w:val="008B631E"/>
    <w:rsid w:val="008B6F28"/>
    <w:rsid w:val="008C097D"/>
    <w:rsid w:val="008C1367"/>
    <w:rsid w:val="008C303F"/>
    <w:rsid w:val="008C50F0"/>
    <w:rsid w:val="008C6701"/>
    <w:rsid w:val="008C6E4E"/>
    <w:rsid w:val="008D0755"/>
    <w:rsid w:val="008D0B58"/>
    <w:rsid w:val="008D3ABC"/>
    <w:rsid w:val="008D4240"/>
    <w:rsid w:val="008D4CE2"/>
    <w:rsid w:val="008D5A46"/>
    <w:rsid w:val="008E04E1"/>
    <w:rsid w:val="008E1786"/>
    <w:rsid w:val="008E1B90"/>
    <w:rsid w:val="008E2A9B"/>
    <w:rsid w:val="008E32E9"/>
    <w:rsid w:val="008E3A01"/>
    <w:rsid w:val="008E4834"/>
    <w:rsid w:val="008E49E7"/>
    <w:rsid w:val="008E4E7E"/>
    <w:rsid w:val="008E5D31"/>
    <w:rsid w:val="008F1C43"/>
    <w:rsid w:val="008F2964"/>
    <w:rsid w:val="008F2FAB"/>
    <w:rsid w:val="008F7EFB"/>
    <w:rsid w:val="00901B52"/>
    <w:rsid w:val="009027BE"/>
    <w:rsid w:val="0090538F"/>
    <w:rsid w:val="009057FF"/>
    <w:rsid w:val="00905F39"/>
    <w:rsid w:val="00906CB9"/>
    <w:rsid w:val="00911DBF"/>
    <w:rsid w:val="009122AE"/>
    <w:rsid w:val="0091398E"/>
    <w:rsid w:val="00915F0E"/>
    <w:rsid w:val="00916941"/>
    <w:rsid w:val="009206E6"/>
    <w:rsid w:val="00921407"/>
    <w:rsid w:val="009230F0"/>
    <w:rsid w:val="00926034"/>
    <w:rsid w:val="0093417E"/>
    <w:rsid w:val="00937910"/>
    <w:rsid w:val="00940497"/>
    <w:rsid w:val="009404B9"/>
    <w:rsid w:val="00945C7E"/>
    <w:rsid w:val="00946987"/>
    <w:rsid w:val="0095242C"/>
    <w:rsid w:val="0095477A"/>
    <w:rsid w:val="00954E85"/>
    <w:rsid w:val="00956816"/>
    <w:rsid w:val="0096053F"/>
    <w:rsid w:val="00961748"/>
    <w:rsid w:val="009620E7"/>
    <w:rsid w:val="00963BEF"/>
    <w:rsid w:val="00964258"/>
    <w:rsid w:val="00970D21"/>
    <w:rsid w:val="00971B2C"/>
    <w:rsid w:val="00974723"/>
    <w:rsid w:val="0097613D"/>
    <w:rsid w:val="009761E3"/>
    <w:rsid w:val="00976258"/>
    <w:rsid w:val="0097631C"/>
    <w:rsid w:val="0097678E"/>
    <w:rsid w:val="009776F0"/>
    <w:rsid w:val="00977A58"/>
    <w:rsid w:val="009804D7"/>
    <w:rsid w:val="00980D9E"/>
    <w:rsid w:val="00983166"/>
    <w:rsid w:val="00984352"/>
    <w:rsid w:val="00985345"/>
    <w:rsid w:val="00987043"/>
    <w:rsid w:val="00993107"/>
    <w:rsid w:val="0099501E"/>
    <w:rsid w:val="009962CA"/>
    <w:rsid w:val="00996524"/>
    <w:rsid w:val="009A15B5"/>
    <w:rsid w:val="009A2539"/>
    <w:rsid w:val="009A384A"/>
    <w:rsid w:val="009A39E4"/>
    <w:rsid w:val="009A511D"/>
    <w:rsid w:val="009A5296"/>
    <w:rsid w:val="009A5B05"/>
    <w:rsid w:val="009A60B9"/>
    <w:rsid w:val="009A74A9"/>
    <w:rsid w:val="009A7821"/>
    <w:rsid w:val="009B122A"/>
    <w:rsid w:val="009B13DC"/>
    <w:rsid w:val="009B176B"/>
    <w:rsid w:val="009B3515"/>
    <w:rsid w:val="009B6895"/>
    <w:rsid w:val="009B76B1"/>
    <w:rsid w:val="009B7C97"/>
    <w:rsid w:val="009C048D"/>
    <w:rsid w:val="009C1E8C"/>
    <w:rsid w:val="009C208E"/>
    <w:rsid w:val="009C2856"/>
    <w:rsid w:val="009C340D"/>
    <w:rsid w:val="009C68DC"/>
    <w:rsid w:val="009C710C"/>
    <w:rsid w:val="009C771D"/>
    <w:rsid w:val="009C7BF8"/>
    <w:rsid w:val="009D02D9"/>
    <w:rsid w:val="009D1BD1"/>
    <w:rsid w:val="009D475F"/>
    <w:rsid w:val="009D75FD"/>
    <w:rsid w:val="009E2182"/>
    <w:rsid w:val="009E2943"/>
    <w:rsid w:val="009E3CB7"/>
    <w:rsid w:val="009E6F86"/>
    <w:rsid w:val="009E79FF"/>
    <w:rsid w:val="009F2F7F"/>
    <w:rsid w:val="009F5C94"/>
    <w:rsid w:val="009F68E2"/>
    <w:rsid w:val="009F753F"/>
    <w:rsid w:val="009F7B71"/>
    <w:rsid w:val="00A01C9B"/>
    <w:rsid w:val="00A053DC"/>
    <w:rsid w:val="00A0639C"/>
    <w:rsid w:val="00A068F0"/>
    <w:rsid w:val="00A072A9"/>
    <w:rsid w:val="00A0741E"/>
    <w:rsid w:val="00A115F6"/>
    <w:rsid w:val="00A12244"/>
    <w:rsid w:val="00A1256B"/>
    <w:rsid w:val="00A15334"/>
    <w:rsid w:val="00A17BE8"/>
    <w:rsid w:val="00A202C1"/>
    <w:rsid w:val="00A20815"/>
    <w:rsid w:val="00A22DAF"/>
    <w:rsid w:val="00A23DB6"/>
    <w:rsid w:val="00A3261D"/>
    <w:rsid w:val="00A32D30"/>
    <w:rsid w:val="00A34075"/>
    <w:rsid w:val="00A3535D"/>
    <w:rsid w:val="00A35D3B"/>
    <w:rsid w:val="00A35FAC"/>
    <w:rsid w:val="00A36CAD"/>
    <w:rsid w:val="00A36D37"/>
    <w:rsid w:val="00A36F3B"/>
    <w:rsid w:val="00A411A2"/>
    <w:rsid w:val="00A43A73"/>
    <w:rsid w:val="00A504FD"/>
    <w:rsid w:val="00A52815"/>
    <w:rsid w:val="00A538CB"/>
    <w:rsid w:val="00A54490"/>
    <w:rsid w:val="00A606E0"/>
    <w:rsid w:val="00A61189"/>
    <w:rsid w:val="00A62661"/>
    <w:rsid w:val="00A672E3"/>
    <w:rsid w:val="00A67E40"/>
    <w:rsid w:val="00A712E1"/>
    <w:rsid w:val="00A72C32"/>
    <w:rsid w:val="00A72C4D"/>
    <w:rsid w:val="00A73588"/>
    <w:rsid w:val="00A74A6B"/>
    <w:rsid w:val="00A7553E"/>
    <w:rsid w:val="00A76FF3"/>
    <w:rsid w:val="00A83B83"/>
    <w:rsid w:val="00A84C19"/>
    <w:rsid w:val="00A9019C"/>
    <w:rsid w:val="00A92C76"/>
    <w:rsid w:val="00A931CC"/>
    <w:rsid w:val="00A960BE"/>
    <w:rsid w:val="00A96AF4"/>
    <w:rsid w:val="00AA23AF"/>
    <w:rsid w:val="00AA2C37"/>
    <w:rsid w:val="00AA322C"/>
    <w:rsid w:val="00AA5BF4"/>
    <w:rsid w:val="00AA654B"/>
    <w:rsid w:val="00AB0AE3"/>
    <w:rsid w:val="00AB1FAB"/>
    <w:rsid w:val="00AB3189"/>
    <w:rsid w:val="00AB37F8"/>
    <w:rsid w:val="00AB3F3D"/>
    <w:rsid w:val="00AB57CD"/>
    <w:rsid w:val="00AB5CFF"/>
    <w:rsid w:val="00AC1E2B"/>
    <w:rsid w:val="00AC2DC4"/>
    <w:rsid w:val="00AC4561"/>
    <w:rsid w:val="00AC486F"/>
    <w:rsid w:val="00AC5462"/>
    <w:rsid w:val="00AD1E2A"/>
    <w:rsid w:val="00AD1F60"/>
    <w:rsid w:val="00AD2BB9"/>
    <w:rsid w:val="00AD4323"/>
    <w:rsid w:val="00AD435B"/>
    <w:rsid w:val="00AD5AD1"/>
    <w:rsid w:val="00AE020F"/>
    <w:rsid w:val="00AE1A77"/>
    <w:rsid w:val="00AE208C"/>
    <w:rsid w:val="00AE2976"/>
    <w:rsid w:val="00AE40B1"/>
    <w:rsid w:val="00AE6771"/>
    <w:rsid w:val="00AE679E"/>
    <w:rsid w:val="00AE7BE4"/>
    <w:rsid w:val="00AF1848"/>
    <w:rsid w:val="00AF3F0B"/>
    <w:rsid w:val="00AF424A"/>
    <w:rsid w:val="00AF452E"/>
    <w:rsid w:val="00AF4738"/>
    <w:rsid w:val="00AF79DD"/>
    <w:rsid w:val="00B00117"/>
    <w:rsid w:val="00B00716"/>
    <w:rsid w:val="00B0459E"/>
    <w:rsid w:val="00B04F88"/>
    <w:rsid w:val="00B05A42"/>
    <w:rsid w:val="00B07AFC"/>
    <w:rsid w:val="00B106FA"/>
    <w:rsid w:val="00B11CFA"/>
    <w:rsid w:val="00B14470"/>
    <w:rsid w:val="00B15A73"/>
    <w:rsid w:val="00B16503"/>
    <w:rsid w:val="00B17E15"/>
    <w:rsid w:val="00B20977"/>
    <w:rsid w:val="00B21067"/>
    <w:rsid w:val="00B2174E"/>
    <w:rsid w:val="00B23224"/>
    <w:rsid w:val="00B23F7B"/>
    <w:rsid w:val="00B2523C"/>
    <w:rsid w:val="00B27CBF"/>
    <w:rsid w:val="00B30BF8"/>
    <w:rsid w:val="00B31076"/>
    <w:rsid w:val="00B3501C"/>
    <w:rsid w:val="00B36134"/>
    <w:rsid w:val="00B36629"/>
    <w:rsid w:val="00B3786F"/>
    <w:rsid w:val="00B41128"/>
    <w:rsid w:val="00B4166B"/>
    <w:rsid w:val="00B42247"/>
    <w:rsid w:val="00B42996"/>
    <w:rsid w:val="00B44DCA"/>
    <w:rsid w:val="00B4628D"/>
    <w:rsid w:val="00B50307"/>
    <w:rsid w:val="00B50533"/>
    <w:rsid w:val="00B5548E"/>
    <w:rsid w:val="00B6132A"/>
    <w:rsid w:val="00B61E43"/>
    <w:rsid w:val="00B62016"/>
    <w:rsid w:val="00B620C7"/>
    <w:rsid w:val="00B6229E"/>
    <w:rsid w:val="00B62737"/>
    <w:rsid w:val="00B6363F"/>
    <w:rsid w:val="00B6377C"/>
    <w:rsid w:val="00B63E09"/>
    <w:rsid w:val="00B652A9"/>
    <w:rsid w:val="00B665F9"/>
    <w:rsid w:val="00B6724F"/>
    <w:rsid w:val="00B7073B"/>
    <w:rsid w:val="00B74804"/>
    <w:rsid w:val="00B75DD6"/>
    <w:rsid w:val="00B75F3B"/>
    <w:rsid w:val="00B8014B"/>
    <w:rsid w:val="00B82AE6"/>
    <w:rsid w:val="00B82C20"/>
    <w:rsid w:val="00B83858"/>
    <w:rsid w:val="00B84BEE"/>
    <w:rsid w:val="00B84ECC"/>
    <w:rsid w:val="00B85759"/>
    <w:rsid w:val="00B869DD"/>
    <w:rsid w:val="00B87302"/>
    <w:rsid w:val="00B87E39"/>
    <w:rsid w:val="00B91292"/>
    <w:rsid w:val="00B94BE2"/>
    <w:rsid w:val="00B96FF3"/>
    <w:rsid w:val="00B9738D"/>
    <w:rsid w:val="00BA185E"/>
    <w:rsid w:val="00BA2182"/>
    <w:rsid w:val="00BA31E6"/>
    <w:rsid w:val="00BB3966"/>
    <w:rsid w:val="00BB41DD"/>
    <w:rsid w:val="00BB4513"/>
    <w:rsid w:val="00BB455C"/>
    <w:rsid w:val="00BB4C30"/>
    <w:rsid w:val="00BB74B0"/>
    <w:rsid w:val="00BB7BFC"/>
    <w:rsid w:val="00BB7DEA"/>
    <w:rsid w:val="00BC2150"/>
    <w:rsid w:val="00BC7960"/>
    <w:rsid w:val="00BD083E"/>
    <w:rsid w:val="00BD1236"/>
    <w:rsid w:val="00BD170B"/>
    <w:rsid w:val="00BD3C1C"/>
    <w:rsid w:val="00BD532E"/>
    <w:rsid w:val="00BD66E3"/>
    <w:rsid w:val="00BD6C2E"/>
    <w:rsid w:val="00BE0A90"/>
    <w:rsid w:val="00BE226F"/>
    <w:rsid w:val="00BE2CD3"/>
    <w:rsid w:val="00BE3231"/>
    <w:rsid w:val="00BE4248"/>
    <w:rsid w:val="00BE47C0"/>
    <w:rsid w:val="00BE6341"/>
    <w:rsid w:val="00BE6C30"/>
    <w:rsid w:val="00BF0008"/>
    <w:rsid w:val="00BF08A3"/>
    <w:rsid w:val="00BF211E"/>
    <w:rsid w:val="00BF23EF"/>
    <w:rsid w:val="00BF58BD"/>
    <w:rsid w:val="00C010EB"/>
    <w:rsid w:val="00C05E82"/>
    <w:rsid w:val="00C0670A"/>
    <w:rsid w:val="00C07A4F"/>
    <w:rsid w:val="00C10F15"/>
    <w:rsid w:val="00C11D8D"/>
    <w:rsid w:val="00C1310D"/>
    <w:rsid w:val="00C13CA1"/>
    <w:rsid w:val="00C143D9"/>
    <w:rsid w:val="00C14F9A"/>
    <w:rsid w:val="00C15B01"/>
    <w:rsid w:val="00C15FCD"/>
    <w:rsid w:val="00C16E3C"/>
    <w:rsid w:val="00C179DD"/>
    <w:rsid w:val="00C17AA0"/>
    <w:rsid w:val="00C203AB"/>
    <w:rsid w:val="00C20BAB"/>
    <w:rsid w:val="00C248EF"/>
    <w:rsid w:val="00C25187"/>
    <w:rsid w:val="00C26051"/>
    <w:rsid w:val="00C2646D"/>
    <w:rsid w:val="00C27E8E"/>
    <w:rsid w:val="00C321E1"/>
    <w:rsid w:val="00C36D7B"/>
    <w:rsid w:val="00C37F38"/>
    <w:rsid w:val="00C41412"/>
    <w:rsid w:val="00C4498E"/>
    <w:rsid w:val="00C4569E"/>
    <w:rsid w:val="00C46D55"/>
    <w:rsid w:val="00C52AF9"/>
    <w:rsid w:val="00C52C82"/>
    <w:rsid w:val="00C52CE4"/>
    <w:rsid w:val="00C54181"/>
    <w:rsid w:val="00C54422"/>
    <w:rsid w:val="00C57995"/>
    <w:rsid w:val="00C602AE"/>
    <w:rsid w:val="00C62EF9"/>
    <w:rsid w:val="00C63E82"/>
    <w:rsid w:val="00C65BAF"/>
    <w:rsid w:val="00C66C5B"/>
    <w:rsid w:val="00C70076"/>
    <w:rsid w:val="00C703BF"/>
    <w:rsid w:val="00C70F37"/>
    <w:rsid w:val="00C71A05"/>
    <w:rsid w:val="00C756B7"/>
    <w:rsid w:val="00C75FB4"/>
    <w:rsid w:val="00C76B82"/>
    <w:rsid w:val="00C77550"/>
    <w:rsid w:val="00C804AE"/>
    <w:rsid w:val="00C823A7"/>
    <w:rsid w:val="00C834BE"/>
    <w:rsid w:val="00C8506E"/>
    <w:rsid w:val="00C8550F"/>
    <w:rsid w:val="00C8561F"/>
    <w:rsid w:val="00C85A53"/>
    <w:rsid w:val="00C908A8"/>
    <w:rsid w:val="00C9169B"/>
    <w:rsid w:val="00C9169E"/>
    <w:rsid w:val="00C91F41"/>
    <w:rsid w:val="00C94904"/>
    <w:rsid w:val="00C96C65"/>
    <w:rsid w:val="00C97A11"/>
    <w:rsid w:val="00CA09C3"/>
    <w:rsid w:val="00CA13DA"/>
    <w:rsid w:val="00CA1551"/>
    <w:rsid w:val="00CA15A1"/>
    <w:rsid w:val="00CA182D"/>
    <w:rsid w:val="00CA275A"/>
    <w:rsid w:val="00CA4154"/>
    <w:rsid w:val="00CA5FC7"/>
    <w:rsid w:val="00CA74BD"/>
    <w:rsid w:val="00CB2F96"/>
    <w:rsid w:val="00CB30C3"/>
    <w:rsid w:val="00CB3C10"/>
    <w:rsid w:val="00CB6F8F"/>
    <w:rsid w:val="00CB725D"/>
    <w:rsid w:val="00CB797E"/>
    <w:rsid w:val="00CC28E6"/>
    <w:rsid w:val="00CC3DDC"/>
    <w:rsid w:val="00CC3F08"/>
    <w:rsid w:val="00CC478E"/>
    <w:rsid w:val="00CC7B42"/>
    <w:rsid w:val="00CD2124"/>
    <w:rsid w:val="00CD2888"/>
    <w:rsid w:val="00CD2F06"/>
    <w:rsid w:val="00CE187D"/>
    <w:rsid w:val="00CE22D8"/>
    <w:rsid w:val="00CE3272"/>
    <w:rsid w:val="00CE48A0"/>
    <w:rsid w:val="00CE6166"/>
    <w:rsid w:val="00CE65DB"/>
    <w:rsid w:val="00CE6634"/>
    <w:rsid w:val="00CF0B30"/>
    <w:rsid w:val="00CF1854"/>
    <w:rsid w:val="00CF3CD5"/>
    <w:rsid w:val="00CF4108"/>
    <w:rsid w:val="00D00FEB"/>
    <w:rsid w:val="00D02BE2"/>
    <w:rsid w:val="00D056DD"/>
    <w:rsid w:val="00D059A6"/>
    <w:rsid w:val="00D06850"/>
    <w:rsid w:val="00D06F98"/>
    <w:rsid w:val="00D06FAF"/>
    <w:rsid w:val="00D07130"/>
    <w:rsid w:val="00D07182"/>
    <w:rsid w:val="00D07D65"/>
    <w:rsid w:val="00D11B4E"/>
    <w:rsid w:val="00D13802"/>
    <w:rsid w:val="00D227A5"/>
    <w:rsid w:val="00D23B81"/>
    <w:rsid w:val="00D24B79"/>
    <w:rsid w:val="00D2546F"/>
    <w:rsid w:val="00D277CB"/>
    <w:rsid w:val="00D30F9A"/>
    <w:rsid w:val="00D32326"/>
    <w:rsid w:val="00D341E9"/>
    <w:rsid w:val="00D35EC9"/>
    <w:rsid w:val="00D439C6"/>
    <w:rsid w:val="00D45ACE"/>
    <w:rsid w:val="00D46891"/>
    <w:rsid w:val="00D47258"/>
    <w:rsid w:val="00D479E6"/>
    <w:rsid w:val="00D505A5"/>
    <w:rsid w:val="00D60502"/>
    <w:rsid w:val="00D61BEF"/>
    <w:rsid w:val="00D62631"/>
    <w:rsid w:val="00D63031"/>
    <w:rsid w:val="00D65448"/>
    <w:rsid w:val="00D666DA"/>
    <w:rsid w:val="00D6684D"/>
    <w:rsid w:val="00D66FF0"/>
    <w:rsid w:val="00D70382"/>
    <w:rsid w:val="00D7509B"/>
    <w:rsid w:val="00D75A20"/>
    <w:rsid w:val="00D76E03"/>
    <w:rsid w:val="00D76F2D"/>
    <w:rsid w:val="00D779E9"/>
    <w:rsid w:val="00D81D74"/>
    <w:rsid w:val="00D82602"/>
    <w:rsid w:val="00D9045F"/>
    <w:rsid w:val="00D91562"/>
    <w:rsid w:val="00D92B3F"/>
    <w:rsid w:val="00D9501A"/>
    <w:rsid w:val="00D951E8"/>
    <w:rsid w:val="00D95A3B"/>
    <w:rsid w:val="00DA0F2B"/>
    <w:rsid w:val="00DA3F61"/>
    <w:rsid w:val="00DA5357"/>
    <w:rsid w:val="00DA5762"/>
    <w:rsid w:val="00DB0DA2"/>
    <w:rsid w:val="00DB1242"/>
    <w:rsid w:val="00DB20B0"/>
    <w:rsid w:val="00DB3E61"/>
    <w:rsid w:val="00DB4123"/>
    <w:rsid w:val="00DB6292"/>
    <w:rsid w:val="00DB7C4F"/>
    <w:rsid w:val="00DB7DA7"/>
    <w:rsid w:val="00DC0B31"/>
    <w:rsid w:val="00DC0E2D"/>
    <w:rsid w:val="00DC1292"/>
    <w:rsid w:val="00DC2741"/>
    <w:rsid w:val="00DC5512"/>
    <w:rsid w:val="00DC5623"/>
    <w:rsid w:val="00DC7973"/>
    <w:rsid w:val="00DD1AEA"/>
    <w:rsid w:val="00DD2446"/>
    <w:rsid w:val="00DD26C8"/>
    <w:rsid w:val="00DD3929"/>
    <w:rsid w:val="00DD3BFB"/>
    <w:rsid w:val="00DD4A4E"/>
    <w:rsid w:val="00DD5F69"/>
    <w:rsid w:val="00DD7081"/>
    <w:rsid w:val="00DD7795"/>
    <w:rsid w:val="00DE043B"/>
    <w:rsid w:val="00DE1827"/>
    <w:rsid w:val="00DE39DA"/>
    <w:rsid w:val="00DE6437"/>
    <w:rsid w:val="00DE6DF9"/>
    <w:rsid w:val="00DE71DC"/>
    <w:rsid w:val="00DE76B7"/>
    <w:rsid w:val="00DE7F66"/>
    <w:rsid w:val="00DF1504"/>
    <w:rsid w:val="00DF4072"/>
    <w:rsid w:val="00DF4379"/>
    <w:rsid w:val="00DF65B9"/>
    <w:rsid w:val="00E000DB"/>
    <w:rsid w:val="00E0023A"/>
    <w:rsid w:val="00E0023E"/>
    <w:rsid w:val="00E00BA0"/>
    <w:rsid w:val="00E0186F"/>
    <w:rsid w:val="00E03859"/>
    <w:rsid w:val="00E03EA3"/>
    <w:rsid w:val="00E04D16"/>
    <w:rsid w:val="00E10719"/>
    <w:rsid w:val="00E127A3"/>
    <w:rsid w:val="00E2424D"/>
    <w:rsid w:val="00E24DDA"/>
    <w:rsid w:val="00E253AD"/>
    <w:rsid w:val="00E26812"/>
    <w:rsid w:val="00E2726C"/>
    <w:rsid w:val="00E305E7"/>
    <w:rsid w:val="00E306C7"/>
    <w:rsid w:val="00E30BDE"/>
    <w:rsid w:val="00E31D4D"/>
    <w:rsid w:val="00E322D0"/>
    <w:rsid w:val="00E34CEF"/>
    <w:rsid w:val="00E3550A"/>
    <w:rsid w:val="00E36E8F"/>
    <w:rsid w:val="00E417F8"/>
    <w:rsid w:val="00E42DEF"/>
    <w:rsid w:val="00E4353B"/>
    <w:rsid w:val="00E436F3"/>
    <w:rsid w:val="00E43C02"/>
    <w:rsid w:val="00E4668E"/>
    <w:rsid w:val="00E50A13"/>
    <w:rsid w:val="00E5320E"/>
    <w:rsid w:val="00E53B1C"/>
    <w:rsid w:val="00E56B65"/>
    <w:rsid w:val="00E5765F"/>
    <w:rsid w:val="00E57C41"/>
    <w:rsid w:val="00E60EC4"/>
    <w:rsid w:val="00E611B8"/>
    <w:rsid w:val="00E65520"/>
    <w:rsid w:val="00E65BE5"/>
    <w:rsid w:val="00E66853"/>
    <w:rsid w:val="00E67900"/>
    <w:rsid w:val="00E70E3F"/>
    <w:rsid w:val="00E70FCE"/>
    <w:rsid w:val="00E738F1"/>
    <w:rsid w:val="00E74956"/>
    <w:rsid w:val="00E74F76"/>
    <w:rsid w:val="00E75631"/>
    <w:rsid w:val="00E808ED"/>
    <w:rsid w:val="00E815E4"/>
    <w:rsid w:val="00E8238F"/>
    <w:rsid w:val="00E842C7"/>
    <w:rsid w:val="00E84D8E"/>
    <w:rsid w:val="00E8529A"/>
    <w:rsid w:val="00E85BFD"/>
    <w:rsid w:val="00E87C5B"/>
    <w:rsid w:val="00E906C9"/>
    <w:rsid w:val="00E93DBD"/>
    <w:rsid w:val="00E94FF9"/>
    <w:rsid w:val="00E954E8"/>
    <w:rsid w:val="00E96D2B"/>
    <w:rsid w:val="00EA05CC"/>
    <w:rsid w:val="00EA0660"/>
    <w:rsid w:val="00EA09A7"/>
    <w:rsid w:val="00EA11F9"/>
    <w:rsid w:val="00EA1C05"/>
    <w:rsid w:val="00EA1D85"/>
    <w:rsid w:val="00EA21D6"/>
    <w:rsid w:val="00EA2A24"/>
    <w:rsid w:val="00EA2F7C"/>
    <w:rsid w:val="00EA35FD"/>
    <w:rsid w:val="00EA5B24"/>
    <w:rsid w:val="00EA6F02"/>
    <w:rsid w:val="00EB1504"/>
    <w:rsid w:val="00EB2A87"/>
    <w:rsid w:val="00EB4348"/>
    <w:rsid w:val="00EB519B"/>
    <w:rsid w:val="00EC01BE"/>
    <w:rsid w:val="00EC0EC9"/>
    <w:rsid w:val="00EC11D4"/>
    <w:rsid w:val="00EC1561"/>
    <w:rsid w:val="00EC6BE2"/>
    <w:rsid w:val="00ED03ED"/>
    <w:rsid w:val="00ED04F1"/>
    <w:rsid w:val="00ED1D67"/>
    <w:rsid w:val="00ED21A1"/>
    <w:rsid w:val="00ED3439"/>
    <w:rsid w:val="00ED533A"/>
    <w:rsid w:val="00ED63C5"/>
    <w:rsid w:val="00ED670B"/>
    <w:rsid w:val="00ED7445"/>
    <w:rsid w:val="00EE0E0A"/>
    <w:rsid w:val="00EE17D3"/>
    <w:rsid w:val="00EE1803"/>
    <w:rsid w:val="00EE2307"/>
    <w:rsid w:val="00EE2324"/>
    <w:rsid w:val="00EE27B6"/>
    <w:rsid w:val="00EE41A3"/>
    <w:rsid w:val="00EE55B0"/>
    <w:rsid w:val="00EE5633"/>
    <w:rsid w:val="00EE6D56"/>
    <w:rsid w:val="00EF2A46"/>
    <w:rsid w:val="00EF35FA"/>
    <w:rsid w:val="00EF3E14"/>
    <w:rsid w:val="00EF53FC"/>
    <w:rsid w:val="00EF7E18"/>
    <w:rsid w:val="00F0071F"/>
    <w:rsid w:val="00F01D7F"/>
    <w:rsid w:val="00F020A2"/>
    <w:rsid w:val="00F028FF"/>
    <w:rsid w:val="00F02B41"/>
    <w:rsid w:val="00F06C00"/>
    <w:rsid w:val="00F06F45"/>
    <w:rsid w:val="00F071CC"/>
    <w:rsid w:val="00F116DF"/>
    <w:rsid w:val="00F12BFC"/>
    <w:rsid w:val="00F13C53"/>
    <w:rsid w:val="00F14E9A"/>
    <w:rsid w:val="00F14F60"/>
    <w:rsid w:val="00F15BB4"/>
    <w:rsid w:val="00F15C11"/>
    <w:rsid w:val="00F16A1E"/>
    <w:rsid w:val="00F226A5"/>
    <w:rsid w:val="00F241E9"/>
    <w:rsid w:val="00F24DCE"/>
    <w:rsid w:val="00F2520C"/>
    <w:rsid w:val="00F253D8"/>
    <w:rsid w:val="00F274B0"/>
    <w:rsid w:val="00F27709"/>
    <w:rsid w:val="00F32345"/>
    <w:rsid w:val="00F32948"/>
    <w:rsid w:val="00F33439"/>
    <w:rsid w:val="00F36C86"/>
    <w:rsid w:val="00F417FE"/>
    <w:rsid w:val="00F42AC5"/>
    <w:rsid w:val="00F43068"/>
    <w:rsid w:val="00F43461"/>
    <w:rsid w:val="00F443EE"/>
    <w:rsid w:val="00F447B7"/>
    <w:rsid w:val="00F46C28"/>
    <w:rsid w:val="00F51E02"/>
    <w:rsid w:val="00F53462"/>
    <w:rsid w:val="00F535DD"/>
    <w:rsid w:val="00F53751"/>
    <w:rsid w:val="00F53D61"/>
    <w:rsid w:val="00F55004"/>
    <w:rsid w:val="00F559A5"/>
    <w:rsid w:val="00F56345"/>
    <w:rsid w:val="00F60BAD"/>
    <w:rsid w:val="00F67031"/>
    <w:rsid w:val="00F71A95"/>
    <w:rsid w:val="00F7343F"/>
    <w:rsid w:val="00F745BF"/>
    <w:rsid w:val="00F75FAF"/>
    <w:rsid w:val="00F812D6"/>
    <w:rsid w:val="00F820AD"/>
    <w:rsid w:val="00F822DF"/>
    <w:rsid w:val="00F92299"/>
    <w:rsid w:val="00F92C14"/>
    <w:rsid w:val="00F93D50"/>
    <w:rsid w:val="00F95EDF"/>
    <w:rsid w:val="00F97152"/>
    <w:rsid w:val="00FA24D6"/>
    <w:rsid w:val="00FA3320"/>
    <w:rsid w:val="00FA3A2B"/>
    <w:rsid w:val="00FA4C42"/>
    <w:rsid w:val="00FA5949"/>
    <w:rsid w:val="00FB02C6"/>
    <w:rsid w:val="00FB19E0"/>
    <w:rsid w:val="00FB3B11"/>
    <w:rsid w:val="00FB46F1"/>
    <w:rsid w:val="00FB46FA"/>
    <w:rsid w:val="00FB4AA8"/>
    <w:rsid w:val="00FB4B46"/>
    <w:rsid w:val="00FB4B98"/>
    <w:rsid w:val="00FB4F7F"/>
    <w:rsid w:val="00FB5B4D"/>
    <w:rsid w:val="00FB7AEC"/>
    <w:rsid w:val="00FB7F80"/>
    <w:rsid w:val="00FC09C2"/>
    <w:rsid w:val="00FC28DD"/>
    <w:rsid w:val="00FC609C"/>
    <w:rsid w:val="00FC7285"/>
    <w:rsid w:val="00FC7361"/>
    <w:rsid w:val="00FD11A0"/>
    <w:rsid w:val="00FD183C"/>
    <w:rsid w:val="00FD1966"/>
    <w:rsid w:val="00FD1B85"/>
    <w:rsid w:val="00FD5450"/>
    <w:rsid w:val="00FD6221"/>
    <w:rsid w:val="00FD72D9"/>
    <w:rsid w:val="00FD7829"/>
    <w:rsid w:val="00FE0977"/>
    <w:rsid w:val="00FE1E2E"/>
    <w:rsid w:val="00FE20C7"/>
    <w:rsid w:val="00FF00AE"/>
    <w:rsid w:val="00FF0FC7"/>
    <w:rsid w:val="00FF1229"/>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styleId="Mencinsinresolver">
    <w:name w:val="Unresolved Mention"/>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389350256">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8141278">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1237234">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0504">
      <w:bodyDiv w:val="1"/>
      <w:marLeft w:val="0"/>
      <w:marRight w:val="0"/>
      <w:marTop w:val="0"/>
      <w:marBottom w:val="0"/>
      <w:divBdr>
        <w:top w:val="none" w:sz="0" w:space="0" w:color="auto"/>
        <w:left w:val="none" w:sz="0" w:space="0" w:color="auto"/>
        <w:bottom w:val="none" w:sz="0" w:space="0" w:color="auto"/>
        <w:right w:val="none" w:sz="0" w:space="0" w:color="auto"/>
      </w:divBdr>
    </w:div>
    <w:div w:id="1445808071">
      <w:bodyDiv w:val="1"/>
      <w:marLeft w:val="0"/>
      <w:marRight w:val="0"/>
      <w:marTop w:val="0"/>
      <w:marBottom w:val="0"/>
      <w:divBdr>
        <w:top w:val="none" w:sz="0" w:space="0" w:color="auto"/>
        <w:left w:val="none" w:sz="0" w:space="0" w:color="auto"/>
        <w:bottom w:val="none" w:sz="0" w:space="0" w:color="auto"/>
        <w:right w:val="none" w:sz="0" w:space="0" w:color="auto"/>
      </w:divBdr>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3509">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02586929">
      <w:bodyDiv w:val="1"/>
      <w:marLeft w:val="0"/>
      <w:marRight w:val="0"/>
      <w:marTop w:val="0"/>
      <w:marBottom w:val="0"/>
      <w:divBdr>
        <w:top w:val="none" w:sz="0" w:space="0" w:color="auto"/>
        <w:left w:val="none" w:sz="0" w:space="0" w:color="auto"/>
        <w:bottom w:val="none" w:sz="0" w:space="0" w:color="auto"/>
        <w:right w:val="none" w:sz="0" w:space="0" w:color="auto"/>
      </w:divBdr>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A0CD72-8649-4CFC-9E94-821F09B5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7293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8601</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2018-05-03T12:12:00Z</cp:lastPrinted>
  <dcterms:created xsi:type="dcterms:W3CDTF">2018-05-03T13:05:00Z</dcterms:created>
  <dcterms:modified xsi:type="dcterms:W3CDTF">2018-05-03T13:05:00Z</dcterms:modified>
</cp:coreProperties>
</file>