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B17C4D" w14:textId="77777777" w:rsidR="0048560C" w:rsidRPr="00D3052A" w:rsidRDefault="0048560C" w:rsidP="0048560C">
      <w:pPr>
        <w:pStyle w:val="Ttulo"/>
        <w:jc w:val="center"/>
        <w:rPr>
          <w:rFonts w:ascii="Verdana" w:eastAsia="Verdana" w:hAnsi="Verdana" w:cs="Verdana"/>
          <w:b/>
          <w:sz w:val="32"/>
          <w:szCs w:val="32"/>
        </w:rPr>
      </w:pPr>
      <w:r w:rsidRPr="00D3052A">
        <w:rPr>
          <w:rFonts w:ascii="Verdana" w:eastAsia="Verdana" w:hAnsi="Verdana" w:cs="Verdana"/>
          <w:b/>
          <w:sz w:val="32"/>
          <w:szCs w:val="32"/>
        </w:rPr>
        <w:t xml:space="preserve">INFORME CNO </w:t>
      </w:r>
      <w:r>
        <w:rPr>
          <w:rFonts w:ascii="Verdana" w:eastAsia="Verdana" w:hAnsi="Verdana" w:cs="Verdana"/>
          <w:b/>
          <w:sz w:val="32"/>
          <w:szCs w:val="32"/>
        </w:rPr>
        <w:t>635</w:t>
      </w:r>
    </w:p>
    <w:p w14:paraId="74FA6039" w14:textId="77777777" w:rsidR="0048560C" w:rsidRPr="00D3052A" w:rsidRDefault="0048560C" w:rsidP="0048560C">
      <w:pPr>
        <w:jc w:val="both"/>
        <w:rPr>
          <w:rFonts w:ascii="Verdana" w:eastAsia="Verdana" w:hAnsi="Verdana" w:cs="Verdana"/>
        </w:rPr>
      </w:pPr>
    </w:p>
    <w:p w14:paraId="444A6B22" w14:textId="77777777" w:rsidR="0048560C" w:rsidRPr="005254DF" w:rsidRDefault="0048560C" w:rsidP="0048560C">
      <w:pPr>
        <w:pStyle w:val="Encabezadodemensaje"/>
        <w:rPr>
          <w:rFonts w:ascii="Verdana" w:eastAsia="Verdana" w:hAnsi="Verdana"/>
          <w:sz w:val="22"/>
          <w:szCs w:val="22"/>
        </w:rPr>
      </w:pPr>
      <w:r w:rsidRPr="005254DF">
        <w:rPr>
          <w:rFonts w:ascii="Verdana" w:eastAsia="Verdana" w:hAnsi="Verdana"/>
          <w:sz w:val="22"/>
          <w:szCs w:val="22"/>
        </w:rPr>
        <w:t xml:space="preserve">Fecha: </w:t>
      </w:r>
      <w:r>
        <w:rPr>
          <w:rFonts w:ascii="Verdana" w:eastAsia="Verdana" w:hAnsi="Verdana"/>
          <w:sz w:val="22"/>
          <w:szCs w:val="22"/>
        </w:rPr>
        <w:t>mayo 6</w:t>
      </w:r>
      <w:r w:rsidRPr="005254DF">
        <w:rPr>
          <w:rFonts w:ascii="Verdana" w:eastAsia="Verdana" w:hAnsi="Verdana"/>
          <w:sz w:val="22"/>
          <w:szCs w:val="22"/>
        </w:rPr>
        <w:t xml:space="preserve"> de 2021.</w:t>
      </w:r>
    </w:p>
    <w:p w14:paraId="75FCDE13" w14:textId="77777777" w:rsidR="0048560C" w:rsidRPr="005254DF" w:rsidRDefault="0048560C" w:rsidP="0048560C">
      <w:pPr>
        <w:jc w:val="both"/>
        <w:rPr>
          <w:rFonts w:ascii="Verdana" w:eastAsia="Verdana" w:hAnsi="Verdana" w:cs="Verdana"/>
        </w:rPr>
      </w:pPr>
    </w:p>
    <w:p w14:paraId="00E0803C" w14:textId="77777777" w:rsidR="0048560C" w:rsidRPr="005254DF" w:rsidRDefault="0048560C" w:rsidP="0048560C">
      <w:pPr>
        <w:pStyle w:val="Ttulo1"/>
        <w:rPr>
          <w:rFonts w:ascii="Verdana" w:eastAsia="Verdana" w:hAnsi="Verdana"/>
          <w:b/>
          <w:bCs/>
          <w:sz w:val="22"/>
          <w:szCs w:val="22"/>
        </w:rPr>
      </w:pPr>
      <w:r w:rsidRPr="005254DF">
        <w:rPr>
          <w:rFonts w:ascii="Verdana" w:eastAsia="Verdana" w:hAnsi="Verdana"/>
          <w:b/>
          <w:bCs/>
          <w:sz w:val="22"/>
          <w:szCs w:val="22"/>
        </w:rPr>
        <w:t>Aspectos Administrativos:</w:t>
      </w:r>
    </w:p>
    <w:p w14:paraId="3FA41EB1" w14:textId="77777777" w:rsidR="0048560C" w:rsidRPr="005254DF" w:rsidRDefault="0048560C" w:rsidP="0048560C">
      <w:pPr>
        <w:rPr>
          <w:rFonts w:ascii="Verdana" w:eastAsia="Verdana" w:hAnsi="Verdana"/>
          <w:lang w:val="es-MX" w:eastAsia="es-ES"/>
        </w:rPr>
      </w:pPr>
    </w:p>
    <w:p w14:paraId="163A3C2E" w14:textId="77777777" w:rsidR="0048560C" w:rsidRPr="00BB5126" w:rsidRDefault="0048560C" w:rsidP="0048560C">
      <w:pPr>
        <w:pStyle w:val="Prrafodelista"/>
        <w:numPr>
          <w:ilvl w:val="0"/>
          <w:numId w:val="1"/>
        </w:numPr>
        <w:jc w:val="both"/>
        <w:rPr>
          <w:rFonts w:ascii="Verdana" w:hAnsi="Verdana"/>
          <w:bCs/>
          <w:sz w:val="22"/>
          <w:szCs w:val="22"/>
        </w:rPr>
      </w:pPr>
      <w:r w:rsidRPr="00BB5126">
        <w:rPr>
          <w:rFonts w:ascii="Verdana" w:hAnsi="Verdana"/>
          <w:bCs/>
          <w:sz w:val="22"/>
          <w:szCs w:val="22"/>
        </w:rPr>
        <w:t>Los grupos de trabajo del Consejo avanzan en el desarrollo de las recomendaciones de cada uno de los temas asignados</w:t>
      </w:r>
      <w:r>
        <w:rPr>
          <w:rFonts w:ascii="Verdana" w:hAnsi="Verdana"/>
          <w:bCs/>
          <w:sz w:val="22"/>
          <w:szCs w:val="22"/>
        </w:rPr>
        <w:t>.</w:t>
      </w:r>
      <w:r w:rsidRPr="00BB5126">
        <w:rPr>
          <w:rFonts w:ascii="Verdana" w:hAnsi="Verdana"/>
          <w:bCs/>
          <w:sz w:val="22"/>
          <w:szCs w:val="22"/>
        </w:rPr>
        <w:t xml:space="preserve"> </w:t>
      </w:r>
    </w:p>
    <w:p w14:paraId="5323616A" w14:textId="77777777" w:rsidR="0048560C" w:rsidRDefault="0048560C" w:rsidP="0048560C">
      <w:pPr>
        <w:jc w:val="both"/>
        <w:rPr>
          <w:rFonts w:ascii="Verdana" w:hAnsi="Verdana"/>
          <w:bCs/>
        </w:rPr>
      </w:pPr>
    </w:p>
    <w:p w14:paraId="0F5CFBE6" w14:textId="77777777" w:rsidR="0048560C" w:rsidRDefault="0048560C" w:rsidP="0048560C">
      <w:pPr>
        <w:jc w:val="both"/>
        <w:rPr>
          <w:rFonts w:ascii="Verdana" w:hAnsi="Verdana"/>
          <w:bCs/>
        </w:rPr>
      </w:pPr>
    </w:p>
    <w:p w14:paraId="7D38589A" w14:textId="77777777" w:rsidR="0048560C" w:rsidRDefault="0048560C" w:rsidP="0048560C">
      <w:pPr>
        <w:jc w:val="both"/>
        <w:rPr>
          <w:rFonts w:ascii="Verdana" w:hAnsi="Verdana"/>
          <w:bCs/>
        </w:rPr>
      </w:pPr>
      <w:r>
        <w:rPr>
          <w:noProof/>
        </w:rPr>
        <w:drawing>
          <wp:inline distT="0" distB="0" distL="0" distR="0" wp14:anchorId="4BC8275B" wp14:editId="589AB323">
            <wp:extent cx="5708650" cy="2997200"/>
            <wp:effectExtent l="0" t="0" r="635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8884" t="17172" r="23486" b="7196"/>
                    <a:stretch/>
                  </pic:blipFill>
                  <pic:spPr bwMode="auto">
                    <a:xfrm>
                      <a:off x="0" y="0"/>
                      <a:ext cx="5708650" cy="2997200"/>
                    </a:xfrm>
                    <a:prstGeom prst="rect">
                      <a:avLst/>
                    </a:prstGeom>
                    <a:ln>
                      <a:noFill/>
                    </a:ln>
                    <a:extLst>
                      <a:ext uri="{53640926-AAD7-44D8-BBD7-CCE9431645EC}">
                        <a14:shadowObscured xmlns:a14="http://schemas.microsoft.com/office/drawing/2010/main"/>
                      </a:ext>
                    </a:extLst>
                  </pic:spPr>
                </pic:pic>
              </a:graphicData>
            </a:graphic>
          </wp:inline>
        </w:drawing>
      </w:r>
    </w:p>
    <w:p w14:paraId="75AC1908" w14:textId="77777777" w:rsidR="0048560C" w:rsidRDefault="0048560C" w:rsidP="0048560C">
      <w:pPr>
        <w:jc w:val="both"/>
        <w:rPr>
          <w:rFonts w:ascii="Verdana" w:hAnsi="Verdana"/>
          <w:bCs/>
        </w:rPr>
      </w:pPr>
    </w:p>
    <w:p w14:paraId="6649494E" w14:textId="77777777" w:rsidR="0048560C" w:rsidRDefault="0048560C" w:rsidP="0048560C">
      <w:pPr>
        <w:jc w:val="both"/>
        <w:rPr>
          <w:rFonts w:ascii="Verdana" w:hAnsi="Verdana"/>
          <w:bCs/>
        </w:rPr>
      </w:pPr>
    </w:p>
    <w:p w14:paraId="248E29DA" w14:textId="77777777" w:rsidR="0048560C" w:rsidRDefault="0048560C" w:rsidP="0048560C">
      <w:pPr>
        <w:pStyle w:val="Prrafodelista"/>
        <w:ind w:left="720"/>
        <w:jc w:val="both"/>
        <w:rPr>
          <w:rFonts w:ascii="Verdana" w:hAnsi="Verdana"/>
          <w:bCs/>
          <w:sz w:val="22"/>
          <w:szCs w:val="22"/>
        </w:rPr>
      </w:pPr>
    </w:p>
    <w:p w14:paraId="7CE854FA" w14:textId="77777777" w:rsidR="0048560C" w:rsidRDefault="0048560C" w:rsidP="0048560C">
      <w:pPr>
        <w:rPr>
          <w:rFonts w:ascii="Verdana" w:hAnsi="Verdana"/>
          <w:bCs/>
          <w:spacing w:val="-20"/>
          <w:lang w:eastAsia="es-ES"/>
        </w:rPr>
      </w:pPr>
    </w:p>
    <w:p w14:paraId="7810F147" w14:textId="77777777" w:rsidR="0048560C" w:rsidRPr="00BB5126" w:rsidRDefault="0048560C" w:rsidP="0048560C">
      <w:pPr>
        <w:pStyle w:val="Prrafodelista"/>
        <w:numPr>
          <w:ilvl w:val="0"/>
          <w:numId w:val="1"/>
        </w:numPr>
        <w:jc w:val="both"/>
        <w:rPr>
          <w:rFonts w:ascii="Verdana" w:hAnsi="Verdana"/>
          <w:bCs/>
          <w:sz w:val="22"/>
          <w:szCs w:val="22"/>
        </w:rPr>
      </w:pPr>
      <w:r w:rsidRPr="00BB5126">
        <w:rPr>
          <w:rFonts w:ascii="Verdana" w:hAnsi="Verdana"/>
          <w:bCs/>
          <w:sz w:val="22"/>
          <w:szCs w:val="22"/>
        </w:rPr>
        <w:t xml:space="preserve">Se </w:t>
      </w:r>
      <w:r>
        <w:rPr>
          <w:rFonts w:ascii="Verdana" w:hAnsi="Verdana"/>
          <w:bCs/>
          <w:sz w:val="22"/>
          <w:szCs w:val="22"/>
        </w:rPr>
        <w:t>re</w:t>
      </w:r>
      <w:r>
        <w:rPr>
          <w:rFonts w:ascii="Verdana" w:hAnsi="Verdana"/>
          <w:sz w:val="22"/>
          <w:szCs w:val="22"/>
          <w:lang w:val="es-MX"/>
        </w:rPr>
        <w:t>aliz</w:t>
      </w:r>
      <w:proofErr w:type="spellStart"/>
      <w:r w:rsidRPr="00BB5126">
        <w:rPr>
          <w:rFonts w:ascii="Verdana" w:hAnsi="Verdana"/>
          <w:bCs/>
          <w:sz w:val="22"/>
          <w:szCs w:val="22"/>
        </w:rPr>
        <w:t>ó</w:t>
      </w:r>
      <w:proofErr w:type="spellEnd"/>
      <w:r w:rsidRPr="00BB5126">
        <w:rPr>
          <w:rFonts w:ascii="Verdana" w:hAnsi="Verdana"/>
          <w:bCs/>
          <w:sz w:val="22"/>
          <w:szCs w:val="22"/>
        </w:rPr>
        <w:t xml:space="preserve"> con éxito</w:t>
      </w:r>
      <w:r>
        <w:rPr>
          <w:rFonts w:ascii="Verdana" w:hAnsi="Verdana"/>
          <w:bCs/>
          <w:sz w:val="22"/>
          <w:szCs w:val="22"/>
        </w:rPr>
        <w:t xml:space="preserve"> l</w:t>
      </w:r>
      <w:r>
        <w:rPr>
          <w:rFonts w:ascii="Verdana" w:hAnsi="Verdana"/>
          <w:sz w:val="22"/>
          <w:szCs w:val="22"/>
          <w:lang w:val="es-MX"/>
        </w:rPr>
        <w:t>a Plenaria de Operadores de Red del CNO, donde se contó con la participación de mas de 90 funcionarios de las empresas. Se abordaron temas como los pronósticos de demanda de energía eléctrica, gestión de activos de distribución, coordinación de mantenimientos de red, restablecimiento en redes de distribución, subestaciones digitales, dispositivos SAEB como soporte a la confiabilidad, elementos de control de flujo de potencia, entre otros. Las presentaciones de la jornada están disponibles en la página web del Consejo y en el espacio de Videos.</w:t>
      </w:r>
    </w:p>
    <w:p w14:paraId="3D0537BD" w14:textId="77777777" w:rsidR="0048560C" w:rsidRPr="00BB5126" w:rsidRDefault="0048560C" w:rsidP="0048560C">
      <w:pPr>
        <w:pStyle w:val="Prrafodelista"/>
        <w:rPr>
          <w:rFonts w:ascii="Verdana" w:hAnsi="Verdana"/>
          <w:bCs/>
          <w:sz w:val="22"/>
          <w:szCs w:val="22"/>
        </w:rPr>
      </w:pPr>
    </w:p>
    <w:p w14:paraId="0C382CBF" w14:textId="77777777" w:rsidR="0048560C" w:rsidRPr="00BB5126" w:rsidRDefault="0048560C" w:rsidP="0048560C">
      <w:pPr>
        <w:pStyle w:val="Prrafodelista"/>
        <w:numPr>
          <w:ilvl w:val="0"/>
          <w:numId w:val="1"/>
        </w:numPr>
        <w:jc w:val="both"/>
        <w:rPr>
          <w:rFonts w:ascii="Verdana" w:hAnsi="Verdana"/>
          <w:bCs/>
          <w:sz w:val="22"/>
          <w:szCs w:val="22"/>
        </w:rPr>
      </w:pPr>
      <w:r>
        <w:rPr>
          <w:rFonts w:ascii="Verdana" w:hAnsi="Verdana"/>
          <w:bCs/>
          <w:sz w:val="22"/>
          <w:szCs w:val="22"/>
        </w:rPr>
        <w:t>En el mes de</w:t>
      </w:r>
      <w:r>
        <w:rPr>
          <w:rFonts w:ascii="Verdana" w:hAnsi="Verdana"/>
          <w:sz w:val="22"/>
          <w:szCs w:val="22"/>
          <w:lang w:val="es-MX"/>
        </w:rPr>
        <w:t xml:space="preserve"> julio del 2021 se llevarán a cabo las Jornadas de Distribución del CNO. Los ejes temáticos de este evento son los siguientes:</w:t>
      </w:r>
    </w:p>
    <w:p w14:paraId="6219621E" w14:textId="77777777" w:rsidR="0048560C" w:rsidRDefault="0048560C" w:rsidP="0048560C">
      <w:pPr>
        <w:jc w:val="both"/>
        <w:rPr>
          <w:rFonts w:ascii="Verdana" w:hAnsi="Verdana"/>
          <w:bCs/>
        </w:rPr>
      </w:pPr>
    </w:p>
    <w:p w14:paraId="02D604B9" w14:textId="77777777" w:rsidR="0048560C" w:rsidRDefault="0048560C" w:rsidP="0048560C">
      <w:pPr>
        <w:pStyle w:val="Prrafodelista"/>
        <w:numPr>
          <w:ilvl w:val="0"/>
          <w:numId w:val="2"/>
        </w:numPr>
        <w:jc w:val="both"/>
        <w:rPr>
          <w:rFonts w:ascii="Verdana" w:hAnsi="Verdana"/>
          <w:sz w:val="22"/>
          <w:szCs w:val="22"/>
          <w:lang w:val="es-MX"/>
        </w:rPr>
      </w:pPr>
      <w:proofErr w:type="spellStart"/>
      <w:r w:rsidRPr="00BB5126">
        <w:rPr>
          <w:rFonts w:ascii="Verdana" w:hAnsi="Verdana"/>
          <w:bCs/>
          <w:sz w:val="22"/>
          <w:szCs w:val="22"/>
        </w:rPr>
        <w:t>Digit</w:t>
      </w:r>
      <w:proofErr w:type="spellEnd"/>
      <w:r w:rsidRPr="00BB5126">
        <w:rPr>
          <w:rFonts w:ascii="Verdana" w:hAnsi="Verdana"/>
          <w:sz w:val="22"/>
          <w:szCs w:val="22"/>
          <w:lang w:val="es-MX"/>
        </w:rPr>
        <w:t>alización de las Redes de Distribución.</w:t>
      </w:r>
    </w:p>
    <w:p w14:paraId="677FEF4B" w14:textId="77777777" w:rsidR="0048560C" w:rsidRDefault="0048560C" w:rsidP="0048560C">
      <w:pPr>
        <w:pStyle w:val="Prrafodelista"/>
        <w:ind w:left="360"/>
        <w:jc w:val="both"/>
        <w:rPr>
          <w:rFonts w:ascii="Verdana" w:hAnsi="Verdana"/>
          <w:sz w:val="22"/>
          <w:szCs w:val="22"/>
          <w:lang w:val="es-MX"/>
        </w:rPr>
      </w:pPr>
    </w:p>
    <w:p w14:paraId="320BF208" w14:textId="77777777" w:rsidR="0048560C" w:rsidRDefault="0048560C" w:rsidP="0048560C">
      <w:pPr>
        <w:pStyle w:val="Prrafodelista"/>
        <w:numPr>
          <w:ilvl w:val="0"/>
          <w:numId w:val="2"/>
        </w:numPr>
        <w:jc w:val="both"/>
        <w:rPr>
          <w:rFonts w:ascii="Verdana" w:hAnsi="Verdana"/>
          <w:sz w:val="22"/>
          <w:szCs w:val="22"/>
          <w:lang w:val="es-MX"/>
        </w:rPr>
      </w:pPr>
      <w:r w:rsidRPr="00BB5126">
        <w:rPr>
          <w:rFonts w:ascii="Verdana" w:hAnsi="Verdana"/>
          <w:sz w:val="22"/>
          <w:szCs w:val="22"/>
          <w:lang w:val="es-MX"/>
        </w:rPr>
        <w:t>Gestión de Activos.</w:t>
      </w:r>
    </w:p>
    <w:p w14:paraId="0F50E8F6" w14:textId="77777777" w:rsidR="0048560C" w:rsidRDefault="0048560C" w:rsidP="0048560C">
      <w:pPr>
        <w:pStyle w:val="Prrafodelista"/>
        <w:ind w:left="360"/>
        <w:jc w:val="both"/>
        <w:rPr>
          <w:rFonts w:ascii="Verdana" w:hAnsi="Verdana"/>
          <w:sz w:val="22"/>
          <w:szCs w:val="22"/>
          <w:lang w:val="es-MX"/>
        </w:rPr>
      </w:pPr>
    </w:p>
    <w:p w14:paraId="2E05E6DB" w14:textId="77777777" w:rsidR="0048560C" w:rsidRDefault="0048560C" w:rsidP="0048560C">
      <w:pPr>
        <w:pStyle w:val="Prrafodelista"/>
        <w:numPr>
          <w:ilvl w:val="0"/>
          <w:numId w:val="2"/>
        </w:numPr>
        <w:jc w:val="both"/>
        <w:rPr>
          <w:rFonts w:ascii="Verdana" w:hAnsi="Verdana"/>
          <w:sz w:val="22"/>
          <w:szCs w:val="22"/>
          <w:lang w:val="es-MX"/>
        </w:rPr>
      </w:pPr>
      <w:r w:rsidRPr="00BB5126">
        <w:rPr>
          <w:rFonts w:ascii="Verdana" w:hAnsi="Verdana"/>
          <w:sz w:val="22"/>
          <w:szCs w:val="22"/>
          <w:lang w:val="es-MX"/>
        </w:rPr>
        <w:lastRenderedPageBreak/>
        <w:t>Planeación y Operación de Redes de Distribución Activas.</w:t>
      </w:r>
    </w:p>
    <w:p w14:paraId="33762FF5" w14:textId="77777777" w:rsidR="0048560C" w:rsidRDefault="0048560C" w:rsidP="0048560C">
      <w:pPr>
        <w:pStyle w:val="Prrafodelista"/>
        <w:ind w:left="360"/>
        <w:jc w:val="both"/>
        <w:rPr>
          <w:rFonts w:ascii="Verdana" w:hAnsi="Verdana"/>
          <w:sz w:val="22"/>
          <w:szCs w:val="22"/>
          <w:lang w:val="es-MX"/>
        </w:rPr>
      </w:pPr>
    </w:p>
    <w:p w14:paraId="581AA005" w14:textId="77777777" w:rsidR="0048560C" w:rsidRPr="00C326A4" w:rsidRDefault="0048560C" w:rsidP="0048560C">
      <w:pPr>
        <w:pStyle w:val="Prrafodelista"/>
        <w:numPr>
          <w:ilvl w:val="0"/>
          <w:numId w:val="2"/>
        </w:numPr>
        <w:jc w:val="both"/>
        <w:rPr>
          <w:rFonts w:ascii="Verdana" w:hAnsi="Verdana"/>
          <w:sz w:val="22"/>
          <w:szCs w:val="22"/>
          <w:lang w:val="es-MX"/>
        </w:rPr>
      </w:pPr>
      <w:r w:rsidRPr="00BB5126">
        <w:rPr>
          <w:rFonts w:ascii="Verdana" w:hAnsi="Verdana"/>
          <w:sz w:val="22"/>
          <w:szCs w:val="22"/>
          <w:lang w:val="es-MX"/>
        </w:rPr>
        <w:t xml:space="preserve">Visión regulatoria de los cambios esperados en las Redes de Distribución Activas. </w:t>
      </w:r>
    </w:p>
    <w:p w14:paraId="1079CDBD" w14:textId="77777777" w:rsidR="0048560C" w:rsidRDefault="0048560C" w:rsidP="0048560C">
      <w:pPr>
        <w:pStyle w:val="Prrafodelista"/>
        <w:rPr>
          <w:rFonts w:ascii="Verdana" w:hAnsi="Verdana"/>
          <w:sz w:val="22"/>
          <w:szCs w:val="22"/>
          <w:lang w:val="es-MX"/>
        </w:rPr>
      </w:pPr>
    </w:p>
    <w:p w14:paraId="2BD6910C" w14:textId="77777777" w:rsidR="0048560C" w:rsidRPr="00BB5126" w:rsidRDefault="0048560C" w:rsidP="0048560C">
      <w:pPr>
        <w:pStyle w:val="Prrafodelista"/>
        <w:numPr>
          <w:ilvl w:val="0"/>
          <w:numId w:val="1"/>
        </w:numPr>
        <w:jc w:val="both"/>
        <w:rPr>
          <w:rFonts w:ascii="Verdana" w:hAnsi="Verdana"/>
          <w:bCs/>
          <w:sz w:val="22"/>
          <w:szCs w:val="22"/>
        </w:rPr>
      </w:pPr>
      <w:r>
        <w:rPr>
          <w:rFonts w:ascii="Verdana" w:hAnsi="Verdana"/>
          <w:sz w:val="22"/>
          <w:szCs w:val="22"/>
          <w:lang w:val="es-MX"/>
        </w:rPr>
        <w:t xml:space="preserve">Con relación a la agenda técnica de la versión 26 del MEM, se confirmó la participación de CurrENT y la Universidad de Manchester. En representación de la organización que aglutina a varias empresas desarrolladoras de tecnologías de red, como los dispositivos controladores de flujo de potencia, los superconductores de alta temperatura y los elementos de monitoreo que permiten límites dinámicos de transferencia, participará </w:t>
      </w:r>
      <w:r w:rsidRPr="00837A19">
        <w:rPr>
          <w:rFonts w:ascii="Verdana" w:hAnsi="Verdana"/>
          <w:sz w:val="22"/>
          <w:szCs w:val="22"/>
          <w:lang w:val="es-MX"/>
        </w:rPr>
        <w:t>Susanne Nies</w:t>
      </w:r>
      <w:r>
        <w:rPr>
          <w:rFonts w:ascii="Verdana" w:hAnsi="Verdana"/>
          <w:sz w:val="22"/>
          <w:szCs w:val="22"/>
          <w:lang w:val="es-MX"/>
        </w:rPr>
        <w:t xml:space="preserve">, directora de Smart Wires en Alemania. Por parte de la Universidad nos acompañará </w:t>
      </w:r>
      <w:r w:rsidRPr="00837A19">
        <w:rPr>
          <w:rFonts w:ascii="Verdana" w:hAnsi="Verdana"/>
          <w:sz w:val="22"/>
          <w:szCs w:val="22"/>
          <w:lang w:val="es-MX"/>
        </w:rPr>
        <w:t>Pierluigi Mancarella</w:t>
      </w:r>
      <w:r>
        <w:rPr>
          <w:rFonts w:ascii="Verdana" w:hAnsi="Verdana"/>
          <w:sz w:val="22"/>
          <w:szCs w:val="22"/>
          <w:lang w:val="es-MX"/>
        </w:rPr>
        <w:t>, experto en temas de flexibilidad y resiliencia en sistemas energéticos y de potencia.</w:t>
      </w:r>
    </w:p>
    <w:p w14:paraId="6187347A" w14:textId="77777777" w:rsidR="0048560C" w:rsidRPr="00BB5126" w:rsidRDefault="0048560C" w:rsidP="0048560C">
      <w:pPr>
        <w:pStyle w:val="Prrafodelista"/>
        <w:rPr>
          <w:rFonts w:ascii="Verdana" w:hAnsi="Verdana"/>
          <w:sz w:val="22"/>
          <w:szCs w:val="22"/>
          <w:lang w:val="es-MX"/>
        </w:rPr>
      </w:pPr>
    </w:p>
    <w:p w14:paraId="1AF5123A" w14:textId="77777777" w:rsidR="0048560C" w:rsidRPr="0047465E" w:rsidRDefault="0048560C" w:rsidP="0048560C">
      <w:pPr>
        <w:jc w:val="both"/>
        <w:rPr>
          <w:rFonts w:ascii="Verdana" w:hAnsi="Verdana"/>
          <w:bCs/>
        </w:rPr>
      </w:pPr>
    </w:p>
    <w:p w14:paraId="46C8EFBF" w14:textId="77777777" w:rsidR="0048560C" w:rsidRPr="005254DF" w:rsidRDefault="0048560C" w:rsidP="0048560C">
      <w:pPr>
        <w:pStyle w:val="Ttulo1"/>
        <w:rPr>
          <w:rFonts w:ascii="Verdana" w:eastAsia="Verdana" w:hAnsi="Verdana"/>
          <w:b/>
          <w:bCs/>
          <w:sz w:val="22"/>
          <w:szCs w:val="22"/>
        </w:rPr>
      </w:pPr>
      <w:r w:rsidRPr="005254DF">
        <w:rPr>
          <w:rFonts w:ascii="Verdana" w:hAnsi="Verdana"/>
          <w:b/>
          <w:bCs/>
          <w:sz w:val="22"/>
          <w:szCs w:val="22"/>
          <w:shd w:val="clear" w:color="auto" w:fill="FFFFFF"/>
        </w:rPr>
        <w:t>A</w:t>
      </w:r>
      <w:r w:rsidRPr="005254DF">
        <w:rPr>
          <w:rFonts w:ascii="Verdana" w:eastAsia="Verdana" w:hAnsi="Verdana"/>
          <w:b/>
          <w:bCs/>
          <w:sz w:val="22"/>
          <w:szCs w:val="22"/>
        </w:rPr>
        <w:t>spectos Técnicos:</w:t>
      </w:r>
    </w:p>
    <w:p w14:paraId="25A24077" w14:textId="77777777" w:rsidR="0048560C" w:rsidRPr="005254DF" w:rsidRDefault="0048560C" w:rsidP="0048560C">
      <w:pPr>
        <w:jc w:val="both"/>
        <w:rPr>
          <w:rFonts w:ascii="Verdana" w:hAnsi="Verdana"/>
          <w:bCs/>
        </w:rPr>
      </w:pPr>
    </w:p>
    <w:p w14:paraId="5C8FD30B" w14:textId="77777777" w:rsidR="0048560C" w:rsidRPr="00BB5126" w:rsidRDefault="0048560C" w:rsidP="0048560C">
      <w:pPr>
        <w:pStyle w:val="Prrafodelista"/>
        <w:numPr>
          <w:ilvl w:val="0"/>
          <w:numId w:val="1"/>
        </w:numPr>
        <w:jc w:val="both"/>
        <w:rPr>
          <w:rFonts w:ascii="Verdana" w:hAnsi="Verdana"/>
          <w:bCs/>
          <w:sz w:val="22"/>
          <w:szCs w:val="22"/>
        </w:rPr>
      </w:pPr>
      <w:r w:rsidRPr="00BB5126">
        <w:rPr>
          <w:rFonts w:ascii="Verdana" w:hAnsi="Verdana"/>
          <w:bCs/>
          <w:sz w:val="22"/>
          <w:szCs w:val="22"/>
        </w:rPr>
        <w:t xml:space="preserve">La UPME publicó la versión preliminar del Plan de Expansión de Referencia Generación y Transmisión 2020-2034. En </w:t>
      </w:r>
      <w:r w:rsidRPr="002F7DD1">
        <w:rPr>
          <w:rFonts w:ascii="Verdana" w:hAnsi="Verdana"/>
          <w:bCs/>
          <w:sz w:val="22"/>
          <w:szCs w:val="22"/>
        </w:rPr>
        <w:t>él</w:t>
      </w:r>
      <w:r w:rsidRPr="00BB5126">
        <w:rPr>
          <w:rFonts w:ascii="Verdana" w:hAnsi="Verdana"/>
          <w:bCs/>
          <w:sz w:val="22"/>
          <w:szCs w:val="22"/>
        </w:rPr>
        <w:t xml:space="preserve"> se plantean varios escenarios de expansión de la matriz de generación de energía eléctrica, se presentan análisis horarios considerando diferentes porcentajes de penetración de fuentes renovables e intermitentes de generación,  se establece el porcentaje de pérdida de</w:t>
      </w:r>
      <w:r>
        <w:rPr>
          <w:rFonts w:ascii="Verdana" w:hAnsi="Verdana"/>
          <w:bCs/>
          <w:sz w:val="22"/>
          <w:szCs w:val="22"/>
        </w:rPr>
        <w:t>l</w:t>
      </w:r>
      <w:r w:rsidRPr="00BB5126">
        <w:rPr>
          <w:rFonts w:ascii="Verdana" w:hAnsi="Verdana"/>
          <w:bCs/>
          <w:sz w:val="22"/>
          <w:szCs w:val="22"/>
        </w:rPr>
        <w:t xml:space="preserve"> volumen útil de cada uno de los embalses del SIN, </w:t>
      </w:r>
      <w:r>
        <w:rPr>
          <w:rFonts w:ascii="Verdana" w:hAnsi="Verdana"/>
          <w:bCs/>
          <w:sz w:val="22"/>
          <w:szCs w:val="22"/>
        </w:rPr>
        <w:t>se v</w:t>
      </w:r>
      <w:r>
        <w:rPr>
          <w:rFonts w:ascii="Verdana" w:hAnsi="Verdana"/>
          <w:sz w:val="22"/>
          <w:szCs w:val="22"/>
          <w:lang w:val="es-MX" w:eastAsia="en-US"/>
        </w:rPr>
        <w:t>alora el impacto de un impuesto a las emisiones de CO</w:t>
      </w:r>
      <w:r w:rsidRPr="00BB5126">
        <w:rPr>
          <w:rFonts w:ascii="Verdana" w:hAnsi="Verdana"/>
          <w:sz w:val="22"/>
          <w:szCs w:val="22"/>
          <w:vertAlign w:val="subscript"/>
          <w:lang w:val="es-MX" w:eastAsia="en-US"/>
        </w:rPr>
        <w:t>2</w:t>
      </w:r>
      <w:r>
        <w:rPr>
          <w:rFonts w:ascii="Verdana" w:hAnsi="Verdana"/>
          <w:sz w:val="22"/>
          <w:szCs w:val="22"/>
          <w:lang w:val="es-MX" w:eastAsia="en-US"/>
        </w:rPr>
        <w:t xml:space="preserve">, </w:t>
      </w:r>
      <w:r w:rsidRPr="00BB5126">
        <w:rPr>
          <w:rFonts w:ascii="Verdana" w:hAnsi="Verdana"/>
          <w:bCs/>
          <w:sz w:val="22"/>
          <w:szCs w:val="22"/>
        </w:rPr>
        <w:t>se recomiendan varias obras a nivel de transmisión en las áreas Caribe, Huila, Valle, Santander y Antioquia, y s</w:t>
      </w:r>
      <w:r>
        <w:rPr>
          <w:rFonts w:ascii="Verdana" w:hAnsi="Verdana"/>
          <w:bCs/>
          <w:sz w:val="22"/>
          <w:szCs w:val="22"/>
        </w:rPr>
        <w:t>e</w:t>
      </w:r>
      <w:r w:rsidRPr="00BB5126">
        <w:rPr>
          <w:rFonts w:ascii="Verdana" w:hAnsi="Verdana"/>
          <w:bCs/>
          <w:sz w:val="22"/>
          <w:szCs w:val="22"/>
        </w:rPr>
        <w:t xml:space="preserve"> sugiere una masificación importante de la tecnología </w:t>
      </w:r>
      <w:proofErr w:type="spellStart"/>
      <w:r w:rsidRPr="00BB5126">
        <w:rPr>
          <w:rFonts w:ascii="Verdana" w:hAnsi="Verdana"/>
          <w:bCs/>
          <w:sz w:val="22"/>
          <w:szCs w:val="22"/>
        </w:rPr>
        <w:t>mSSSC</w:t>
      </w:r>
      <w:proofErr w:type="spellEnd"/>
      <w:r w:rsidRPr="00BB5126">
        <w:rPr>
          <w:rFonts w:ascii="Verdana" w:hAnsi="Verdana"/>
          <w:bCs/>
          <w:sz w:val="22"/>
          <w:szCs w:val="22"/>
        </w:rPr>
        <w:t xml:space="preserve">-modular </w:t>
      </w:r>
      <w:proofErr w:type="spellStart"/>
      <w:r w:rsidRPr="00BB5126">
        <w:rPr>
          <w:rFonts w:ascii="Verdana" w:hAnsi="Verdana"/>
          <w:bCs/>
          <w:sz w:val="22"/>
          <w:szCs w:val="22"/>
        </w:rPr>
        <w:t>Static</w:t>
      </w:r>
      <w:proofErr w:type="spellEnd"/>
      <w:r w:rsidRPr="00BB5126">
        <w:rPr>
          <w:rFonts w:ascii="Verdana" w:hAnsi="Verdana"/>
          <w:bCs/>
          <w:sz w:val="22"/>
          <w:szCs w:val="22"/>
        </w:rPr>
        <w:t xml:space="preserve"> </w:t>
      </w:r>
      <w:proofErr w:type="spellStart"/>
      <w:r w:rsidRPr="00BB5126">
        <w:rPr>
          <w:rFonts w:ascii="Verdana" w:hAnsi="Verdana"/>
          <w:bCs/>
          <w:sz w:val="22"/>
          <w:szCs w:val="22"/>
        </w:rPr>
        <w:t>Synchronous</w:t>
      </w:r>
      <w:proofErr w:type="spellEnd"/>
      <w:r w:rsidRPr="00BB5126">
        <w:rPr>
          <w:rFonts w:ascii="Verdana" w:hAnsi="Verdana"/>
          <w:bCs/>
          <w:sz w:val="22"/>
          <w:szCs w:val="22"/>
        </w:rPr>
        <w:t xml:space="preserve"> Series </w:t>
      </w:r>
      <w:proofErr w:type="spellStart"/>
      <w:r w:rsidRPr="00BB5126">
        <w:rPr>
          <w:rFonts w:ascii="Verdana" w:hAnsi="Verdana"/>
          <w:bCs/>
          <w:sz w:val="22"/>
          <w:szCs w:val="22"/>
        </w:rPr>
        <w:t>Compensator</w:t>
      </w:r>
      <w:proofErr w:type="spellEnd"/>
      <w:r w:rsidRPr="00BB5126">
        <w:rPr>
          <w:rFonts w:ascii="Verdana" w:hAnsi="Verdana"/>
          <w:bCs/>
          <w:sz w:val="22"/>
          <w:szCs w:val="22"/>
        </w:rPr>
        <w:t xml:space="preserve"> como solución de control de flujo de potencia en el SIN.</w:t>
      </w:r>
    </w:p>
    <w:p w14:paraId="14A04795" w14:textId="77777777" w:rsidR="0048560C" w:rsidRPr="002F7DD1" w:rsidRDefault="0048560C" w:rsidP="0048560C">
      <w:pPr>
        <w:pStyle w:val="Prrafodelista"/>
        <w:ind w:left="360"/>
        <w:jc w:val="both"/>
        <w:rPr>
          <w:rFonts w:ascii="Verdana" w:hAnsi="Verdana"/>
          <w:sz w:val="22"/>
          <w:szCs w:val="22"/>
          <w:lang w:val="es-MX"/>
        </w:rPr>
      </w:pPr>
    </w:p>
    <w:p w14:paraId="63E6D8E6" w14:textId="77777777" w:rsidR="0048560C" w:rsidRPr="004C7BE2" w:rsidRDefault="0048560C" w:rsidP="0048560C">
      <w:pPr>
        <w:pStyle w:val="Prrafodelista"/>
        <w:ind w:left="360"/>
        <w:jc w:val="both"/>
        <w:rPr>
          <w:rFonts w:ascii="Verdana" w:hAnsi="Verdana"/>
          <w:bCs/>
          <w:sz w:val="22"/>
          <w:szCs w:val="22"/>
        </w:rPr>
      </w:pPr>
      <w:r>
        <w:rPr>
          <w:rFonts w:ascii="Verdana" w:hAnsi="Verdana"/>
          <w:sz w:val="22"/>
          <w:szCs w:val="22"/>
          <w:lang w:val="es-MX"/>
        </w:rPr>
        <w:t>Si bien la fecha para envío de observaciones al Plan no se modificó por parte de la Unidad (30 de abril del año en curso), la UPME mencionó que estudiará los comentarios que haga el Consejo con posterioridad a dicha fecha. En este sentido, se acordó el envió de los mismos a más tardar el 21 de mayo del 2021.</w:t>
      </w:r>
      <w:r w:rsidRPr="004C7BE2">
        <w:rPr>
          <w:rFonts w:ascii="Verdana" w:hAnsi="Verdana"/>
          <w:sz w:val="22"/>
          <w:szCs w:val="22"/>
          <w:lang w:val="es-MX"/>
        </w:rPr>
        <w:t xml:space="preserve"> </w:t>
      </w:r>
    </w:p>
    <w:p w14:paraId="2A1BCB1E" w14:textId="77777777" w:rsidR="0048560C" w:rsidRPr="00BB5126" w:rsidRDefault="0048560C" w:rsidP="0048560C">
      <w:pPr>
        <w:jc w:val="both"/>
        <w:rPr>
          <w:rFonts w:ascii="Verdana" w:hAnsi="Verdana"/>
          <w:lang w:eastAsia="en-US"/>
        </w:rPr>
      </w:pPr>
    </w:p>
    <w:p w14:paraId="074C1664" w14:textId="77777777" w:rsidR="0048560C" w:rsidRPr="00BB5126" w:rsidRDefault="0048560C" w:rsidP="0048560C">
      <w:pPr>
        <w:pStyle w:val="Prrafodelista"/>
        <w:numPr>
          <w:ilvl w:val="0"/>
          <w:numId w:val="1"/>
        </w:numPr>
        <w:jc w:val="both"/>
        <w:rPr>
          <w:rFonts w:ascii="Verdana" w:hAnsi="Verdana"/>
          <w:sz w:val="22"/>
          <w:szCs w:val="22"/>
          <w:lang w:val="es-MX" w:eastAsia="en-US"/>
        </w:rPr>
      </w:pPr>
      <w:r>
        <w:rPr>
          <w:rFonts w:ascii="Verdana" w:hAnsi="Verdana"/>
          <w:sz w:val="22"/>
          <w:szCs w:val="22"/>
          <w:lang w:eastAsia="en-US"/>
        </w:rPr>
        <w:t>Se publicó l</w:t>
      </w:r>
      <w:r>
        <w:rPr>
          <w:rFonts w:ascii="Verdana" w:hAnsi="Verdana"/>
          <w:sz w:val="22"/>
          <w:szCs w:val="22"/>
          <w:lang w:val="es-MX"/>
        </w:rPr>
        <w:t xml:space="preserve">a </w:t>
      </w:r>
      <w:r>
        <w:rPr>
          <w:rFonts w:ascii="Verdana" w:hAnsi="Verdana"/>
          <w:sz w:val="22"/>
          <w:szCs w:val="22"/>
          <w:lang w:val="es-MX" w:eastAsia="en-US"/>
        </w:rPr>
        <w:t>Circul</w:t>
      </w:r>
      <w:proofErr w:type="spellStart"/>
      <w:r w:rsidRPr="00114DB0">
        <w:rPr>
          <w:rFonts w:ascii="Verdana" w:hAnsi="Verdana"/>
          <w:bCs/>
          <w:sz w:val="22"/>
          <w:szCs w:val="22"/>
        </w:rPr>
        <w:t>a</w:t>
      </w:r>
      <w:r>
        <w:rPr>
          <w:rFonts w:ascii="Verdana" w:hAnsi="Verdana"/>
          <w:bCs/>
          <w:sz w:val="22"/>
          <w:szCs w:val="22"/>
        </w:rPr>
        <w:t>r</w:t>
      </w:r>
      <w:proofErr w:type="spellEnd"/>
      <w:r>
        <w:rPr>
          <w:rFonts w:ascii="Verdana" w:hAnsi="Verdana"/>
          <w:bCs/>
          <w:sz w:val="22"/>
          <w:szCs w:val="22"/>
        </w:rPr>
        <w:t xml:space="preserve"> 68 del Consejo, “</w:t>
      </w:r>
      <w:r w:rsidRPr="00BB5126">
        <w:rPr>
          <w:rFonts w:ascii="Verdana" w:hAnsi="Verdana"/>
          <w:bCs/>
          <w:i/>
          <w:iCs/>
          <w:sz w:val="22"/>
          <w:szCs w:val="22"/>
        </w:rPr>
        <w:t>Reporte a MINENERGÍA de situaciones y contingencias - Paro Nacional</w:t>
      </w:r>
      <w:r>
        <w:rPr>
          <w:rFonts w:ascii="Verdana" w:hAnsi="Verdana"/>
          <w:bCs/>
          <w:sz w:val="22"/>
          <w:szCs w:val="22"/>
        </w:rPr>
        <w:t>”. En ella se informa que,</w:t>
      </w:r>
      <w:r w:rsidRPr="008A76BE">
        <w:rPr>
          <w:rFonts w:ascii="Verdana" w:hAnsi="Verdana"/>
          <w:bCs/>
          <w:sz w:val="22"/>
          <w:szCs w:val="22"/>
        </w:rPr>
        <w:t xml:space="preserve"> con motivo de la activación del estado de alerta debido a la situación de orden público, el Ministerio de Minas y Energía dispuso </w:t>
      </w:r>
      <w:r>
        <w:rPr>
          <w:rFonts w:ascii="Verdana" w:hAnsi="Verdana"/>
          <w:bCs/>
          <w:sz w:val="22"/>
          <w:szCs w:val="22"/>
        </w:rPr>
        <w:t>de un</w:t>
      </w:r>
      <w:r w:rsidRPr="008A76BE">
        <w:rPr>
          <w:rFonts w:ascii="Verdana" w:hAnsi="Verdana"/>
          <w:bCs/>
          <w:sz w:val="22"/>
          <w:szCs w:val="22"/>
        </w:rPr>
        <w:t xml:space="preserve"> enlace para el reporte de situaciones y contingencias</w:t>
      </w:r>
      <w:r>
        <w:rPr>
          <w:rFonts w:ascii="Verdana" w:hAnsi="Verdana"/>
          <w:bCs/>
          <w:sz w:val="22"/>
          <w:szCs w:val="22"/>
        </w:rPr>
        <w:t xml:space="preserve">. La Circular puede ser consultada en la página web del Consejo.   </w:t>
      </w:r>
    </w:p>
    <w:p w14:paraId="0D03C1AA" w14:textId="77777777" w:rsidR="0048560C" w:rsidRPr="00BB5126" w:rsidRDefault="0048560C" w:rsidP="0048560C">
      <w:pPr>
        <w:pStyle w:val="Prrafodelista"/>
        <w:rPr>
          <w:rFonts w:ascii="Verdana" w:hAnsi="Verdana"/>
          <w:sz w:val="22"/>
          <w:szCs w:val="22"/>
          <w:lang w:val="es-MX" w:eastAsia="en-US"/>
        </w:rPr>
      </w:pPr>
    </w:p>
    <w:p w14:paraId="6429473C" w14:textId="77777777" w:rsidR="0048560C" w:rsidRDefault="0048560C" w:rsidP="0048560C">
      <w:pPr>
        <w:pStyle w:val="Prrafodelista"/>
        <w:numPr>
          <w:ilvl w:val="0"/>
          <w:numId w:val="1"/>
        </w:numPr>
        <w:jc w:val="both"/>
        <w:rPr>
          <w:rFonts w:ascii="Verdana" w:hAnsi="Verdana"/>
          <w:sz w:val="22"/>
          <w:szCs w:val="22"/>
          <w:lang w:val="es-MX" w:eastAsia="en-US"/>
        </w:rPr>
      </w:pPr>
      <w:r w:rsidRPr="00694C05">
        <w:rPr>
          <w:rFonts w:ascii="Verdana" w:hAnsi="Verdana"/>
          <w:sz w:val="22"/>
          <w:szCs w:val="22"/>
          <w:lang w:val="es-MX" w:eastAsia="en-US"/>
        </w:rPr>
        <w:t>El grupo de tr</w:t>
      </w:r>
      <w:r w:rsidRPr="00694C05">
        <w:rPr>
          <w:rFonts w:ascii="Verdana" w:hAnsi="Verdana"/>
          <w:bCs/>
          <w:sz w:val="22"/>
          <w:szCs w:val="22"/>
        </w:rPr>
        <w:t xml:space="preserve">abajo conformado por los Subcomités de Plantas-SP y Recursos Energéticos Renovables-SURER vienen trabajando, junto con la Universidad de los Andes, en la construcción de un protocolo para el cálculo y verificación de la Capacidad Efectiva Neta-CEN de plantas solares fotovoltaicas y el reporte de la función/modelo al CND que relaciona la potencia eléctrica con el recurso. </w:t>
      </w:r>
      <w:r>
        <w:rPr>
          <w:rFonts w:ascii="Verdana" w:hAnsi="Verdana"/>
          <w:bCs/>
          <w:sz w:val="22"/>
          <w:szCs w:val="22"/>
        </w:rPr>
        <w:t xml:space="preserve">En el mes de julio del </w:t>
      </w:r>
      <w:r w:rsidRPr="008A76BE">
        <w:rPr>
          <w:rFonts w:ascii="Verdana" w:hAnsi="Verdana"/>
          <w:bCs/>
          <w:sz w:val="22"/>
          <w:szCs w:val="22"/>
        </w:rPr>
        <w:t>a</w:t>
      </w:r>
      <w:r>
        <w:rPr>
          <w:rFonts w:ascii="Verdana" w:hAnsi="Verdana"/>
          <w:bCs/>
          <w:sz w:val="22"/>
          <w:szCs w:val="22"/>
        </w:rPr>
        <w:t>ño en curso se esper</w:t>
      </w:r>
      <w:r w:rsidRPr="008A76BE">
        <w:rPr>
          <w:rFonts w:ascii="Verdana" w:hAnsi="Verdana"/>
          <w:bCs/>
          <w:sz w:val="22"/>
          <w:szCs w:val="22"/>
        </w:rPr>
        <w:t>a</w:t>
      </w:r>
      <w:r>
        <w:rPr>
          <w:rFonts w:ascii="Verdana" w:hAnsi="Verdana"/>
          <w:bCs/>
          <w:sz w:val="22"/>
          <w:szCs w:val="22"/>
        </w:rPr>
        <w:t xml:space="preserve"> present</w:t>
      </w:r>
      <w:r w:rsidRPr="008A76BE">
        <w:rPr>
          <w:rFonts w:ascii="Verdana" w:hAnsi="Verdana"/>
          <w:bCs/>
          <w:sz w:val="22"/>
          <w:szCs w:val="22"/>
        </w:rPr>
        <w:t>a</w:t>
      </w:r>
      <w:r>
        <w:rPr>
          <w:rFonts w:ascii="Verdana" w:hAnsi="Verdana"/>
          <w:bCs/>
          <w:sz w:val="22"/>
          <w:szCs w:val="22"/>
        </w:rPr>
        <w:t xml:space="preserve">r </w:t>
      </w:r>
      <w:r w:rsidRPr="008A76BE">
        <w:rPr>
          <w:rFonts w:ascii="Verdana" w:hAnsi="Verdana"/>
          <w:bCs/>
          <w:sz w:val="22"/>
          <w:szCs w:val="22"/>
        </w:rPr>
        <w:t>a</w:t>
      </w:r>
      <w:r>
        <w:rPr>
          <w:rFonts w:ascii="Verdana" w:hAnsi="Verdana"/>
          <w:bCs/>
          <w:sz w:val="22"/>
          <w:szCs w:val="22"/>
        </w:rPr>
        <w:t>l Consejo los protocolos específicos.</w:t>
      </w:r>
    </w:p>
    <w:p w14:paraId="1E9EB6A5" w14:textId="77777777" w:rsidR="0048560C" w:rsidRPr="00BB5126" w:rsidRDefault="0048560C" w:rsidP="0048560C">
      <w:pPr>
        <w:jc w:val="both"/>
        <w:rPr>
          <w:rFonts w:ascii="Verdana" w:hAnsi="Verdana"/>
          <w:lang w:val="es-MX" w:eastAsia="en-US"/>
        </w:rPr>
      </w:pPr>
    </w:p>
    <w:p w14:paraId="49D1965B" w14:textId="77777777" w:rsidR="0048560C" w:rsidRDefault="0048560C" w:rsidP="0048560C">
      <w:pPr>
        <w:pStyle w:val="Prrafodelista"/>
        <w:numPr>
          <w:ilvl w:val="0"/>
          <w:numId w:val="1"/>
        </w:numPr>
        <w:jc w:val="both"/>
        <w:rPr>
          <w:rFonts w:ascii="Verdana" w:hAnsi="Verdana"/>
          <w:sz w:val="22"/>
          <w:szCs w:val="22"/>
          <w:lang w:val="es-MX" w:eastAsia="en-US"/>
        </w:rPr>
      </w:pPr>
      <w:r w:rsidRPr="00BB5126">
        <w:rPr>
          <w:rFonts w:ascii="Verdana" w:hAnsi="Verdana"/>
          <w:sz w:val="22"/>
          <w:szCs w:val="22"/>
          <w:lang w:val="es-MX" w:eastAsia="en-US"/>
        </w:rPr>
        <w:t xml:space="preserve">El grupo de trabajo de Desbalances Energéticos del SIN viene trabajando la revisión y propuesta de </w:t>
      </w:r>
      <w:r>
        <w:rPr>
          <w:rFonts w:ascii="Verdana" w:hAnsi="Verdana"/>
          <w:sz w:val="22"/>
          <w:szCs w:val="22"/>
          <w:lang w:val="es-MX" w:eastAsia="en-US"/>
        </w:rPr>
        <w:t xml:space="preserve">una </w:t>
      </w:r>
      <w:r w:rsidRPr="00BB5126">
        <w:rPr>
          <w:rFonts w:ascii="Verdana" w:hAnsi="Verdana"/>
          <w:sz w:val="22"/>
          <w:szCs w:val="22"/>
          <w:lang w:val="es-MX" w:eastAsia="en-US"/>
        </w:rPr>
        <w:t xml:space="preserve">metodología para la estimación de dichos desbalances. </w:t>
      </w:r>
    </w:p>
    <w:p w14:paraId="088206AA" w14:textId="77777777" w:rsidR="0048560C" w:rsidRPr="00DC675C" w:rsidRDefault="0048560C" w:rsidP="0048560C">
      <w:pPr>
        <w:pStyle w:val="Prrafodelista"/>
        <w:rPr>
          <w:rFonts w:ascii="Verdana" w:hAnsi="Verdana"/>
          <w:sz w:val="22"/>
          <w:szCs w:val="22"/>
          <w:lang w:val="es-MX" w:eastAsia="en-US"/>
        </w:rPr>
      </w:pPr>
    </w:p>
    <w:p w14:paraId="7F4666EB" w14:textId="77777777" w:rsidR="0048560C" w:rsidRPr="00BB5126" w:rsidRDefault="0048560C" w:rsidP="0048560C">
      <w:pPr>
        <w:pStyle w:val="Prrafodelista"/>
        <w:ind w:left="502"/>
        <w:jc w:val="both"/>
        <w:rPr>
          <w:rFonts w:ascii="Verdana" w:hAnsi="Verdana"/>
          <w:sz w:val="22"/>
          <w:szCs w:val="22"/>
          <w:lang w:val="es-MX" w:eastAsia="en-US"/>
        </w:rPr>
      </w:pPr>
    </w:p>
    <w:p w14:paraId="4AE74A4B" w14:textId="77777777" w:rsidR="0048560C" w:rsidRDefault="0048560C" w:rsidP="0048560C">
      <w:pPr>
        <w:pStyle w:val="Prrafodelista"/>
        <w:numPr>
          <w:ilvl w:val="0"/>
          <w:numId w:val="1"/>
        </w:numPr>
        <w:jc w:val="both"/>
        <w:rPr>
          <w:rFonts w:ascii="Verdana" w:hAnsi="Verdana"/>
          <w:sz w:val="22"/>
          <w:szCs w:val="22"/>
          <w:lang w:val="es-MX" w:eastAsia="en-US"/>
        </w:rPr>
      </w:pPr>
      <w:r w:rsidRPr="008C0775">
        <w:rPr>
          <w:rFonts w:ascii="Verdana" w:hAnsi="Verdana"/>
          <w:sz w:val="22"/>
          <w:szCs w:val="22"/>
          <w:lang w:val="es-MX" w:eastAsia="en-US"/>
        </w:rPr>
        <w:t xml:space="preserve">El pasado </w:t>
      </w:r>
      <w:r w:rsidRPr="00BB5126">
        <w:rPr>
          <w:rFonts w:ascii="Verdana" w:hAnsi="Verdana"/>
          <w:sz w:val="22"/>
          <w:szCs w:val="22"/>
          <w:lang w:val="es-MX" w:eastAsia="en-US"/>
        </w:rPr>
        <w:t>15 de abril de</w:t>
      </w:r>
      <w:r w:rsidRPr="008C0775">
        <w:rPr>
          <w:rFonts w:ascii="Verdana" w:hAnsi="Verdana"/>
          <w:sz w:val="22"/>
          <w:szCs w:val="22"/>
          <w:lang w:val="es-MX" w:eastAsia="en-US"/>
        </w:rPr>
        <w:t>l</w:t>
      </w:r>
      <w:r w:rsidRPr="00BB5126">
        <w:rPr>
          <w:rFonts w:ascii="Verdana" w:hAnsi="Verdana"/>
          <w:sz w:val="22"/>
          <w:szCs w:val="22"/>
          <w:lang w:val="es-MX" w:eastAsia="en-US"/>
        </w:rPr>
        <w:t xml:space="preserve"> 2021</w:t>
      </w:r>
      <w:r w:rsidRPr="008C0775">
        <w:rPr>
          <w:rFonts w:ascii="Verdana" w:hAnsi="Verdana"/>
          <w:sz w:val="22"/>
          <w:szCs w:val="22"/>
          <w:lang w:val="es-MX" w:eastAsia="en-US"/>
        </w:rPr>
        <w:t xml:space="preserve"> se llevó a cabo una reunión </w:t>
      </w:r>
      <w:r>
        <w:rPr>
          <w:rFonts w:ascii="Verdana" w:hAnsi="Verdana"/>
          <w:sz w:val="22"/>
          <w:szCs w:val="22"/>
          <w:lang w:val="es-MX" w:eastAsia="en-US"/>
        </w:rPr>
        <w:t>en la que</w:t>
      </w:r>
      <w:r w:rsidRPr="00BB5126">
        <w:rPr>
          <w:rFonts w:ascii="Verdana" w:hAnsi="Verdana"/>
          <w:sz w:val="22"/>
          <w:szCs w:val="22"/>
          <w:lang w:val="es-MX" w:eastAsia="en-US"/>
        </w:rPr>
        <w:t xml:space="preserve"> se </w:t>
      </w:r>
      <w:r>
        <w:rPr>
          <w:rFonts w:ascii="Verdana" w:hAnsi="Verdana"/>
          <w:sz w:val="22"/>
          <w:szCs w:val="22"/>
          <w:lang w:val="es-MX" w:eastAsia="en-US"/>
        </w:rPr>
        <w:t xml:space="preserve">discutieron los alcances de </w:t>
      </w:r>
      <w:r w:rsidRPr="00BB5126">
        <w:rPr>
          <w:rFonts w:ascii="Verdana" w:hAnsi="Verdana"/>
          <w:sz w:val="22"/>
          <w:szCs w:val="22"/>
          <w:lang w:val="es-MX" w:eastAsia="en-US"/>
        </w:rPr>
        <w:t>las líneas priorizadas de Caudal Ambiental, gestión de sedimentos e hidroenergía sostenible</w:t>
      </w:r>
      <w:r w:rsidRPr="008C0775">
        <w:rPr>
          <w:rFonts w:ascii="Verdana" w:hAnsi="Verdana"/>
          <w:sz w:val="22"/>
          <w:szCs w:val="22"/>
          <w:lang w:val="es-MX" w:eastAsia="en-US"/>
        </w:rPr>
        <w:t xml:space="preserve"> </w:t>
      </w:r>
      <w:r w:rsidRPr="00DF2741">
        <w:rPr>
          <w:rFonts w:ascii="Verdana" w:hAnsi="Verdana"/>
          <w:sz w:val="22"/>
          <w:szCs w:val="22"/>
          <w:lang w:val="es-MX" w:eastAsia="en-US"/>
        </w:rPr>
        <w:t xml:space="preserve">en el marco del Consejo </w:t>
      </w:r>
      <w:r>
        <w:rPr>
          <w:rFonts w:ascii="Verdana" w:hAnsi="Verdana"/>
          <w:sz w:val="22"/>
          <w:szCs w:val="22"/>
          <w:lang w:val="es-MX" w:eastAsia="en-US"/>
        </w:rPr>
        <w:t>N</w:t>
      </w:r>
      <w:r w:rsidRPr="00DF2741">
        <w:rPr>
          <w:rFonts w:ascii="Verdana" w:hAnsi="Verdana"/>
          <w:sz w:val="22"/>
          <w:szCs w:val="22"/>
          <w:lang w:val="es-MX" w:eastAsia="en-US"/>
        </w:rPr>
        <w:t>acional del Agua - CNA</w:t>
      </w:r>
      <w:r w:rsidRPr="00BB5126">
        <w:rPr>
          <w:rFonts w:ascii="Verdana" w:hAnsi="Verdana"/>
          <w:sz w:val="22"/>
          <w:szCs w:val="22"/>
          <w:lang w:val="es-MX" w:eastAsia="en-US"/>
        </w:rPr>
        <w:t>. En este espacio</w:t>
      </w:r>
      <w:r>
        <w:rPr>
          <w:rFonts w:ascii="Verdana" w:hAnsi="Verdana"/>
          <w:sz w:val="22"/>
          <w:szCs w:val="22"/>
          <w:lang w:val="es-MX" w:eastAsia="en-US"/>
        </w:rPr>
        <w:t xml:space="preserve"> </w:t>
      </w:r>
      <w:r w:rsidRPr="00BB5126">
        <w:rPr>
          <w:rFonts w:ascii="Verdana" w:hAnsi="Verdana"/>
          <w:sz w:val="22"/>
          <w:szCs w:val="22"/>
          <w:lang w:val="es-MX" w:eastAsia="en-US"/>
        </w:rPr>
        <w:t>se presentaron las propuestas preliminares de</w:t>
      </w:r>
      <w:r>
        <w:rPr>
          <w:rFonts w:ascii="Verdana" w:hAnsi="Verdana"/>
          <w:sz w:val="22"/>
          <w:szCs w:val="22"/>
          <w:lang w:val="es-MX" w:eastAsia="en-US"/>
        </w:rPr>
        <w:t xml:space="preserve"> MINENERGÍA</w:t>
      </w:r>
      <w:r w:rsidRPr="00BB5126">
        <w:rPr>
          <w:rFonts w:ascii="Verdana" w:hAnsi="Verdana"/>
          <w:sz w:val="22"/>
          <w:szCs w:val="22"/>
          <w:lang w:val="es-MX" w:eastAsia="en-US"/>
        </w:rPr>
        <w:t xml:space="preserve">, el CNO y ACOLGEN y se </w:t>
      </w:r>
      <w:r>
        <w:rPr>
          <w:rFonts w:ascii="Verdana" w:hAnsi="Verdana"/>
          <w:sz w:val="22"/>
          <w:szCs w:val="22"/>
          <w:lang w:val="es-MX" w:eastAsia="en-US"/>
        </w:rPr>
        <w:t>concertaron acciones</w:t>
      </w:r>
      <w:r w:rsidRPr="00BB5126">
        <w:rPr>
          <w:rFonts w:ascii="Verdana" w:hAnsi="Verdana"/>
          <w:sz w:val="22"/>
          <w:szCs w:val="22"/>
          <w:lang w:val="es-MX" w:eastAsia="en-US"/>
        </w:rPr>
        <w:t xml:space="preserve"> y necesidades.</w:t>
      </w:r>
    </w:p>
    <w:p w14:paraId="261A0214" w14:textId="77777777" w:rsidR="0048560C" w:rsidRDefault="0048560C" w:rsidP="0048560C">
      <w:pPr>
        <w:pStyle w:val="Prrafodelista"/>
        <w:ind w:left="360"/>
        <w:jc w:val="both"/>
        <w:rPr>
          <w:rFonts w:ascii="Verdana" w:hAnsi="Verdana"/>
          <w:sz w:val="22"/>
          <w:szCs w:val="22"/>
          <w:lang w:val="es-MX" w:eastAsia="en-US"/>
        </w:rPr>
      </w:pPr>
    </w:p>
    <w:p w14:paraId="4ECE8325" w14:textId="77777777" w:rsidR="0048560C" w:rsidRDefault="0048560C" w:rsidP="0048560C">
      <w:pPr>
        <w:pStyle w:val="Prrafodelista"/>
        <w:ind w:left="360"/>
        <w:jc w:val="both"/>
        <w:rPr>
          <w:rFonts w:ascii="Verdana" w:hAnsi="Verdana"/>
          <w:sz w:val="22"/>
          <w:szCs w:val="22"/>
          <w:lang w:val="es-MX" w:eastAsia="en-US"/>
        </w:rPr>
      </w:pPr>
      <w:r>
        <w:rPr>
          <w:rFonts w:ascii="Verdana" w:hAnsi="Verdana"/>
          <w:sz w:val="22"/>
          <w:szCs w:val="22"/>
          <w:lang w:val="es-MX" w:eastAsia="en-US"/>
        </w:rPr>
        <w:t>L</w:t>
      </w:r>
      <w:r w:rsidRPr="004C7BE2">
        <w:rPr>
          <w:rFonts w:ascii="Verdana" w:hAnsi="Verdana"/>
          <w:sz w:val="22"/>
          <w:szCs w:val="22"/>
          <w:lang w:val="es-MX" w:eastAsia="en-US"/>
        </w:rPr>
        <w:t>a</w:t>
      </w:r>
      <w:r>
        <w:rPr>
          <w:rFonts w:ascii="Verdana" w:hAnsi="Verdana"/>
          <w:sz w:val="22"/>
          <w:szCs w:val="22"/>
          <w:lang w:val="es-MX" w:eastAsia="en-US"/>
        </w:rPr>
        <w:t>s conclusiones m</w:t>
      </w:r>
      <w:r w:rsidRPr="004C7BE2">
        <w:rPr>
          <w:rFonts w:ascii="Verdana" w:hAnsi="Verdana"/>
          <w:sz w:val="22"/>
          <w:szCs w:val="22"/>
          <w:lang w:val="es-MX" w:eastAsia="en-US"/>
        </w:rPr>
        <w:t>a</w:t>
      </w:r>
      <w:r>
        <w:rPr>
          <w:rFonts w:ascii="Verdana" w:hAnsi="Verdana"/>
          <w:sz w:val="22"/>
          <w:szCs w:val="22"/>
          <w:lang w:val="es-MX" w:eastAsia="en-US"/>
        </w:rPr>
        <w:t>s import</w:t>
      </w:r>
      <w:r w:rsidRPr="004C7BE2">
        <w:rPr>
          <w:rFonts w:ascii="Verdana" w:hAnsi="Verdana"/>
          <w:sz w:val="22"/>
          <w:szCs w:val="22"/>
          <w:lang w:val="es-MX" w:eastAsia="en-US"/>
        </w:rPr>
        <w:t>a</w:t>
      </w:r>
      <w:r>
        <w:rPr>
          <w:rFonts w:ascii="Verdana" w:hAnsi="Verdana"/>
          <w:sz w:val="22"/>
          <w:szCs w:val="22"/>
          <w:lang w:val="es-MX" w:eastAsia="en-US"/>
        </w:rPr>
        <w:t xml:space="preserve">ntes de dicho encuentro se resumen </w:t>
      </w:r>
      <w:r w:rsidRPr="004C7BE2">
        <w:rPr>
          <w:rFonts w:ascii="Verdana" w:hAnsi="Verdana"/>
          <w:sz w:val="22"/>
          <w:szCs w:val="22"/>
          <w:lang w:val="es-MX" w:eastAsia="en-US"/>
        </w:rPr>
        <w:t>a</w:t>
      </w:r>
      <w:r>
        <w:rPr>
          <w:rFonts w:ascii="Verdana" w:hAnsi="Verdana"/>
          <w:sz w:val="22"/>
          <w:szCs w:val="22"/>
          <w:lang w:val="es-MX" w:eastAsia="en-US"/>
        </w:rPr>
        <w:t xml:space="preserve"> continu</w:t>
      </w:r>
      <w:r w:rsidRPr="004C7BE2">
        <w:rPr>
          <w:rFonts w:ascii="Verdana" w:hAnsi="Verdana"/>
          <w:sz w:val="22"/>
          <w:szCs w:val="22"/>
          <w:lang w:val="es-MX" w:eastAsia="en-US"/>
        </w:rPr>
        <w:t>a</w:t>
      </w:r>
      <w:r>
        <w:rPr>
          <w:rFonts w:ascii="Verdana" w:hAnsi="Verdana"/>
          <w:sz w:val="22"/>
          <w:szCs w:val="22"/>
          <w:lang w:val="es-MX" w:eastAsia="en-US"/>
        </w:rPr>
        <w:t>ción:</w:t>
      </w:r>
    </w:p>
    <w:p w14:paraId="638A0006" w14:textId="77777777" w:rsidR="0048560C" w:rsidRDefault="0048560C" w:rsidP="0048560C">
      <w:pPr>
        <w:pStyle w:val="Prrafodelista"/>
        <w:ind w:left="360"/>
        <w:jc w:val="both"/>
        <w:rPr>
          <w:rFonts w:ascii="Verdana" w:hAnsi="Verdana"/>
          <w:sz w:val="22"/>
          <w:szCs w:val="22"/>
          <w:lang w:val="es-MX" w:eastAsia="en-US"/>
        </w:rPr>
      </w:pPr>
    </w:p>
    <w:p w14:paraId="402FE15D" w14:textId="77777777" w:rsidR="0048560C" w:rsidRPr="00BB5126" w:rsidRDefault="0048560C" w:rsidP="0048560C">
      <w:pPr>
        <w:pStyle w:val="Prrafodelista"/>
        <w:ind w:left="360"/>
        <w:jc w:val="both"/>
        <w:rPr>
          <w:rFonts w:ascii="Verdana" w:hAnsi="Verdana"/>
          <w:sz w:val="22"/>
          <w:szCs w:val="22"/>
          <w:u w:val="single"/>
          <w:lang w:val="es-MX" w:eastAsia="en-US"/>
        </w:rPr>
      </w:pPr>
      <w:r w:rsidRPr="00BB5126">
        <w:rPr>
          <w:rFonts w:ascii="Verdana" w:hAnsi="Verdana"/>
          <w:sz w:val="22"/>
          <w:szCs w:val="22"/>
          <w:u w:val="single"/>
          <w:lang w:val="es-MX" w:eastAsia="en-US"/>
        </w:rPr>
        <w:t>Línea de Caudal Ambiental.</w:t>
      </w:r>
    </w:p>
    <w:p w14:paraId="07E577F1" w14:textId="77777777" w:rsidR="0048560C" w:rsidRPr="00BB5126" w:rsidRDefault="0048560C" w:rsidP="0048560C">
      <w:pPr>
        <w:jc w:val="both"/>
        <w:rPr>
          <w:rFonts w:ascii="Verdana" w:hAnsi="Verdana"/>
          <w:u w:val="single"/>
          <w:lang w:val="es-MX" w:eastAsia="en-US"/>
        </w:rPr>
      </w:pPr>
    </w:p>
    <w:p w14:paraId="09371326" w14:textId="77777777" w:rsidR="0048560C" w:rsidRDefault="0048560C" w:rsidP="0048560C">
      <w:pPr>
        <w:pStyle w:val="Prrafodelista"/>
        <w:numPr>
          <w:ilvl w:val="0"/>
          <w:numId w:val="3"/>
        </w:numPr>
        <w:jc w:val="both"/>
        <w:rPr>
          <w:rFonts w:ascii="Verdana" w:hAnsi="Verdana"/>
          <w:sz w:val="22"/>
          <w:szCs w:val="22"/>
          <w:lang w:val="es-MX" w:eastAsia="en-US"/>
        </w:rPr>
      </w:pPr>
      <w:r w:rsidRPr="009B2F23">
        <w:rPr>
          <w:rFonts w:ascii="Verdana" w:hAnsi="Verdana"/>
          <w:sz w:val="22"/>
          <w:szCs w:val="22"/>
          <w:lang w:val="es-MX" w:eastAsia="en-US"/>
        </w:rPr>
        <w:t>Partir de la metodología elaborada para la sentencia del rio Bogotá o la metodología</w:t>
      </w:r>
      <w:r>
        <w:rPr>
          <w:rFonts w:ascii="Verdana" w:hAnsi="Verdana"/>
          <w:sz w:val="22"/>
          <w:szCs w:val="22"/>
          <w:lang w:val="es-MX" w:eastAsia="en-US"/>
        </w:rPr>
        <w:t xml:space="preserve"> </w:t>
      </w:r>
      <w:r w:rsidRPr="00BB5126">
        <w:rPr>
          <w:rFonts w:ascii="Verdana" w:hAnsi="Verdana"/>
          <w:sz w:val="22"/>
          <w:szCs w:val="22"/>
          <w:lang w:val="es-MX" w:eastAsia="en-US"/>
        </w:rPr>
        <w:t>de 2019 al no tener diferencias significativas.</w:t>
      </w:r>
    </w:p>
    <w:p w14:paraId="20E64DEE" w14:textId="77777777" w:rsidR="0048560C" w:rsidRDefault="0048560C" w:rsidP="0048560C">
      <w:pPr>
        <w:pStyle w:val="Prrafodelista"/>
        <w:ind w:left="720"/>
        <w:jc w:val="both"/>
        <w:rPr>
          <w:rFonts w:ascii="Verdana" w:hAnsi="Verdana"/>
          <w:sz w:val="22"/>
          <w:szCs w:val="22"/>
          <w:lang w:val="es-MX" w:eastAsia="en-US"/>
        </w:rPr>
      </w:pPr>
    </w:p>
    <w:p w14:paraId="3E4874FC" w14:textId="77777777" w:rsidR="0048560C" w:rsidRDefault="0048560C" w:rsidP="0048560C">
      <w:pPr>
        <w:pStyle w:val="Prrafodelista"/>
        <w:numPr>
          <w:ilvl w:val="0"/>
          <w:numId w:val="3"/>
        </w:numPr>
        <w:jc w:val="both"/>
        <w:rPr>
          <w:rFonts w:ascii="Verdana" w:hAnsi="Verdana"/>
          <w:sz w:val="22"/>
          <w:szCs w:val="22"/>
          <w:lang w:val="es-MX" w:eastAsia="en-US"/>
        </w:rPr>
      </w:pPr>
      <w:r w:rsidRPr="00BB5126">
        <w:rPr>
          <w:rFonts w:ascii="Verdana" w:hAnsi="Verdana"/>
          <w:sz w:val="22"/>
          <w:szCs w:val="22"/>
          <w:lang w:val="es-MX" w:eastAsia="en-US"/>
        </w:rPr>
        <w:t>Trabajar de forma paralela los pilotos desarrollados y los insumos de los lineamientos</w:t>
      </w:r>
      <w:r w:rsidRPr="00753577">
        <w:rPr>
          <w:rFonts w:ascii="Verdana" w:hAnsi="Verdana"/>
          <w:sz w:val="22"/>
          <w:szCs w:val="22"/>
          <w:lang w:val="es-MX" w:eastAsia="en-US"/>
        </w:rPr>
        <w:t xml:space="preserve"> </w:t>
      </w:r>
      <w:r w:rsidRPr="00BB5126">
        <w:rPr>
          <w:rFonts w:ascii="Verdana" w:hAnsi="Verdana"/>
          <w:sz w:val="22"/>
          <w:szCs w:val="22"/>
          <w:lang w:val="es-MX" w:eastAsia="en-US"/>
        </w:rPr>
        <w:t xml:space="preserve">de caudal ambiental. Teniendo como punto de partida los hallazgos que se tengan de </w:t>
      </w:r>
      <w:r w:rsidRPr="00753577">
        <w:rPr>
          <w:rFonts w:ascii="Verdana" w:hAnsi="Verdana"/>
          <w:sz w:val="22"/>
          <w:szCs w:val="22"/>
          <w:lang w:val="es-MX" w:eastAsia="en-US"/>
        </w:rPr>
        <w:t>los ejercicios pilotos.</w:t>
      </w:r>
    </w:p>
    <w:p w14:paraId="7CBCB2FF" w14:textId="77777777" w:rsidR="0048560C" w:rsidRPr="00FB306D" w:rsidRDefault="0048560C" w:rsidP="0048560C">
      <w:pPr>
        <w:jc w:val="both"/>
        <w:rPr>
          <w:rFonts w:ascii="Verdana" w:hAnsi="Verdana"/>
          <w:lang w:val="es-MX" w:eastAsia="en-US"/>
        </w:rPr>
      </w:pPr>
    </w:p>
    <w:p w14:paraId="6E2BDD77" w14:textId="77777777" w:rsidR="0048560C" w:rsidRDefault="0048560C" w:rsidP="0048560C">
      <w:pPr>
        <w:pStyle w:val="Prrafodelista"/>
        <w:numPr>
          <w:ilvl w:val="0"/>
          <w:numId w:val="3"/>
        </w:numPr>
        <w:jc w:val="both"/>
        <w:rPr>
          <w:rFonts w:ascii="Verdana" w:hAnsi="Verdana"/>
          <w:sz w:val="22"/>
          <w:szCs w:val="22"/>
          <w:lang w:val="es-MX" w:eastAsia="en-US"/>
        </w:rPr>
      </w:pPr>
      <w:r w:rsidRPr="00753577">
        <w:rPr>
          <w:rFonts w:ascii="Verdana" w:hAnsi="Verdana"/>
          <w:sz w:val="22"/>
          <w:szCs w:val="22"/>
          <w:lang w:val="es-MX" w:eastAsia="en-US"/>
        </w:rPr>
        <w:t>S</w:t>
      </w:r>
      <w:r w:rsidRPr="00BB5126">
        <w:rPr>
          <w:rFonts w:ascii="Verdana" w:hAnsi="Verdana"/>
          <w:sz w:val="22"/>
          <w:szCs w:val="22"/>
          <w:lang w:val="es-MX" w:eastAsia="en-US"/>
        </w:rPr>
        <w:t xml:space="preserve">e acuerda la posibilidad de realizar las gestiones para poder contar </w:t>
      </w:r>
      <w:r w:rsidRPr="00753577">
        <w:rPr>
          <w:rFonts w:ascii="Verdana" w:hAnsi="Verdana"/>
          <w:sz w:val="22"/>
          <w:szCs w:val="22"/>
          <w:lang w:val="es-MX" w:eastAsia="en-US"/>
        </w:rPr>
        <w:t xml:space="preserve">con </w:t>
      </w:r>
      <w:r w:rsidRPr="00BB5126">
        <w:rPr>
          <w:rFonts w:ascii="Verdana" w:hAnsi="Verdana"/>
          <w:sz w:val="22"/>
          <w:szCs w:val="22"/>
          <w:lang w:val="es-MX" w:eastAsia="en-US"/>
        </w:rPr>
        <w:t>información que parta de las Corporaciones Autónomas que estén desarrollando en la</w:t>
      </w:r>
      <w:r>
        <w:rPr>
          <w:rFonts w:ascii="Verdana" w:hAnsi="Verdana"/>
          <w:sz w:val="22"/>
          <w:szCs w:val="22"/>
          <w:lang w:val="es-MX" w:eastAsia="en-US"/>
        </w:rPr>
        <w:t xml:space="preserve"> </w:t>
      </w:r>
      <w:r w:rsidRPr="00753577">
        <w:rPr>
          <w:rFonts w:ascii="Verdana" w:hAnsi="Verdana"/>
          <w:sz w:val="22"/>
          <w:szCs w:val="22"/>
          <w:lang w:val="es-MX" w:eastAsia="en-US"/>
        </w:rPr>
        <w:t>actualidad la aplicación de la actual metodología.</w:t>
      </w:r>
    </w:p>
    <w:p w14:paraId="23DC0FC0" w14:textId="77777777" w:rsidR="0048560C" w:rsidRDefault="0048560C" w:rsidP="0048560C">
      <w:pPr>
        <w:pStyle w:val="Prrafodelista"/>
        <w:ind w:left="720"/>
        <w:jc w:val="both"/>
        <w:rPr>
          <w:rFonts w:ascii="Verdana" w:hAnsi="Verdana"/>
          <w:sz w:val="22"/>
          <w:szCs w:val="22"/>
          <w:lang w:val="es-MX" w:eastAsia="en-US"/>
        </w:rPr>
      </w:pPr>
    </w:p>
    <w:p w14:paraId="4C54F36B" w14:textId="77777777" w:rsidR="0048560C" w:rsidRDefault="0048560C" w:rsidP="0048560C">
      <w:pPr>
        <w:pStyle w:val="Prrafodelista"/>
        <w:numPr>
          <w:ilvl w:val="0"/>
          <w:numId w:val="3"/>
        </w:numPr>
        <w:jc w:val="both"/>
        <w:rPr>
          <w:rFonts w:ascii="Verdana" w:hAnsi="Verdana"/>
          <w:sz w:val="22"/>
          <w:szCs w:val="22"/>
          <w:lang w:val="es-MX" w:eastAsia="en-US"/>
        </w:rPr>
      </w:pPr>
      <w:r w:rsidRPr="00BB5126">
        <w:rPr>
          <w:rFonts w:ascii="Verdana" w:hAnsi="Verdana"/>
          <w:sz w:val="22"/>
          <w:szCs w:val="22"/>
          <w:lang w:val="es-MX" w:eastAsia="en-US"/>
        </w:rPr>
        <w:t xml:space="preserve">Se </w:t>
      </w:r>
      <w:r w:rsidRPr="004C7BE2">
        <w:rPr>
          <w:rFonts w:ascii="Verdana" w:hAnsi="Verdana"/>
          <w:sz w:val="22"/>
          <w:szCs w:val="22"/>
          <w:lang w:val="es-MX" w:eastAsia="en-US"/>
        </w:rPr>
        <w:t>a</w:t>
      </w:r>
      <w:r>
        <w:rPr>
          <w:rFonts w:ascii="Verdana" w:hAnsi="Verdana"/>
          <w:sz w:val="22"/>
          <w:szCs w:val="22"/>
          <w:lang w:val="es-MX" w:eastAsia="en-US"/>
        </w:rPr>
        <w:t>n</w:t>
      </w:r>
      <w:r w:rsidRPr="004C7BE2">
        <w:rPr>
          <w:rFonts w:ascii="Verdana" w:hAnsi="Verdana"/>
          <w:sz w:val="22"/>
          <w:szCs w:val="22"/>
          <w:lang w:val="es-MX" w:eastAsia="en-US"/>
        </w:rPr>
        <w:t>a</w:t>
      </w:r>
      <w:r>
        <w:rPr>
          <w:rFonts w:ascii="Verdana" w:hAnsi="Verdana"/>
          <w:sz w:val="22"/>
          <w:szCs w:val="22"/>
          <w:lang w:val="es-MX" w:eastAsia="en-US"/>
        </w:rPr>
        <w:t>liza</w:t>
      </w:r>
      <w:r w:rsidRPr="00BB5126">
        <w:rPr>
          <w:rFonts w:ascii="Verdana" w:hAnsi="Verdana"/>
          <w:sz w:val="22"/>
          <w:szCs w:val="22"/>
          <w:lang w:val="es-MX" w:eastAsia="en-US"/>
        </w:rPr>
        <w:t xml:space="preserve"> la posibilidad de realizar los pilotos en una cuenca intervenida y no</w:t>
      </w:r>
      <w:r>
        <w:rPr>
          <w:rFonts w:ascii="Verdana" w:hAnsi="Verdana"/>
          <w:sz w:val="22"/>
          <w:szCs w:val="22"/>
          <w:lang w:val="es-MX" w:eastAsia="en-US"/>
        </w:rPr>
        <w:t xml:space="preserve"> </w:t>
      </w:r>
      <w:r w:rsidRPr="00BB5126">
        <w:rPr>
          <w:rFonts w:ascii="Verdana" w:hAnsi="Verdana"/>
          <w:sz w:val="22"/>
          <w:szCs w:val="22"/>
          <w:lang w:val="es-MX" w:eastAsia="en-US"/>
        </w:rPr>
        <w:t>intervenida o con poca intervención.</w:t>
      </w:r>
    </w:p>
    <w:p w14:paraId="720B3253" w14:textId="77777777" w:rsidR="0048560C" w:rsidRPr="00BB5126" w:rsidRDefault="0048560C" w:rsidP="0048560C">
      <w:pPr>
        <w:pStyle w:val="Prrafodelista"/>
        <w:ind w:left="720"/>
        <w:jc w:val="both"/>
        <w:rPr>
          <w:rFonts w:ascii="Verdana" w:hAnsi="Verdana"/>
          <w:sz w:val="22"/>
          <w:szCs w:val="22"/>
          <w:lang w:val="es-MX" w:eastAsia="en-US"/>
        </w:rPr>
      </w:pPr>
    </w:p>
    <w:p w14:paraId="32968DEB" w14:textId="77777777" w:rsidR="0048560C" w:rsidRDefault="0048560C" w:rsidP="0048560C">
      <w:pPr>
        <w:pStyle w:val="Prrafodelista"/>
        <w:numPr>
          <w:ilvl w:val="0"/>
          <w:numId w:val="3"/>
        </w:numPr>
        <w:jc w:val="both"/>
        <w:rPr>
          <w:rFonts w:ascii="Verdana" w:hAnsi="Verdana"/>
          <w:sz w:val="22"/>
          <w:szCs w:val="22"/>
          <w:lang w:val="es-MX" w:eastAsia="en-US"/>
        </w:rPr>
      </w:pPr>
      <w:r w:rsidRPr="00BB5126">
        <w:rPr>
          <w:rFonts w:ascii="Verdana" w:hAnsi="Verdana"/>
          <w:sz w:val="22"/>
          <w:szCs w:val="22"/>
          <w:lang w:val="es-MX" w:eastAsia="en-US"/>
        </w:rPr>
        <w:t>Referente al alcance del documento construido, fomentar que sean lineamientos</w:t>
      </w:r>
      <w:r>
        <w:rPr>
          <w:rFonts w:ascii="Verdana" w:hAnsi="Verdana"/>
          <w:sz w:val="22"/>
          <w:szCs w:val="22"/>
          <w:lang w:val="es-MX" w:eastAsia="en-US"/>
        </w:rPr>
        <w:t xml:space="preserve"> </w:t>
      </w:r>
      <w:r w:rsidRPr="00BB5126">
        <w:rPr>
          <w:rFonts w:ascii="Verdana" w:hAnsi="Verdana"/>
          <w:sz w:val="22"/>
          <w:szCs w:val="22"/>
          <w:lang w:val="es-MX" w:eastAsia="en-US"/>
        </w:rPr>
        <w:t>generalizados y flexibles. Por medio de la identificación de los vacíos y las</w:t>
      </w:r>
      <w:r>
        <w:rPr>
          <w:rFonts w:ascii="Verdana" w:hAnsi="Verdana"/>
          <w:sz w:val="22"/>
          <w:szCs w:val="22"/>
          <w:lang w:val="es-MX" w:eastAsia="en-US"/>
        </w:rPr>
        <w:t xml:space="preserve"> </w:t>
      </w:r>
      <w:r w:rsidRPr="00BB5126">
        <w:rPr>
          <w:rFonts w:ascii="Verdana" w:hAnsi="Verdana"/>
          <w:sz w:val="22"/>
          <w:szCs w:val="22"/>
          <w:lang w:val="es-MX" w:eastAsia="en-US"/>
        </w:rPr>
        <w:t xml:space="preserve">oportunidades de mejorar de la actual metodología. </w:t>
      </w:r>
    </w:p>
    <w:p w14:paraId="54CF3C46" w14:textId="77777777" w:rsidR="0048560C" w:rsidRPr="00BB5126" w:rsidRDefault="0048560C" w:rsidP="0048560C">
      <w:pPr>
        <w:pStyle w:val="Prrafodelista"/>
        <w:rPr>
          <w:rFonts w:ascii="Verdana" w:hAnsi="Verdana"/>
          <w:sz w:val="22"/>
          <w:szCs w:val="22"/>
          <w:lang w:val="es-MX" w:eastAsia="en-US"/>
        </w:rPr>
      </w:pPr>
    </w:p>
    <w:p w14:paraId="2D482358" w14:textId="77777777" w:rsidR="0048560C" w:rsidRPr="00BB5126" w:rsidRDefault="0048560C" w:rsidP="0048560C">
      <w:pPr>
        <w:pStyle w:val="Prrafodelista"/>
        <w:ind w:left="360"/>
        <w:jc w:val="both"/>
        <w:rPr>
          <w:rFonts w:ascii="Verdana" w:hAnsi="Verdana"/>
          <w:sz w:val="22"/>
          <w:szCs w:val="22"/>
          <w:u w:val="single"/>
          <w:lang w:val="es-MX" w:eastAsia="en-US"/>
        </w:rPr>
      </w:pPr>
      <w:r w:rsidRPr="00BB5126">
        <w:rPr>
          <w:rFonts w:ascii="Verdana" w:hAnsi="Verdana"/>
          <w:sz w:val="22"/>
          <w:szCs w:val="22"/>
          <w:u w:val="single"/>
          <w:lang w:val="es-MX" w:eastAsia="en-US"/>
        </w:rPr>
        <w:t>Línea de gestión de sedimentos.</w:t>
      </w:r>
    </w:p>
    <w:p w14:paraId="4380BF9C" w14:textId="77777777" w:rsidR="0048560C" w:rsidRDefault="0048560C" w:rsidP="0048560C">
      <w:pPr>
        <w:pStyle w:val="Prrafodelista"/>
        <w:ind w:left="360"/>
        <w:jc w:val="both"/>
        <w:rPr>
          <w:rFonts w:ascii="Verdana" w:hAnsi="Verdana"/>
          <w:sz w:val="22"/>
          <w:szCs w:val="22"/>
          <w:lang w:val="es-MX" w:eastAsia="en-US"/>
        </w:rPr>
      </w:pPr>
    </w:p>
    <w:p w14:paraId="3D4398F1" w14:textId="77777777" w:rsidR="0048560C" w:rsidRDefault="0048560C" w:rsidP="0048560C">
      <w:pPr>
        <w:pStyle w:val="Prrafodelista"/>
        <w:numPr>
          <w:ilvl w:val="0"/>
          <w:numId w:val="3"/>
        </w:numPr>
        <w:jc w:val="both"/>
        <w:rPr>
          <w:rFonts w:ascii="Verdana" w:hAnsi="Verdana"/>
          <w:sz w:val="22"/>
          <w:szCs w:val="22"/>
          <w:lang w:val="es-MX" w:eastAsia="en-US"/>
        </w:rPr>
      </w:pPr>
      <w:r w:rsidRPr="00946F08">
        <w:rPr>
          <w:rFonts w:ascii="Verdana" w:hAnsi="Verdana"/>
          <w:sz w:val="22"/>
          <w:szCs w:val="22"/>
          <w:lang w:val="es-MX" w:eastAsia="en-US"/>
        </w:rPr>
        <w:t xml:space="preserve">Ampliar la evaluación de gestión de sedimentos a la infraestructura de generación, en </w:t>
      </w:r>
      <w:r w:rsidRPr="00BB5126">
        <w:rPr>
          <w:rFonts w:ascii="Verdana" w:hAnsi="Verdana"/>
          <w:sz w:val="22"/>
          <w:szCs w:val="22"/>
          <w:lang w:val="es-MX" w:eastAsia="en-US"/>
        </w:rPr>
        <w:t>el entender que no solo son los embalses</w:t>
      </w:r>
      <w:r w:rsidRPr="00946F08">
        <w:rPr>
          <w:rFonts w:ascii="Verdana" w:hAnsi="Verdana"/>
          <w:sz w:val="22"/>
          <w:szCs w:val="22"/>
          <w:lang w:val="es-MX" w:eastAsia="en-US"/>
        </w:rPr>
        <w:t xml:space="preserve">, </w:t>
      </w:r>
      <w:r w:rsidRPr="00BB5126">
        <w:rPr>
          <w:rFonts w:ascii="Verdana" w:hAnsi="Verdana"/>
          <w:sz w:val="22"/>
          <w:szCs w:val="22"/>
          <w:lang w:val="es-MX" w:eastAsia="en-US"/>
        </w:rPr>
        <w:t>sino al igual PCH´s, Bocatomas</w:t>
      </w:r>
      <w:r w:rsidRPr="00946F08">
        <w:rPr>
          <w:rFonts w:ascii="Verdana" w:hAnsi="Verdana"/>
          <w:sz w:val="22"/>
          <w:szCs w:val="22"/>
          <w:lang w:val="es-MX" w:eastAsia="en-US"/>
        </w:rPr>
        <w:t xml:space="preserve"> para los sistemas de refrigeración de las térmicas, que también necesitarían estrategias para la gestión de sedimentos. </w:t>
      </w:r>
    </w:p>
    <w:p w14:paraId="654F2426" w14:textId="77777777" w:rsidR="0048560C" w:rsidRDefault="0048560C" w:rsidP="0048560C">
      <w:pPr>
        <w:pStyle w:val="Prrafodelista"/>
        <w:ind w:left="720"/>
        <w:jc w:val="both"/>
        <w:rPr>
          <w:rFonts w:ascii="Verdana" w:hAnsi="Verdana"/>
          <w:sz w:val="22"/>
          <w:szCs w:val="22"/>
          <w:lang w:val="es-MX" w:eastAsia="en-US"/>
        </w:rPr>
      </w:pPr>
    </w:p>
    <w:p w14:paraId="282AB467" w14:textId="77777777" w:rsidR="0048560C" w:rsidRDefault="0048560C" w:rsidP="0048560C">
      <w:pPr>
        <w:pStyle w:val="Prrafodelista"/>
        <w:numPr>
          <w:ilvl w:val="0"/>
          <w:numId w:val="3"/>
        </w:numPr>
        <w:jc w:val="both"/>
        <w:rPr>
          <w:rFonts w:ascii="Verdana" w:hAnsi="Verdana"/>
          <w:sz w:val="22"/>
          <w:szCs w:val="22"/>
          <w:lang w:val="es-MX" w:eastAsia="en-US"/>
        </w:rPr>
      </w:pPr>
      <w:r>
        <w:rPr>
          <w:rFonts w:ascii="Verdana" w:hAnsi="Verdana"/>
          <w:sz w:val="22"/>
          <w:szCs w:val="22"/>
          <w:lang w:val="es-MX" w:eastAsia="en-US"/>
        </w:rPr>
        <w:t>S</w:t>
      </w:r>
      <w:r w:rsidRPr="00946F08">
        <w:rPr>
          <w:rFonts w:ascii="Verdana" w:hAnsi="Verdana"/>
          <w:sz w:val="22"/>
          <w:szCs w:val="22"/>
          <w:lang w:val="es-MX" w:eastAsia="en-US"/>
        </w:rPr>
        <w:t>e propone manejar los lineamientos como capitulo principal para los embalses de</w:t>
      </w:r>
      <w:r>
        <w:rPr>
          <w:rFonts w:ascii="Verdana" w:hAnsi="Verdana"/>
          <w:sz w:val="22"/>
          <w:szCs w:val="22"/>
          <w:lang w:val="es-MX" w:eastAsia="en-US"/>
        </w:rPr>
        <w:t xml:space="preserve"> </w:t>
      </w:r>
      <w:r w:rsidRPr="00BB5126">
        <w:rPr>
          <w:rFonts w:ascii="Verdana" w:hAnsi="Verdana"/>
          <w:sz w:val="22"/>
          <w:szCs w:val="22"/>
          <w:lang w:val="es-MX" w:eastAsia="en-US"/>
        </w:rPr>
        <w:t>generación y adicionalmente la infraestructura asociada.</w:t>
      </w:r>
    </w:p>
    <w:p w14:paraId="09578ACB" w14:textId="77777777" w:rsidR="0048560C" w:rsidRPr="00BB5126" w:rsidRDefault="0048560C" w:rsidP="0048560C">
      <w:pPr>
        <w:pStyle w:val="Prrafodelista"/>
        <w:ind w:left="720"/>
        <w:jc w:val="both"/>
        <w:rPr>
          <w:rFonts w:ascii="Verdana" w:hAnsi="Verdana"/>
          <w:sz w:val="22"/>
          <w:szCs w:val="22"/>
          <w:lang w:val="es-MX" w:eastAsia="en-US"/>
        </w:rPr>
      </w:pPr>
    </w:p>
    <w:p w14:paraId="7E744A23" w14:textId="77777777" w:rsidR="0048560C" w:rsidRDefault="0048560C" w:rsidP="0048560C">
      <w:pPr>
        <w:pStyle w:val="Prrafodelista"/>
        <w:numPr>
          <w:ilvl w:val="0"/>
          <w:numId w:val="3"/>
        </w:numPr>
        <w:jc w:val="both"/>
        <w:rPr>
          <w:rFonts w:ascii="Verdana" w:hAnsi="Verdana"/>
          <w:sz w:val="22"/>
          <w:szCs w:val="22"/>
          <w:lang w:val="es-MX" w:eastAsia="en-US"/>
        </w:rPr>
      </w:pPr>
      <w:r w:rsidRPr="00BB5126">
        <w:rPr>
          <w:rFonts w:ascii="Verdana" w:hAnsi="Verdana"/>
          <w:sz w:val="22"/>
          <w:szCs w:val="22"/>
          <w:lang w:val="es-MX" w:eastAsia="en-US"/>
        </w:rPr>
        <w:t>Realizar un referencia</w:t>
      </w:r>
      <w:r>
        <w:rPr>
          <w:rFonts w:ascii="Verdana" w:hAnsi="Verdana"/>
          <w:sz w:val="22"/>
          <w:szCs w:val="22"/>
          <w:lang w:val="es-MX" w:eastAsia="en-US"/>
        </w:rPr>
        <w:t>miento</w:t>
      </w:r>
      <w:r w:rsidRPr="00BB5126">
        <w:rPr>
          <w:rFonts w:ascii="Verdana" w:hAnsi="Verdana"/>
          <w:sz w:val="22"/>
          <w:szCs w:val="22"/>
          <w:lang w:val="es-MX" w:eastAsia="en-US"/>
        </w:rPr>
        <w:t xml:space="preserve"> nacional sobre el diagnostico de gestión de sedimentos.</w:t>
      </w:r>
    </w:p>
    <w:p w14:paraId="4E4D09FD" w14:textId="77777777" w:rsidR="0048560C" w:rsidRPr="00BB5126" w:rsidRDefault="0048560C" w:rsidP="0048560C">
      <w:pPr>
        <w:pStyle w:val="Prrafodelista"/>
        <w:ind w:left="720"/>
        <w:jc w:val="both"/>
        <w:rPr>
          <w:rFonts w:ascii="Verdana" w:hAnsi="Verdana"/>
          <w:sz w:val="22"/>
          <w:szCs w:val="22"/>
          <w:lang w:val="es-MX" w:eastAsia="en-US"/>
        </w:rPr>
      </w:pPr>
    </w:p>
    <w:p w14:paraId="7C8510B0" w14:textId="77777777" w:rsidR="0048560C" w:rsidRDefault="0048560C" w:rsidP="0048560C">
      <w:pPr>
        <w:pStyle w:val="Prrafodelista"/>
        <w:numPr>
          <w:ilvl w:val="0"/>
          <w:numId w:val="3"/>
        </w:numPr>
        <w:jc w:val="both"/>
        <w:rPr>
          <w:rFonts w:ascii="Verdana" w:hAnsi="Verdana"/>
          <w:sz w:val="22"/>
          <w:szCs w:val="22"/>
          <w:lang w:val="es-MX" w:eastAsia="en-US"/>
        </w:rPr>
      </w:pPr>
      <w:r w:rsidRPr="00946F08">
        <w:rPr>
          <w:rFonts w:ascii="Verdana" w:hAnsi="Verdana"/>
          <w:sz w:val="22"/>
          <w:szCs w:val="22"/>
          <w:lang w:val="es-MX" w:eastAsia="en-US"/>
        </w:rPr>
        <w:t>S</w:t>
      </w:r>
      <w:r w:rsidRPr="00BB5126">
        <w:rPr>
          <w:rFonts w:ascii="Verdana" w:hAnsi="Verdana"/>
          <w:sz w:val="22"/>
          <w:szCs w:val="22"/>
          <w:lang w:val="es-MX" w:eastAsia="en-US"/>
        </w:rPr>
        <w:t>e precisa la necesidad de establecer glosarios y definiciones asociadas al m</w:t>
      </w:r>
      <w:r>
        <w:rPr>
          <w:rFonts w:ascii="Verdana" w:hAnsi="Verdana"/>
          <w:sz w:val="22"/>
          <w:szCs w:val="22"/>
          <w:lang w:val="es-MX" w:eastAsia="en-US"/>
        </w:rPr>
        <w:t>a</w:t>
      </w:r>
      <w:r w:rsidRPr="00BB5126">
        <w:rPr>
          <w:rFonts w:ascii="Verdana" w:hAnsi="Verdana"/>
          <w:sz w:val="22"/>
          <w:szCs w:val="22"/>
          <w:lang w:val="es-MX" w:eastAsia="en-US"/>
        </w:rPr>
        <w:t>n</w:t>
      </w:r>
      <w:r>
        <w:rPr>
          <w:rFonts w:ascii="Verdana" w:hAnsi="Verdana"/>
          <w:sz w:val="22"/>
          <w:szCs w:val="22"/>
          <w:lang w:val="es-MX" w:eastAsia="en-US"/>
        </w:rPr>
        <w:t>e</w:t>
      </w:r>
      <w:r w:rsidRPr="00BB5126">
        <w:rPr>
          <w:rFonts w:ascii="Verdana" w:hAnsi="Verdana"/>
          <w:sz w:val="22"/>
          <w:szCs w:val="22"/>
          <w:lang w:val="es-MX" w:eastAsia="en-US"/>
        </w:rPr>
        <w:t>j</w:t>
      </w:r>
      <w:r>
        <w:rPr>
          <w:rFonts w:ascii="Verdana" w:hAnsi="Verdana"/>
          <w:sz w:val="22"/>
          <w:szCs w:val="22"/>
          <w:lang w:val="es-MX" w:eastAsia="en-US"/>
        </w:rPr>
        <w:t>o</w:t>
      </w:r>
      <w:r w:rsidRPr="00BB5126">
        <w:rPr>
          <w:rFonts w:ascii="Verdana" w:hAnsi="Verdana"/>
          <w:sz w:val="22"/>
          <w:szCs w:val="22"/>
          <w:lang w:val="es-MX" w:eastAsia="en-US"/>
        </w:rPr>
        <w:t xml:space="preserve"> de</w:t>
      </w:r>
      <w:r w:rsidRPr="00946F08">
        <w:rPr>
          <w:rFonts w:ascii="Verdana" w:hAnsi="Verdana"/>
          <w:sz w:val="22"/>
          <w:szCs w:val="22"/>
          <w:lang w:val="es-MX" w:eastAsia="en-US"/>
        </w:rPr>
        <w:t xml:space="preserve"> </w:t>
      </w:r>
      <w:r w:rsidRPr="00BB5126">
        <w:rPr>
          <w:rFonts w:ascii="Verdana" w:hAnsi="Verdana"/>
          <w:sz w:val="22"/>
          <w:szCs w:val="22"/>
          <w:lang w:val="es-MX" w:eastAsia="en-US"/>
        </w:rPr>
        <w:t xml:space="preserve">embalses, con el fin de que la autoridad ambiental y los </w:t>
      </w:r>
      <w:r>
        <w:rPr>
          <w:rFonts w:ascii="Verdana" w:hAnsi="Verdana"/>
          <w:sz w:val="22"/>
          <w:szCs w:val="22"/>
          <w:lang w:val="es-MX" w:eastAsia="en-US"/>
        </w:rPr>
        <w:t>demás asociados</w:t>
      </w:r>
      <w:r w:rsidRPr="00BB5126">
        <w:rPr>
          <w:rFonts w:ascii="Verdana" w:hAnsi="Verdana"/>
          <w:sz w:val="22"/>
          <w:szCs w:val="22"/>
          <w:lang w:val="es-MX" w:eastAsia="en-US"/>
        </w:rPr>
        <w:t xml:space="preserve"> en el marco</w:t>
      </w:r>
      <w:r>
        <w:rPr>
          <w:rFonts w:ascii="Verdana" w:hAnsi="Verdana"/>
          <w:sz w:val="22"/>
          <w:szCs w:val="22"/>
          <w:lang w:val="es-MX" w:eastAsia="en-US"/>
        </w:rPr>
        <w:t xml:space="preserve"> </w:t>
      </w:r>
      <w:r w:rsidRPr="00946F08">
        <w:rPr>
          <w:rFonts w:ascii="Verdana" w:hAnsi="Verdana"/>
          <w:sz w:val="22"/>
          <w:szCs w:val="22"/>
          <w:lang w:val="es-MX" w:eastAsia="en-US"/>
        </w:rPr>
        <w:t>del Consejo Nacional del Agua manejen el mismo lenguaje.</w:t>
      </w:r>
    </w:p>
    <w:p w14:paraId="17DE31B7" w14:textId="77777777" w:rsidR="0048560C" w:rsidRPr="00BB5126" w:rsidRDefault="0048560C" w:rsidP="0048560C">
      <w:pPr>
        <w:pStyle w:val="Prrafodelista"/>
        <w:ind w:left="720"/>
        <w:jc w:val="both"/>
        <w:rPr>
          <w:rFonts w:ascii="Verdana" w:hAnsi="Verdana"/>
          <w:sz w:val="22"/>
          <w:szCs w:val="22"/>
          <w:lang w:val="es-MX" w:eastAsia="en-US"/>
        </w:rPr>
      </w:pPr>
    </w:p>
    <w:p w14:paraId="42260409" w14:textId="77777777" w:rsidR="0048560C" w:rsidRDefault="0048560C" w:rsidP="0048560C">
      <w:pPr>
        <w:pStyle w:val="Prrafodelista"/>
        <w:numPr>
          <w:ilvl w:val="0"/>
          <w:numId w:val="3"/>
        </w:numPr>
        <w:jc w:val="both"/>
        <w:rPr>
          <w:rFonts w:ascii="Verdana" w:hAnsi="Verdana"/>
          <w:sz w:val="22"/>
          <w:szCs w:val="22"/>
          <w:lang w:val="es-MX" w:eastAsia="en-US"/>
        </w:rPr>
      </w:pPr>
      <w:r w:rsidRPr="00BB5126">
        <w:rPr>
          <w:rFonts w:ascii="Verdana" w:hAnsi="Verdana"/>
          <w:sz w:val="22"/>
          <w:szCs w:val="22"/>
          <w:lang w:val="es-MX" w:eastAsia="en-US"/>
        </w:rPr>
        <w:t>Incluir un capítulo de propuesta de articulación con la normativa nacional.</w:t>
      </w:r>
    </w:p>
    <w:p w14:paraId="47759CD8" w14:textId="77777777" w:rsidR="0048560C" w:rsidRPr="00BB5126" w:rsidRDefault="0048560C" w:rsidP="0048560C">
      <w:pPr>
        <w:pStyle w:val="Prrafodelista"/>
        <w:ind w:left="720"/>
        <w:jc w:val="both"/>
        <w:rPr>
          <w:rFonts w:ascii="Verdana" w:hAnsi="Verdana"/>
          <w:sz w:val="22"/>
          <w:szCs w:val="22"/>
          <w:lang w:val="es-MX" w:eastAsia="en-US"/>
        </w:rPr>
      </w:pPr>
    </w:p>
    <w:p w14:paraId="060EE091" w14:textId="77777777" w:rsidR="0048560C" w:rsidRDefault="0048560C" w:rsidP="0048560C">
      <w:pPr>
        <w:pStyle w:val="Prrafodelista"/>
        <w:numPr>
          <w:ilvl w:val="0"/>
          <w:numId w:val="3"/>
        </w:numPr>
        <w:jc w:val="both"/>
        <w:rPr>
          <w:rFonts w:ascii="Verdana" w:hAnsi="Verdana"/>
          <w:sz w:val="22"/>
          <w:szCs w:val="22"/>
          <w:lang w:val="es-MX" w:eastAsia="en-US"/>
        </w:rPr>
      </w:pPr>
      <w:r w:rsidRPr="00BB5126">
        <w:rPr>
          <w:rFonts w:ascii="Verdana" w:hAnsi="Verdana"/>
          <w:sz w:val="22"/>
          <w:szCs w:val="22"/>
          <w:lang w:val="es-MX" w:eastAsia="en-US"/>
        </w:rPr>
        <w:t>Evaluación del impacto de la sedimentación de embalses en las reservas del SIN</w:t>
      </w:r>
      <w:r>
        <w:rPr>
          <w:rFonts w:ascii="Verdana" w:hAnsi="Verdana"/>
          <w:sz w:val="22"/>
          <w:szCs w:val="22"/>
          <w:lang w:val="es-MX" w:eastAsia="en-US"/>
        </w:rPr>
        <w:t>.</w:t>
      </w:r>
    </w:p>
    <w:p w14:paraId="03C9C2D7" w14:textId="77777777" w:rsidR="0048560C" w:rsidRPr="00BB5126" w:rsidRDefault="0048560C" w:rsidP="0048560C">
      <w:pPr>
        <w:pStyle w:val="Prrafodelista"/>
        <w:ind w:left="720"/>
        <w:jc w:val="both"/>
        <w:rPr>
          <w:rFonts w:ascii="Verdana" w:hAnsi="Verdana"/>
          <w:sz w:val="22"/>
          <w:szCs w:val="22"/>
          <w:lang w:val="es-MX" w:eastAsia="en-US"/>
        </w:rPr>
      </w:pPr>
    </w:p>
    <w:p w14:paraId="6E44735E" w14:textId="77777777" w:rsidR="0048560C" w:rsidRDefault="0048560C" w:rsidP="0048560C">
      <w:pPr>
        <w:pStyle w:val="Prrafodelista"/>
        <w:numPr>
          <w:ilvl w:val="0"/>
          <w:numId w:val="3"/>
        </w:numPr>
        <w:jc w:val="both"/>
        <w:rPr>
          <w:rFonts w:ascii="Verdana" w:hAnsi="Verdana"/>
          <w:sz w:val="22"/>
          <w:szCs w:val="22"/>
          <w:lang w:val="es-MX" w:eastAsia="en-US"/>
        </w:rPr>
      </w:pPr>
      <w:r w:rsidRPr="00946F08">
        <w:rPr>
          <w:rFonts w:ascii="Verdana" w:hAnsi="Verdana"/>
          <w:sz w:val="22"/>
          <w:szCs w:val="22"/>
          <w:lang w:val="es-MX" w:eastAsia="en-US"/>
        </w:rPr>
        <w:t xml:space="preserve">Construir los lineamientos de forma coherente y eficaz con los requisitos ambientales </w:t>
      </w:r>
      <w:r w:rsidRPr="00BB5126">
        <w:rPr>
          <w:rFonts w:ascii="Verdana" w:hAnsi="Verdana"/>
          <w:sz w:val="22"/>
          <w:szCs w:val="22"/>
          <w:lang w:val="es-MX" w:eastAsia="en-US"/>
        </w:rPr>
        <w:t>actuales como los son: planes de manejo ambiental que precise la necesidad de la</w:t>
      </w:r>
      <w:r>
        <w:rPr>
          <w:rFonts w:ascii="Verdana" w:hAnsi="Verdana"/>
          <w:sz w:val="22"/>
          <w:szCs w:val="22"/>
          <w:lang w:val="es-MX" w:eastAsia="en-US"/>
        </w:rPr>
        <w:t xml:space="preserve"> </w:t>
      </w:r>
      <w:r w:rsidRPr="00946F08">
        <w:rPr>
          <w:rFonts w:ascii="Verdana" w:hAnsi="Verdana"/>
          <w:sz w:val="22"/>
          <w:szCs w:val="22"/>
          <w:lang w:val="es-MX" w:eastAsia="en-US"/>
        </w:rPr>
        <w:t>gestión de sedimentos en evaluaciones particulares de los embalses.</w:t>
      </w:r>
    </w:p>
    <w:p w14:paraId="530ABF01" w14:textId="77777777" w:rsidR="0048560C" w:rsidRPr="00BB5126" w:rsidRDefault="0048560C" w:rsidP="0048560C">
      <w:pPr>
        <w:pStyle w:val="Prrafodelista"/>
        <w:ind w:left="720"/>
        <w:jc w:val="both"/>
        <w:rPr>
          <w:rFonts w:ascii="Verdana" w:hAnsi="Verdana"/>
          <w:sz w:val="22"/>
          <w:szCs w:val="22"/>
          <w:lang w:val="es-MX" w:eastAsia="en-US"/>
        </w:rPr>
      </w:pPr>
    </w:p>
    <w:p w14:paraId="5E4E6BE4" w14:textId="77777777" w:rsidR="0048560C" w:rsidRDefault="0048560C" w:rsidP="0048560C">
      <w:pPr>
        <w:pStyle w:val="Prrafodelista"/>
        <w:numPr>
          <w:ilvl w:val="0"/>
          <w:numId w:val="3"/>
        </w:numPr>
        <w:jc w:val="both"/>
        <w:rPr>
          <w:rFonts w:ascii="Verdana" w:hAnsi="Verdana"/>
          <w:sz w:val="22"/>
          <w:szCs w:val="22"/>
          <w:lang w:val="es-MX" w:eastAsia="en-US"/>
        </w:rPr>
      </w:pPr>
      <w:r w:rsidRPr="00BB5126">
        <w:rPr>
          <w:rFonts w:ascii="Verdana" w:hAnsi="Verdana"/>
          <w:sz w:val="22"/>
          <w:szCs w:val="22"/>
          <w:lang w:val="es-MX" w:eastAsia="en-US"/>
        </w:rPr>
        <w:t>Realizar el diagnóstico del estado actual de los embalses con el fin de que sirva como</w:t>
      </w:r>
      <w:r w:rsidRPr="00946F08">
        <w:rPr>
          <w:rFonts w:ascii="Verdana" w:hAnsi="Verdana"/>
          <w:sz w:val="22"/>
          <w:szCs w:val="22"/>
          <w:lang w:val="es-MX" w:eastAsia="en-US"/>
        </w:rPr>
        <w:t xml:space="preserve"> </w:t>
      </w:r>
      <w:r w:rsidRPr="00BB5126">
        <w:rPr>
          <w:rFonts w:ascii="Verdana" w:hAnsi="Verdana"/>
          <w:sz w:val="22"/>
          <w:szCs w:val="22"/>
          <w:lang w:val="es-MX" w:eastAsia="en-US"/>
        </w:rPr>
        <w:t>insumos internos para identificar las necesidades actuales y las medidas correctas que</w:t>
      </w:r>
      <w:r>
        <w:rPr>
          <w:rFonts w:ascii="Verdana" w:hAnsi="Verdana"/>
          <w:sz w:val="22"/>
          <w:szCs w:val="22"/>
          <w:lang w:val="es-MX" w:eastAsia="en-US"/>
        </w:rPr>
        <w:t xml:space="preserve"> </w:t>
      </w:r>
      <w:r w:rsidRPr="00946F08">
        <w:rPr>
          <w:rFonts w:ascii="Verdana" w:hAnsi="Verdana"/>
          <w:sz w:val="22"/>
          <w:szCs w:val="22"/>
          <w:lang w:val="es-MX" w:eastAsia="en-US"/>
        </w:rPr>
        <w:t>se tomar</w:t>
      </w:r>
      <w:r>
        <w:rPr>
          <w:rFonts w:ascii="Verdana" w:hAnsi="Verdana"/>
          <w:sz w:val="22"/>
          <w:szCs w:val="22"/>
          <w:lang w:val="es-MX" w:eastAsia="en-US"/>
        </w:rPr>
        <w:t>á</w:t>
      </w:r>
      <w:r w:rsidRPr="00946F08">
        <w:rPr>
          <w:rFonts w:ascii="Verdana" w:hAnsi="Verdana"/>
          <w:sz w:val="22"/>
          <w:szCs w:val="22"/>
          <w:lang w:val="es-MX" w:eastAsia="en-US"/>
        </w:rPr>
        <w:t>n para el manejo de sedimentos.</w:t>
      </w:r>
    </w:p>
    <w:p w14:paraId="018E0491" w14:textId="77777777" w:rsidR="0048560C" w:rsidRPr="00BB5126" w:rsidRDefault="0048560C" w:rsidP="0048560C">
      <w:pPr>
        <w:pStyle w:val="Prrafodelista"/>
        <w:ind w:left="720"/>
        <w:jc w:val="both"/>
        <w:rPr>
          <w:rFonts w:ascii="Verdana" w:hAnsi="Verdana"/>
          <w:sz w:val="22"/>
          <w:szCs w:val="22"/>
          <w:lang w:val="es-MX" w:eastAsia="en-US"/>
        </w:rPr>
      </w:pPr>
    </w:p>
    <w:p w14:paraId="4051D005" w14:textId="77777777" w:rsidR="0048560C" w:rsidRPr="00BB5126" w:rsidRDefault="0048560C" w:rsidP="0048560C">
      <w:pPr>
        <w:pStyle w:val="Prrafodelista"/>
        <w:numPr>
          <w:ilvl w:val="0"/>
          <w:numId w:val="3"/>
        </w:numPr>
        <w:jc w:val="both"/>
        <w:rPr>
          <w:rFonts w:ascii="Verdana" w:hAnsi="Verdana"/>
          <w:sz w:val="22"/>
          <w:szCs w:val="22"/>
          <w:lang w:val="es-MX" w:eastAsia="en-US"/>
        </w:rPr>
      </w:pPr>
      <w:r w:rsidRPr="00BB5126">
        <w:rPr>
          <w:rFonts w:ascii="Verdana" w:hAnsi="Verdana"/>
          <w:sz w:val="22"/>
          <w:szCs w:val="22"/>
          <w:lang w:val="es-MX" w:eastAsia="en-US"/>
        </w:rPr>
        <w:t>Integrar en la evaluación de gestión de sedimentos la línea de caudal ambiental</w:t>
      </w:r>
      <w:r>
        <w:rPr>
          <w:rFonts w:ascii="Verdana" w:hAnsi="Verdana"/>
          <w:sz w:val="22"/>
          <w:szCs w:val="22"/>
          <w:lang w:val="es-MX" w:eastAsia="en-US"/>
        </w:rPr>
        <w:t>.</w:t>
      </w:r>
    </w:p>
    <w:p w14:paraId="1DA62324" w14:textId="77777777" w:rsidR="0048560C" w:rsidRDefault="0048560C" w:rsidP="0048560C">
      <w:pPr>
        <w:pStyle w:val="Prrafodelista"/>
        <w:ind w:left="360"/>
        <w:jc w:val="both"/>
        <w:rPr>
          <w:rFonts w:ascii="Verdana" w:hAnsi="Verdana"/>
          <w:sz w:val="22"/>
          <w:szCs w:val="22"/>
          <w:lang w:val="es-MX" w:eastAsia="en-US"/>
        </w:rPr>
      </w:pPr>
    </w:p>
    <w:p w14:paraId="099EDA6C" w14:textId="77777777" w:rsidR="0048560C" w:rsidRPr="00BB5126" w:rsidRDefault="0048560C" w:rsidP="0048560C">
      <w:pPr>
        <w:pStyle w:val="Prrafodelista"/>
        <w:ind w:left="360"/>
        <w:jc w:val="both"/>
        <w:rPr>
          <w:rFonts w:ascii="Verdana" w:hAnsi="Verdana"/>
          <w:sz w:val="22"/>
          <w:szCs w:val="22"/>
          <w:u w:val="single"/>
          <w:lang w:val="es-MX" w:eastAsia="en-US"/>
        </w:rPr>
      </w:pPr>
      <w:r w:rsidRPr="00BB5126">
        <w:rPr>
          <w:rFonts w:ascii="Verdana" w:hAnsi="Verdana"/>
          <w:sz w:val="22"/>
          <w:szCs w:val="22"/>
          <w:u w:val="single"/>
          <w:lang w:val="es-MX" w:eastAsia="en-US"/>
        </w:rPr>
        <w:t>Línea de Hidroenergía Sostenible.</w:t>
      </w:r>
    </w:p>
    <w:p w14:paraId="2E2E1982" w14:textId="77777777" w:rsidR="0048560C" w:rsidRDefault="0048560C" w:rsidP="0048560C">
      <w:pPr>
        <w:pStyle w:val="Prrafodelista"/>
        <w:ind w:left="360"/>
        <w:jc w:val="both"/>
        <w:rPr>
          <w:rFonts w:ascii="Verdana" w:hAnsi="Verdana"/>
          <w:sz w:val="22"/>
          <w:szCs w:val="22"/>
          <w:lang w:val="es-MX" w:eastAsia="en-US"/>
        </w:rPr>
      </w:pPr>
    </w:p>
    <w:p w14:paraId="39955383" w14:textId="77777777" w:rsidR="0048560C" w:rsidRDefault="0048560C" w:rsidP="0048560C">
      <w:pPr>
        <w:pStyle w:val="Prrafodelista"/>
        <w:numPr>
          <w:ilvl w:val="0"/>
          <w:numId w:val="3"/>
        </w:numPr>
        <w:jc w:val="both"/>
        <w:rPr>
          <w:rFonts w:ascii="Verdana" w:hAnsi="Verdana"/>
          <w:sz w:val="22"/>
          <w:szCs w:val="22"/>
          <w:lang w:val="es-MX" w:eastAsia="en-US"/>
        </w:rPr>
      </w:pPr>
      <w:r w:rsidRPr="009B2F23">
        <w:rPr>
          <w:rFonts w:ascii="Verdana" w:hAnsi="Verdana"/>
          <w:sz w:val="22"/>
          <w:szCs w:val="22"/>
          <w:lang w:val="es-MX" w:eastAsia="en-US"/>
        </w:rPr>
        <w:t>Se concreta que la idea sería la construcción de un documento guía de buenas</w:t>
      </w:r>
      <w:r>
        <w:rPr>
          <w:rFonts w:ascii="Verdana" w:hAnsi="Verdana"/>
          <w:sz w:val="22"/>
          <w:szCs w:val="22"/>
          <w:lang w:val="es-MX" w:eastAsia="en-US"/>
        </w:rPr>
        <w:t xml:space="preserve"> </w:t>
      </w:r>
      <w:r w:rsidRPr="00BB5126">
        <w:rPr>
          <w:rFonts w:ascii="Verdana" w:hAnsi="Verdana"/>
          <w:sz w:val="22"/>
          <w:szCs w:val="22"/>
          <w:lang w:val="es-MX" w:eastAsia="en-US"/>
        </w:rPr>
        <w:t>prácticas del sector energético con los siguientes temas priorizados</w:t>
      </w:r>
      <w:r>
        <w:rPr>
          <w:rFonts w:ascii="Verdana" w:hAnsi="Verdana"/>
          <w:sz w:val="22"/>
          <w:szCs w:val="22"/>
          <w:lang w:val="es-MX" w:eastAsia="en-US"/>
        </w:rPr>
        <w:t>:</w:t>
      </w:r>
    </w:p>
    <w:p w14:paraId="30B1A6C7" w14:textId="77777777" w:rsidR="0048560C" w:rsidRDefault="0048560C" w:rsidP="0048560C">
      <w:pPr>
        <w:pStyle w:val="Prrafodelista"/>
        <w:ind w:left="720"/>
        <w:jc w:val="both"/>
        <w:rPr>
          <w:rFonts w:ascii="Verdana" w:hAnsi="Verdana"/>
          <w:sz w:val="22"/>
          <w:szCs w:val="22"/>
          <w:lang w:val="es-MX" w:eastAsia="en-US"/>
        </w:rPr>
      </w:pPr>
    </w:p>
    <w:p w14:paraId="2A57E022" w14:textId="77777777" w:rsidR="0048560C" w:rsidRDefault="0048560C" w:rsidP="0048560C">
      <w:pPr>
        <w:pStyle w:val="Prrafodelista"/>
        <w:numPr>
          <w:ilvl w:val="1"/>
          <w:numId w:val="3"/>
        </w:numPr>
        <w:jc w:val="both"/>
        <w:rPr>
          <w:rFonts w:ascii="Verdana" w:hAnsi="Verdana"/>
          <w:sz w:val="22"/>
          <w:szCs w:val="22"/>
          <w:lang w:val="es-MX" w:eastAsia="en-US"/>
        </w:rPr>
      </w:pPr>
      <w:r w:rsidRPr="00BB5126">
        <w:rPr>
          <w:rFonts w:ascii="Verdana" w:hAnsi="Verdana"/>
          <w:sz w:val="22"/>
          <w:szCs w:val="22"/>
          <w:lang w:val="es-MX" w:eastAsia="en-US"/>
        </w:rPr>
        <w:t>Requerimientos ambientales y neutralidad tecnológica, análisis y recomendaciones de</w:t>
      </w:r>
      <w:r>
        <w:rPr>
          <w:rFonts w:ascii="Verdana" w:hAnsi="Verdana"/>
          <w:sz w:val="22"/>
          <w:szCs w:val="22"/>
          <w:lang w:val="es-MX" w:eastAsia="en-US"/>
        </w:rPr>
        <w:t xml:space="preserve"> </w:t>
      </w:r>
      <w:r w:rsidRPr="00BB5126">
        <w:rPr>
          <w:rFonts w:ascii="Verdana" w:hAnsi="Verdana"/>
          <w:sz w:val="22"/>
          <w:szCs w:val="22"/>
          <w:lang w:val="es-MX" w:eastAsia="en-US"/>
        </w:rPr>
        <w:t>aspectos de regulación para aprovechamiento del potencial hidroeléctrico.</w:t>
      </w:r>
    </w:p>
    <w:p w14:paraId="083E48E7" w14:textId="77777777" w:rsidR="0048560C" w:rsidRDefault="0048560C" w:rsidP="0048560C">
      <w:pPr>
        <w:pStyle w:val="Prrafodelista"/>
        <w:ind w:left="1440"/>
        <w:jc w:val="both"/>
        <w:rPr>
          <w:rFonts w:ascii="Verdana" w:hAnsi="Verdana"/>
          <w:sz w:val="22"/>
          <w:szCs w:val="22"/>
          <w:lang w:val="es-MX" w:eastAsia="en-US"/>
        </w:rPr>
      </w:pPr>
    </w:p>
    <w:p w14:paraId="587F8382" w14:textId="77777777" w:rsidR="0048560C" w:rsidRDefault="0048560C" w:rsidP="0048560C">
      <w:pPr>
        <w:pStyle w:val="Prrafodelista"/>
        <w:numPr>
          <w:ilvl w:val="1"/>
          <w:numId w:val="3"/>
        </w:numPr>
        <w:jc w:val="both"/>
        <w:rPr>
          <w:rFonts w:ascii="Verdana" w:hAnsi="Verdana"/>
          <w:sz w:val="22"/>
          <w:szCs w:val="22"/>
          <w:lang w:val="es-MX" w:eastAsia="en-US"/>
        </w:rPr>
      </w:pPr>
      <w:r w:rsidRPr="00BB5126">
        <w:rPr>
          <w:rFonts w:ascii="Verdana" w:hAnsi="Verdana"/>
          <w:sz w:val="22"/>
          <w:szCs w:val="22"/>
          <w:lang w:val="es-MX" w:eastAsia="en-US"/>
        </w:rPr>
        <w:t>Revisión de experiencias de hidroelectricidad sostenible en el mundo.</w:t>
      </w:r>
    </w:p>
    <w:p w14:paraId="2EE4F7E8" w14:textId="77777777" w:rsidR="0048560C" w:rsidRDefault="0048560C" w:rsidP="0048560C">
      <w:pPr>
        <w:pStyle w:val="Prrafodelista"/>
        <w:ind w:left="1440"/>
        <w:jc w:val="both"/>
        <w:rPr>
          <w:rFonts w:ascii="Verdana" w:hAnsi="Verdana"/>
          <w:sz w:val="22"/>
          <w:szCs w:val="22"/>
          <w:lang w:val="es-MX" w:eastAsia="en-US"/>
        </w:rPr>
      </w:pPr>
    </w:p>
    <w:p w14:paraId="2107456B" w14:textId="77777777" w:rsidR="0048560C" w:rsidRDefault="0048560C" w:rsidP="0048560C">
      <w:pPr>
        <w:pStyle w:val="Prrafodelista"/>
        <w:numPr>
          <w:ilvl w:val="1"/>
          <w:numId w:val="3"/>
        </w:numPr>
        <w:jc w:val="both"/>
        <w:rPr>
          <w:rFonts w:ascii="Verdana" w:hAnsi="Verdana"/>
          <w:sz w:val="22"/>
          <w:szCs w:val="22"/>
          <w:lang w:val="es-MX" w:eastAsia="en-US"/>
        </w:rPr>
      </w:pPr>
      <w:r w:rsidRPr="00BB5126">
        <w:rPr>
          <w:rFonts w:ascii="Verdana" w:hAnsi="Verdana"/>
          <w:sz w:val="22"/>
          <w:szCs w:val="22"/>
          <w:lang w:val="es-MX" w:eastAsia="en-US"/>
        </w:rPr>
        <w:t>Identificación de bondades desde la hidroelectricidad. Beneficios en firmeza del</w:t>
      </w:r>
      <w:r>
        <w:rPr>
          <w:rFonts w:ascii="Verdana" w:hAnsi="Verdana"/>
          <w:sz w:val="22"/>
          <w:szCs w:val="22"/>
          <w:lang w:val="es-MX" w:eastAsia="en-US"/>
        </w:rPr>
        <w:t xml:space="preserve"> </w:t>
      </w:r>
      <w:r w:rsidRPr="00BB5126">
        <w:rPr>
          <w:rFonts w:ascii="Verdana" w:hAnsi="Verdana"/>
          <w:sz w:val="22"/>
          <w:szCs w:val="22"/>
          <w:lang w:val="es-MX" w:eastAsia="en-US"/>
        </w:rPr>
        <w:t>sistema</w:t>
      </w:r>
      <w:r>
        <w:rPr>
          <w:rFonts w:ascii="Verdana" w:hAnsi="Verdana"/>
          <w:sz w:val="22"/>
          <w:szCs w:val="22"/>
          <w:lang w:val="es-MX" w:eastAsia="en-US"/>
        </w:rPr>
        <w:t>.</w:t>
      </w:r>
    </w:p>
    <w:p w14:paraId="2EFECDF3" w14:textId="77777777" w:rsidR="0048560C" w:rsidRDefault="0048560C" w:rsidP="0048560C">
      <w:pPr>
        <w:pStyle w:val="Prrafodelista"/>
        <w:ind w:left="1440"/>
        <w:jc w:val="both"/>
        <w:rPr>
          <w:rFonts w:ascii="Verdana" w:hAnsi="Verdana"/>
          <w:sz w:val="22"/>
          <w:szCs w:val="22"/>
          <w:lang w:val="es-MX" w:eastAsia="en-US"/>
        </w:rPr>
      </w:pPr>
    </w:p>
    <w:p w14:paraId="002F9FF9" w14:textId="77777777" w:rsidR="0048560C" w:rsidRDefault="0048560C" w:rsidP="0048560C">
      <w:pPr>
        <w:pStyle w:val="Prrafodelista"/>
        <w:numPr>
          <w:ilvl w:val="1"/>
          <w:numId w:val="3"/>
        </w:numPr>
        <w:jc w:val="both"/>
        <w:rPr>
          <w:rFonts w:ascii="Verdana" w:hAnsi="Verdana"/>
          <w:sz w:val="22"/>
          <w:szCs w:val="22"/>
          <w:lang w:val="es-MX" w:eastAsia="en-US"/>
        </w:rPr>
      </w:pPr>
      <w:r w:rsidRPr="00BB5126">
        <w:rPr>
          <w:rFonts w:ascii="Verdana" w:hAnsi="Verdana"/>
          <w:sz w:val="22"/>
          <w:szCs w:val="22"/>
          <w:lang w:val="es-MX" w:eastAsia="en-US"/>
        </w:rPr>
        <w:t>Formulación de una guía para las buenas prácticas para la formulación de nuevos</w:t>
      </w:r>
      <w:r>
        <w:rPr>
          <w:rFonts w:ascii="Verdana" w:hAnsi="Verdana"/>
          <w:sz w:val="22"/>
          <w:szCs w:val="22"/>
          <w:lang w:val="es-MX" w:eastAsia="en-US"/>
        </w:rPr>
        <w:t xml:space="preserve"> </w:t>
      </w:r>
      <w:r w:rsidRPr="00BB5126">
        <w:rPr>
          <w:rFonts w:ascii="Verdana" w:hAnsi="Verdana"/>
          <w:sz w:val="22"/>
          <w:szCs w:val="22"/>
          <w:lang w:val="es-MX" w:eastAsia="en-US"/>
        </w:rPr>
        <w:t>proyectos</w:t>
      </w:r>
      <w:r>
        <w:rPr>
          <w:rFonts w:ascii="Verdana" w:hAnsi="Verdana"/>
          <w:sz w:val="22"/>
          <w:szCs w:val="22"/>
          <w:lang w:val="es-MX" w:eastAsia="en-US"/>
        </w:rPr>
        <w:t>.</w:t>
      </w:r>
    </w:p>
    <w:p w14:paraId="3E18CBE1" w14:textId="77777777" w:rsidR="0048560C" w:rsidRDefault="0048560C" w:rsidP="0048560C">
      <w:pPr>
        <w:pStyle w:val="Prrafodelista"/>
        <w:ind w:left="1440"/>
        <w:jc w:val="both"/>
        <w:rPr>
          <w:rFonts w:ascii="Verdana" w:hAnsi="Verdana"/>
          <w:sz w:val="22"/>
          <w:szCs w:val="22"/>
          <w:lang w:val="es-MX" w:eastAsia="en-US"/>
        </w:rPr>
      </w:pPr>
    </w:p>
    <w:p w14:paraId="585247F6" w14:textId="77777777" w:rsidR="0048560C" w:rsidRPr="00BB5126" w:rsidRDefault="0048560C" w:rsidP="0048560C">
      <w:pPr>
        <w:pStyle w:val="Prrafodelista"/>
        <w:numPr>
          <w:ilvl w:val="1"/>
          <w:numId w:val="3"/>
        </w:numPr>
        <w:jc w:val="both"/>
        <w:rPr>
          <w:rFonts w:ascii="Verdana" w:hAnsi="Verdana"/>
          <w:sz w:val="22"/>
          <w:szCs w:val="22"/>
          <w:lang w:val="es-MX" w:eastAsia="en-US"/>
        </w:rPr>
      </w:pPr>
      <w:r w:rsidRPr="00BB5126">
        <w:rPr>
          <w:rFonts w:ascii="Verdana" w:hAnsi="Verdana"/>
          <w:sz w:val="22"/>
          <w:szCs w:val="22"/>
          <w:lang w:val="es-MX" w:eastAsia="en-US"/>
        </w:rPr>
        <w:t>Realizar modelación de impactos que demuestre las bondades de la hidroelectricidad</w:t>
      </w:r>
      <w:r>
        <w:rPr>
          <w:rFonts w:ascii="Verdana" w:hAnsi="Verdana"/>
          <w:sz w:val="22"/>
          <w:szCs w:val="22"/>
          <w:lang w:val="es-MX" w:eastAsia="en-US"/>
        </w:rPr>
        <w:t xml:space="preserve"> </w:t>
      </w:r>
      <w:r w:rsidRPr="00BB5126">
        <w:rPr>
          <w:rFonts w:ascii="Verdana" w:hAnsi="Verdana"/>
          <w:sz w:val="22"/>
          <w:szCs w:val="22"/>
          <w:lang w:val="es-MX" w:eastAsia="en-US"/>
        </w:rPr>
        <w:t>en la matriz energética actual.</w:t>
      </w:r>
    </w:p>
    <w:p w14:paraId="679F8CB2" w14:textId="77777777" w:rsidR="0048560C" w:rsidRDefault="0048560C" w:rsidP="0048560C">
      <w:pPr>
        <w:pStyle w:val="Prrafodelista"/>
        <w:ind w:left="360"/>
        <w:jc w:val="both"/>
        <w:rPr>
          <w:rFonts w:ascii="Verdana" w:hAnsi="Verdana"/>
          <w:sz w:val="22"/>
          <w:szCs w:val="22"/>
          <w:lang w:val="es-MX" w:eastAsia="en-US"/>
        </w:rPr>
      </w:pPr>
    </w:p>
    <w:p w14:paraId="6EE56AD1" w14:textId="77777777" w:rsidR="0048560C" w:rsidRDefault="0048560C" w:rsidP="0048560C">
      <w:pPr>
        <w:pStyle w:val="Prrafodelista"/>
        <w:numPr>
          <w:ilvl w:val="0"/>
          <w:numId w:val="1"/>
        </w:numPr>
        <w:jc w:val="both"/>
        <w:rPr>
          <w:rFonts w:ascii="Verdana" w:hAnsi="Verdana"/>
          <w:sz w:val="22"/>
          <w:szCs w:val="22"/>
          <w:lang w:val="es-MX" w:eastAsia="en-US"/>
        </w:rPr>
      </w:pPr>
      <w:r>
        <w:rPr>
          <w:rFonts w:ascii="Verdana" w:hAnsi="Verdana"/>
          <w:sz w:val="22"/>
          <w:szCs w:val="22"/>
          <w:lang w:val="es-MX" w:eastAsia="en-US"/>
        </w:rPr>
        <w:t>En el SPO se revisó de m</w:t>
      </w:r>
      <w:r w:rsidRPr="004C7BE2">
        <w:rPr>
          <w:rFonts w:ascii="Verdana" w:hAnsi="Verdana"/>
          <w:sz w:val="22"/>
          <w:szCs w:val="22"/>
          <w:lang w:val="es-MX" w:eastAsia="en-US"/>
        </w:rPr>
        <w:t>a</w:t>
      </w:r>
      <w:r>
        <w:rPr>
          <w:rFonts w:ascii="Verdana" w:hAnsi="Verdana"/>
          <w:sz w:val="22"/>
          <w:szCs w:val="22"/>
          <w:lang w:val="es-MX" w:eastAsia="en-US"/>
        </w:rPr>
        <w:t>ner</w:t>
      </w:r>
      <w:r w:rsidRPr="004C7BE2">
        <w:rPr>
          <w:rFonts w:ascii="Verdana" w:hAnsi="Verdana"/>
          <w:sz w:val="22"/>
          <w:szCs w:val="22"/>
          <w:lang w:val="es-MX" w:eastAsia="en-US"/>
        </w:rPr>
        <w:t>a</w:t>
      </w:r>
      <w:r>
        <w:rPr>
          <w:rFonts w:ascii="Verdana" w:hAnsi="Verdana"/>
          <w:sz w:val="22"/>
          <w:szCs w:val="22"/>
          <w:lang w:val="es-MX" w:eastAsia="en-US"/>
        </w:rPr>
        <w:t xml:space="preserve"> det</w:t>
      </w:r>
      <w:r w:rsidRPr="004C7BE2">
        <w:rPr>
          <w:rFonts w:ascii="Verdana" w:hAnsi="Verdana"/>
          <w:sz w:val="22"/>
          <w:szCs w:val="22"/>
          <w:lang w:val="es-MX" w:eastAsia="en-US"/>
        </w:rPr>
        <w:t>a</w:t>
      </w:r>
      <w:r>
        <w:rPr>
          <w:rFonts w:ascii="Verdana" w:hAnsi="Verdana"/>
          <w:sz w:val="22"/>
          <w:szCs w:val="22"/>
          <w:lang w:val="es-MX" w:eastAsia="en-US"/>
        </w:rPr>
        <w:t>ll</w:t>
      </w:r>
      <w:r w:rsidRPr="004C7BE2">
        <w:rPr>
          <w:rFonts w:ascii="Verdana" w:hAnsi="Verdana"/>
          <w:sz w:val="22"/>
          <w:szCs w:val="22"/>
          <w:lang w:val="es-MX" w:eastAsia="en-US"/>
        </w:rPr>
        <w:t>a</w:t>
      </w:r>
      <w:r>
        <w:rPr>
          <w:rFonts w:ascii="Verdana" w:hAnsi="Verdana"/>
          <w:sz w:val="22"/>
          <w:szCs w:val="22"/>
          <w:lang w:val="es-MX" w:eastAsia="en-US"/>
        </w:rPr>
        <w:t>d</w:t>
      </w:r>
      <w:r w:rsidRPr="004C7BE2">
        <w:rPr>
          <w:rFonts w:ascii="Verdana" w:hAnsi="Verdana"/>
          <w:sz w:val="22"/>
          <w:szCs w:val="22"/>
          <w:lang w:val="es-MX" w:eastAsia="en-US"/>
        </w:rPr>
        <w:t>a</w:t>
      </w:r>
      <w:r>
        <w:rPr>
          <w:rFonts w:ascii="Verdana" w:hAnsi="Verdana"/>
          <w:sz w:val="22"/>
          <w:szCs w:val="22"/>
          <w:lang w:val="es-MX" w:eastAsia="en-US"/>
        </w:rPr>
        <w:t xml:space="preserve"> l</w:t>
      </w:r>
      <w:r w:rsidRPr="004C7BE2">
        <w:rPr>
          <w:rFonts w:ascii="Verdana" w:hAnsi="Verdana"/>
          <w:sz w:val="22"/>
          <w:szCs w:val="22"/>
          <w:lang w:val="es-MX" w:eastAsia="en-US"/>
        </w:rPr>
        <w:t>a</w:t>
      </w:r>
      <w:r>
        <w:rPr>
          <w:rFonts w:ascii="Verdana" w:hAnsi="Verdana"/>
          <w:sz w:val="22"/>
          <w:szCs w:val="22"/>
          <w:lang w:val="es-MX" w:eastAsia="en-US"/>
        </w:rPr>
        <w:t xml:space="preserve"> respuest</w:t>
      </w:r>
      <w:r w:rsidRPr="004C7BE2">
        <w:rPr>
          <w:rFonts w:ascii="Verdana" w:hAnsi="Verdana"/>
          <w:sz w:val="22"/>
          <w:szCs w:val="22"/>
          <w:lang w:val="es-MX" w:eastAsia="en-US"/>
        </w:rPr>
        <w:t>a</w:t>
      </w:r>
      <w:r>
        <w:rPr>
          <w:rFonts w:ascii="Verdana" w:hAnsi="Verdana"/>
          <w:sz w:val="22"/>
          <w:szCs w:val="22"/>
          <w:lang w:val="es-MX" w:eastAsia="en-US"/>
        </w:rPr>
        <w:t xml:space="preserve"> </w:t>
      </w:r>
      <w:r w:rsidRPr="004C7BE2">
        <w:rPr>
          <w:rFonts w:ascii="Verdana" w:hAnsi="Verdana"/>
          <w:sz w:val="22"/>
          <w:szCs w:val="22"/>
          <w:lang w:val="es-MX" w:eastAsia="en-US"/>
        </w:rPr>
        <w:t>a</w:t>
      </w:r>
      <w:r>
        <w:rPr>
          <w:rFonts w:ascii="Verdana" w:hAnsi="Verdana"/>
          <w:sz w:val="22"/>
          <w:szCs w:val="22"/>
          <w:lang w:val="es-MX" w:eastAsia="en-US"/>
        </w:rPr>
        <w:t xml:space="preserve"> l</w:t>
      </w:r>
      <w:r w:rsidRPr="004C7BE2">
        <w:rPr>
          <w:rFonts w:ascii="Verdana" w:hAnsi="Verdana"/>
          <w:sz w:val="22"/>
          <w:szCs w:val="22"/>
          <w:lang w:val="es-MX" w:eastAsia="en-US"/>
        </w:rPr>
        <w:t>a</w:t>
      </w:r>
      <w:r>
        <w:rPr>
          <w:rFonts w:ascii="Verdana" w:hAnsi="Verdana"/>
          <w:sz w:val="22"/>
          <w:szCs w:val="22"/>
          <w:lang w:val="es-MX" w:eastAsia="en-US"/>
        </w:rPr>
        <w:t>s observ</w:t>
      </w:r>
      <w:r w:rsidRPr="004C7BE2">
        <w:rPr>
          <w:rFonts w:ascii="Verdana" w:hAnsi="Verdana"/>
          <w:sz w:val="22"/>
          <w:szCs w:val="22"/>
          <w:lang w:val="es-MX" w:eastAsia="en-US"/>
        </w:rPr>
        <w:t>a</w:t>
      </w:r>
      <w:r>
        <w:rPr>
          <w:rFonts w:ascii="Verdana" w:hAnsi="Verdana"/>
          <w:sz w:val="22"/>
          <w:szCs w:val="22"/>
          <w:lang w:val="es-MX" w:eastAsia="en-US"/>
        </w:rPr>
        <w:t xml:space="preserve">ciones del Consejo </w:t>
      </w:r>
      <w:r w:rsidRPr="004C7BE2">
        <w:rPr>
          <w:rFonts w:ascii="Verdana" w:hAnsi="Verdana"/>
          <w:sz w:val="22"/>
          <w:szCs w:val="22"/>
          <w:lang w:val="es-MX" w:eastAsia="en-US"/>
        </w:rPr>
        <w:t>a</w:t>
      </w:r>
      <w:r>
        <w:rPr>
          <w:rFonts w:ascii="Verdana" w:hAnsi="Verdana"/>
          <w:sz w:val="22"/>
          <w:szCs w:val="22"/>
          <w:lang w:val="es-MX" w:eastAsia="en-US"/>
        </w:rPr>
        <w:t xml:space="preserve"> l</w:t>
      </w:r>
      <w:r w:rsidRPr="004C7BE2">
        <w:rPr>
          <w:rFonts w:ascii="Verdana" w:hAnsi="Verdana"/>
          <w:sz w:val="22"/>
          <w:szCs w:val="22"/>
          <w:lang w:val="es-MX" w:eastAsia="en-US"/>
        </w:rPr>
        <w:t>a</w:t>
      </w:r>
      <w:r>
        <w:rPr>
          <w:rFonts w:ascii="Verdana" w:hAnsi="Verdana"/>
          <w:sz w:val="22"/>
          <w:szCs w:val="22"/>
          <w:lang w:val="es-MX" w:eastAsia="en-US"/>
        </w:rPr>
        <w:t xml:space="preserve"> segund</w:t>
      </w:r>
      <w:r w:rsidRPr="004C7BE2">
        <w:rPr>
          <w:rFonts w:ascii="Verdana" w:hAnsi="Verdana"/>
          <w:sz w:val="22"/>
          <w:szCs w:val="22"/>
          <w:lang w:val="es-MX" w:eastAsia="en-US"/>
        </w:rPr>
        <w:t>a</w:t>
      </w:r>
      <w:r>
        <w:rPr>
          <w:rFonts w:ascii="Verdana" w:hAnsi="Verdana"/>
          <w:sz w:val="22"/>
          <w:szCs w:val="22"/>
          <w:lang w:val="es-MX" w:eastAsia="en-US"/>
        </w:rPr>
        <w:t xml:space="preserve"> versión del estudio de flexibilid</w:t>
      </w:r>
      <w:r w:rsidRPr="004C7BE2">
        <w:rPr>
          <w:rFonts w:ascii="Verdana" w:hAnsi="Verdana"/>
          <w:sz w:val="22"/>
          <w:szCs w:val="22"/>
          <w:lang w:val="es-MX" w:eastAsia="en-US"/>
        </w:rPr>
        <w:t>a</w:t>
      </w:r>
      <w:r>
        <w:rPr>
          <w:rFonts w:ascii="Verdana" w:hAnsi="Verdana"/>
          <w:sz w:val="22"/>
          <w:szCs w:val="22"/>
          <w:lang w:val="es-MX" w:eastAsia="en-US"/>
        </w:rPr>
        <w:t>d del CND. A p</w:t>
      </w:r>
      <w:r w:rsidRPr="004C7BE2">
        <w:rPr>
          <w:rFonts w:ascii="Verdana" w:hAnsi="Verdana"/>
          <w:sz w:val="22"/>
          <w:szCs w:val="22"/>
          <w:lang w:val="es-MX" w:eastAsia="en-US"/>
        </w:rPr>
        <w:t>a</w:t>
      </w:r>
      <w:r>
        <w:rPr>
          <w:rFonts w:ascii="Verdana" w:hAnsi="Verdana"/>
          <w:sz w:val="22"/>
          <w:szCs w:val="22"/>
          <w:lang w:val="es-MX" w:eastAsia="en-US"/>
        </w:rPr>
        <w:t>rtir de l</w:t>
      </w:r>
      <w:r w:rsidRPr="004C7BE2">
        <w:rPr>
          <w:rFonts w:ascii="Verdana" w:hAnsi="Verdana"/>
          <w:sz w:val="22"/>
          <w:szCs w:val="22"/>
          <w:lang w:val="es-MX" w:eastAsia="en-US"/>
        </w:rPr>
        <w:t>a</w:t>
      </w:r>
      <w:r>
        <w:rPr>
          <w:rFonts w:ascii="Verdana" w:hAnsi="Verdana"/>
          <w:sz w:val="22"/>
          <w:szCs w:val="22"/>
          <w:lang w:val="es-MX" w:eastAsia="en-US"/>
        </w:rPr>
        <w:t xml:space="preserve"> inter</w:t>
      </w:r>
      <w:r w:rsidRPr="004C7BE2">
        <w:rPr>
          <w:rFonts w:ascii="Verdana" w:hAnsi="Verdana"/>
          <w:sz w:val="22"/>
          <w:szCs w:val="22"/>
          <w:lang w:val="es-MX" w:eastAsia="en-US"/>
        </w:rPr>
        <w:t>a</w:t>
      </w:r>
      <w:r>
        <w:rPr>
          <w:rFonts w:ascii="Verdana" w:hAnsi="Verdana"/>
          <w:sz w:val="22"/>
          <w:szCs w:val="22"/>
          <w:lang w:val="es-MX" w:eastAsia="en-US"/>
        </w:rPr>
        <w:t>cción del subcomité, se está construyendo un</w:t>
      </w:r>
      <w:r w:rsidRPr="004C7BE2">
        <w:rPr>
          <w:rFonts w:ascii="Verdana" w:hAnsi="Verdana"/>
          <w:sz w:val="22"/>
          <w:szCs w:val="22"/>
          <w:lang w:val="es-MX" w:eastAsia="en-US"/>
        </w:rPr>
        <w:t>a</w:t>
      </w:r>
      <w:r>
        <w:rPr>
          <w:rFonts w:ascii="Verdana" w:hAnsi="Verdana"/>
          <w:sz w:val="22"/>
          <w:szCs w:val="22"/>
          <w:lang w:val="es-MX" w:eastAsia="en-US"/>
        </w:rPr>
        <w:t xml:space="preserve"> propuest</w:t>
      </w:r>
      <w:r w:rsidRPr="004C7BE2">
        <w:rPr>
          <w:rFonts w:ascii="Verdana" w:hAnsi="Verdana"/>
          <w:sz w:val="22"/>
          <w:szCs w:val="22"/>
          <w:lang w:val="es-MX" w:eastAsia="en-US"/>
        </w:rPr>
        <w:t>a</w:t>
      </w:r>
      <w:r>
        <w:rPr>
          <w:rFonts w:ascii="Verdana" w:hAnsi="Verdana"/>
          <w:sz w:val="22"/>
          <w:szCs w:val="22"/>
          <w:lang w:val="es-MX" w:eastAsia="en-US"/>
        </w:rPr>
        <w:t xml:space="preserve"> sobre el </w:t>
      </w:r>
      <w:r w:rsidRPr="004C7BE2">
        <w:rPr>
          <w:rFonts w:ascii="Verdana" w:hAnsi="Verdana"/>
          <w:sz w:val="22"/>
          <w:szCs w:val="22"/>
          <w:lang w:val="es-MX" w:eastAsia="en-US"/>
        </w:rPr>
        <w:t>a</w:t>
      </w:r>
      <w:r>
        <w:rPr>
          <w:rFonts w:ascii="Verdana" w:hAnsi="Verdana"/>
          <w:sz w:val="22"/>
          <w:szCs w:val="22"/>
          <w:lang w:val="es-MX" w:eastAsia="en-US"/>
        </w:rPr>
        <w:t>lc</w:t>
      </w:r>
      <w:r w:rsidRPr="004C7BE2">
        <w:rPr>
          <w:rFonts w:ascii="Verdana" w:hAnsi="Verdana"/>
          <w:sz w:val="22"/>
          <w:szCs w:val="22"/>
          <w:lang w:val="es-MX" w:eastAsia="en-US"/>
        </w:rPr>
        <w:t>a</w:t>
      </w:r>
      <w:r>
        <w:rPr>
          <w:rFonts w:ascii="Verdana" w:hAnsi="Verdana"/>
          <w:sz w:val="22"/>
          <w:szCs w:val="22"/>
          <w:lang w:val="es-MX" w:eastAsia="en-US"/>
        </w:rPr>
        <w:t>nce y objetivo de l</w:t>
      </w:r>
      <w:r w:rsidRPr="004C7BE2">
        <w:rPr>
          <w:rFonts w:ascii="Verdana" w:hAnsi="Verdana"/>
          <w:sz w:val="22"/>
          <w:szCs w:val="22"/>
          <w:lang w:val="es-MX" w:eastAsia="en-US"/>
        </w:rPr>
        <w:t>a</w:t>
      </w:r>
      <w:r>
        <w:rPr>
          <w:rFonts w:ascii="Verdana" w:hAnsi="Verdana"/>
          <w:sz w:val="22"/>
          <w:szCs w:val="22"/>
          <w:lang w:val="es-MX" w:eastAsia="en-US"/>
        </w:rPr>
        <w:t xml:space="preserve"> tercer</w:t>
      </w:r>
      <w:r w:rsidRPr="004C7BE2">
        <w:rPr>
          <w:rFonts w:ascii="Verdana" w:hAnsi="Verdana"/>
          <w:sz w:val="22"/>
          <w:szCs w:val="22"/>
          <w:lang w:val="es-MX" w:eastAsia="en-US"/>
        </w:rPr>
        <w:t>a</w:t>
      </w:r>
      <w:r>
        <w:rPr>
          <w:rFonts w:ascii="Verdana" w:hAnsi="Verdana"/>
          <w:sz w:val="22"/>
          <w:szCs w:val="22"/>
          <w:lang w:val="es-MX" w:eastAsia="en-US"/>
        </w:rPr>
        <w:t xml:space="preserve"> versión del estudio, el cu</w:t>
      </w:r>
      <w:r w:rsidRPr="004C7BE2">
        <w:rPr>
          <w:rFonts w:ascii="Verdana" w:hAnsi="Verdana"/>
          <w:sz w:val="22"/>
          <w:szCs w:val="22"/>
          <w:lang w:val="es-MX" w:eastAsia="en-US"/>
        </w:rPr>
        <w:t>a</w:t>
      </w:r>
      <w:r>
        <w:rPr>
          <w:rFonts w:ascii="Verdana" w:hAnsi="Verdana"/>
          <w:sz w:val="22"/>
          <w:szCs w:val="22"/>
          <w:lang w:val="es-MX" w:eastAsia="en-US"/>
        </w:rPr>
        <w:t>l el</w:t>
      </w:r>
      <w:r w:rsidRPr="004C7BE2">
        <w:rPr>
          <w:rFonts w:ascii="Verdana" w:hAnsi="Verdana"/>
          <w:sz w:val="22"/>
          <w:szCs w:val="22"/>
          <w:lang w:val="es-MX" w:eastAsia="en-US"/>
        </w:rPr>
        <w:t>a</w:t>
      </w:r>
      <w:r>
        <w:rPr>
          <w:rFonts w:ascii="Verdana" w:hAnsi="Verdana"/>
          <w:sz w:val="22"/>
          <w:szCs w:val="22"/>
          <w:lang w:val="es-MX" w:eastAsia="en-US"/>
        </w:rPr>
        <w:t>bor</w:t>
      </w:r>
      <w:r w:rsidRPr="004C7BE2">
        <w:rPr>
          <w:rFonts w:ascii="Verdana" w:hAnsi="Verdana"/>
          <w:sz w:val="22"/>
          <w:szCs w:val="22"/>
          <w:lang w:val="es-MX" w:eastAsia="en-US"/>
        </w:rPr>
        <w:t>a</w:t>
      </w:r>
      <w:r>
        <w:rPr>
          <w:rFonts w:ascii="Verdana" w:hAnsi="Verdana"/>
          <w:sz w:val="22"/>
          <w:szCs w:val="22"/>
          <w:lang w:val="es-MX" w:eastAsia="en-US"/>
        </w:rPr>
        <w:t>rí</w:t>
      </w:r>
      <w:r w:rsidRPr="004C7BE2">
        <w:rPr>
          <w:rFonts w:ascii="Verdana" w:hAnsi="Verdana"/>
          <w:sz w:val="22"/>
          <w:szCs w:val="22"/>
          <w:lang w:val="es-MX" w:eastAsia="en-US"/>
        </w:rPr>
        <w:t>a</w:t>
      </w:r>
      <w:r>
        <w:rPr>
          <w:rFonts w:ascii="Verdana" w:hAnsi="Verdana"/>
          <w:sz w:val="22"/>
          <w:szCs w:val="22"/>
          <w:lang w:val="es-MX" w:eastAsia="en-US"/>
        </w:rPr>
        <w:t xml:space="preserve"> XM dur</w:t>
      </w:r>
      <w:r w:rsidRPr="004C7BE2">
        <w:rPr>
          <w:rFonts w:ascii="Verdana" w:hAnsi="Verdana"/>
          <w:sz w:val="22"/>
          <w:szCs w:val="22"/>
          <w:lang w:val="es-MX" w:eastAsia="en-US"/>
        </w:rPr>
        <w:t>a</w:t>
      </w:r>
      <w:r>
        <w:rPr>
          <w:rFonts w:ascii="Verdana" w:hAnsi="Verdana"/>
          <w:sz w:val="22"/>
          <w:szCs w:val="22"/>
          <w:lang w:val="es-MX" w:eastAsia="en-US"/>
        </w:rPr>
        <w:t xml:space="preserve">nte el segundo semestre del </w:t>
      </w:r>
      <w:r w:rsidRPr="004C7BE2">
        <w:rPr>
          <w:rFonts w:ascii="Verdana" w:hAnsi="Verdana"/>
          <w:sz w:val="22"/>
          <w:szCs w:val="22"/>
          <w:lang w:val="es-MX" w:eastAsia="en-US"/>
        </w:rPr>
        <w:t>a</w:t>
      </w:r>
      <w:r>
        <w:rPr>
          <w:rFonts w:ascii="Verdana" w:hAnsi="Verdana"/>
          <w:sz w:val="22"/>
          <w:szCs w:val="22"/>
          <w:lang w:val="es-MX" w:eastAsia="en-US"/>
        </w:rPr>
        <w:t>ño en curso. El det</w:t>
      </w:r>
      <w:r w:rsidRPr="004C7BE2">
        <w:rPr>
          <w:rFonts w:ascii="Verdana" w:hAnsi="Verdana"/>
          <w:sz w:val="22"/>
          <w:szCs w:val="22"/>
          <w:lang w:val="es-MX" w:eastAsia="en-US"/>
        </w:rPr>
        <w:t>a</w:t>
      </w:r>
      <w:r>
        <w:rPr>
          <w:rFonts w:ascii="Verdana" w:hAnsi="Verdana"/>
          <w:sz w:val="22"/>
          <w:szCs w:val="22"/>
          <w:lang w:val="es-MX" w:eastAsia="en-US"/>
        </w:rPr>
        <w:t>lle de los coment</w:t>
      </w:r>
      <w:r w:rsidRPr="004C7BE2">
        <w:rPr>
          <w:rFonts w:ascii="Verdana" w:hAnsi="Verdana"/>
          <w:sz w:val="22"/>
          <w:szCs w:val="22"/>
          <w:lang w:val="es-MX" w:eastAsia="en-US"/>
        </w:rPr>
        <w:t>a</w:t>
      </w:r>
      <w:r>
        <w:rPr>
          <w:rFonts w:ascii="Verdana" w:hAnsi="Verdana"/>
          <w:sz w:val="22"/>
          <w:szCs w:val="22"/>
          <w:lang w:val="es-MX" w:eastAsia="en-US"/>
        </w:rPr>
        <w:t>rios y l</w:t>
      </w:r>
      <w:r w:rsidRPr="004C7BE2">
        <w:rPr>
          <w:rFonts w:ascii="Verdana" w:hAnsi="Verdana"/>
          <w:sz w:val="22"/>
          <w:szCs w:val="22"/>
          <w:lang w:val="es-MX" w:eastAsia="en-US"/>
        </w:rPr>
        <w:t>a</w:t>
      </w:r>
      <w:r>
        <w:rPr>
          <w:rFonts w:ascii="Verdana" w:hAnsi="Verdana"/>
          <w:sz w:val="22"/>
          <w:szCs w:val="22"/>
          <w:lang w:val="es-MX" w:eastAsia="en-US"/>
        </w:rPr>
        <w:t>s respuest</w:t>
      </w:r>
      <w:r w:rsidRPr="004C7BE2">
        <w:rPr>
          <w:rFonts w:ascii="Verdana" w:hAnsi="Verdana"/>
          <w:sz w:val="22"/>
          <w:szCs w:val="22"/>
          <w:lang w:val="es-MX" w:eastAsia="en-US"/>
        </w:rPr>
        <w:t>a</w:t>
      </w:r>
      <w:r>
        <w:rPr>
          <w:rFonts w:ascii="Verdana" w:hAnsi="Verdana"/>
          <w:sz w:val="22"/>
          <w:szCs w:val="22"/>
          <w:lang w:val="es-MX" w:eastAsia="en-US"/>
        </w:rPr>
        <w:t>s del Oper</w:t>
      </w:r>
      <w:r w:rsidRPr="004C7BE2">
        <w:rPr>
          <w:rFonts w:ascii="Verdana" w:hAnsi="Verdana"/>
          <w:sz w:val="22"/>
          <w:szCs w:val="22"/>
          <w:lang w:val="es-MX" w:eastAsia="en-US"/>
        </w:rPr>
        <w:t>a</w:t>
      </w:r>
      <w:r>
        <w:rPr>
          <w:rFonts w:ascii="Verdana" w:hAnsi="Verdana"/>
          <w:sz w:val="22"/>
          <w:szCs w:val="22"/>
          <w:lang w:val="es-MX" w:eastAsia="en-US"/>
        </w:rPr>
        <w:t>dor del SIN se pueden consult</w:t>
      </w:r>
      <w:r w:rsidRPr="004C7BE2">
        <w:rPr>
          <w:rFonts w:ascii="Verdana" w:hAnsi="Verdana"/>
          <w:sz w:val="22"/>
          <w:szCs w:val="22"/>
          <w:lang w:val="es-MX" w:eastAsia="en-US"/>
        </w:rPr>
        <w:t>a</w:t>
      </w:r>
      <w:r>
        <w:rPr>
          <w:rFonts w:ascii="Verdana" w:hAnsi="Verdana"/>
          <w:sz w:val="22"/>
          <w:szCs w:val="22"/>
          <w:lang w:val="es-MX" w:eastAsia="en-US"/>
        </w:rPr>
        <w:t>r en l</w:t>
      </w:r>
      <w:r w:rsidRPr="004C7BE2">
        <w:rPr>
          <w:rFonts w:ascii="Verdana" w:hAnsi="Verdana"/>
          <w:sz w:val="22"/>
          <w:szCs w:val="22"/>
          <w:lang w:val="es-MX" w:eastAsia="en-US"/>
        </w:rPr>
        <w:t>a</w:t>
      </w:r>
      <w:r>
        <w:rPr>
          <w:rFonts w:ascii="Verdana" w:hAnsi="Verdana"/>
          <w:sz w:val="22"/>
          <w:szCs w:val="22"/>
          <w:lang w:val="es-MX" w:eastAsia="en-US"/>
        </w:rPr>
        <w:t xml:space="preserve"> págin</w:t>
      </w:r>
      <w:r w:rsidRPr="004C7BE2">
        <w:rPr>
          <w:rFonts w:ascii="Verdana" w:hAnsi="Verdana"/>
          <w:sz w:val="22"/>
          <w:szCs w:val="22"/>
          <w:lang w:val="es-MX" w:eastAsia="en-US"/>
        </w:rPr>
        <w:t>a</w:t>
      </w:r>
      <w:r>
        <w:rPr>
          <w:rFonts w:ascii="Verdana" w:hAnsi="Verdana"/>
          <w:sz w:val="22"/>
          <w:szCs w:val="22"/>
          <w:lang w:val="es-MX" w:eastAsia="en-US"/>
        </w:rPr>
        <w:t xml:space="preserve"> web del Consejo. </w:t>
      </w:r>
    </w:p>
    <w:p w14:paraId="723FD22D" w14:textId="77777777" w:rsidR="0048560C" w:rsidRPr="00BB5126" w:rsidRDefault="0048560C" w:rsidP="0048560C">
      <w:pPr>
        <w:pStyle w:val="Prrafodelista"/>
        <w:rPr>
          <w:rFonts w:ascii="Verdana" w:hAnsi="Verdana"/>
          <w:sz w:val="22"/>
          <w:szCs w:val="22"/>
          <w:lang w:val="es-MX" w:eastAsia="en-US"/>
        </w:rPr>
      </w:pPr>
    </w:p>
    <w:p w14:paraId="156F0B1A" w14:textId="77777777" w:rsidR="0048560C" w:rsidRDefault="0048560C" w:rsidP="0048560C">
      <w:pPr>
        <w:pStyle w:val="Prrafodelista"/>
        <w:numPr>
          <w:ilvl w:val="0"/>
          <w:numId w:val="1"/>
        </w:numPr>
        <w:jc w:val="both"/>
        <w:rPr>
          <w:rFonts w:ascii="Verdana" w:hAnsi="Verdana"/>
          <w:sz w:val="22"/>
          <w:szCs w:val="22"/>
          <w:lang w:val="es-MX" w:eastAsia="en-US"/>
        </w:rPr>
      </w:pPr>
      <w:r w:rsidRPr="00BB5126">
        <w:rPr>
          <w:rFonts w:ascii="Verdana" w:hAnsi="Verdana"/>
          <w:sz w:val="22"/>
          <w:szCs w:val="22"/>
          <w:lang w:val="es-MX" w:eastAsia="en-US"/>
        </w:rPr>
        <w:t xml:space="preserve">Desarrollo del Acuerdo CNO para el ajuste de los </w:t>
      </w:r>
      <w:r>
        <w:rPr>
          <w:rFonts w:ascii="Verdana" w:hAnsi="Verdana"/>
          <w:sz w:val="22"/>
          <w:szCs w:val="22"/>
          <w:lang w:val="es-MX" w:eastAsia="en-US"/>
        </w:rPr>
        <w:t>Estabilizadores del Sistema de Potencia-</w:t>
      </w:r>
      <w:r w:rsidRPr="00BB5126">
        <w:rPr>
          <w:rFonts w:ascii="Verdana" w:hAnsi="Verdana"/>
          <w:sz w:val="22"/>
          <w:szCs w:val="22"/>
          <w:lang w:val="es-MX" w:eastAsia="en-US"/>
        </w:rPr>
        <w:t>PSS del SIN</w:t>
      </w:r>
      <w:r>
        <w:rPr>
          <w:rFonts w:ascii="Verdana" w:hAnsi="Verdana"/>
          <w:sz w:val="22"/>
          <w:szCs w:val="22"/>
          <w:lang w:val="es-MX" w:eastAsia="en-US"/>
        </w:rPr>
        <w:t>: En el Subcomité de Controles del Consejo-SC se está redactando</w:t>
      </w:r>
      <w:r w:rsidRPr="00516204">
        <w:rPr>
          <w:rFonts w:ascii="Verdana" w:hAnsi="Verdana"/>
          <w:sz w:val="22"/>
          <w:szCs w:val="22"/>
          <w:lang w:val="es-MX" w:eastAsia="en-US"/>
        </w:rPr>
        <w:t xml:space="preserve"> </w:t>
      </w:r>
      <w:r>
        <w:rPr>
          <w:rFonts w:ascii="Verdana" w:hAnsi="Verdana"/>
          <w:sz w:val="22"/>
          <w:szCs w:val="22"/>
          <w:lang w:val="es-MX" w:eastAsia="en-US"/>
        </w:rPr>
        <w:t>un</w:t>
      </w:r>
      <w:r w:rsidRPr="00516204">
        <w:rPr>
          <w:rFonts w:ascii="Verdana" w:hAnsi="Verdana"/>
          <w:sz w:val="22"/>
          <w:szCs w:val="22"/>
          <w:lang w:val="es-MX" w:eastAsia="en-US"/>
        </w:rPr>
        <w:t xml:space="preserve"> Acuerdo con los comentarios e inquietudes planteadas por los agentes</w:t>
      </w:r>
      <w:r>
        <w:rPr>
          <w:rFonts w:ascii="Verdana" w:hAnsi="Verdana"/>
          <w:sz w:val="22"/>
          <w:szCs w:val="22"/>
          <w:lang w:val="es-MX" w:eastAsia="en-US"/>
        </w:rPr>
        <w:t xml:space="preserve"> sobre este tema</w:t>
      </w:r>
      <w:r w:rsidRPr="00516204">
        <w:rPr>
          <w:rFonts w:ascii="Verdana" w:hAnsi="Verdana"/>
          <w:sz w:val="22"/>
          <w:szCs w:val="22"/>
          <w:lang w:val="es-MX" w:eastAsia="en-US"/>
        </w:rPr>
        <w:t>. Adicionalmente, se</w:t>
      </w:r>
      <w:r>
        <w:rPr>
          <w:rFonts w:ascii="Verdana" w:hAnsi="Verdana"/>
          <w:sz w:val="22"/>
          <w:szCs w:val="22"/>
          <w:lang w:val="es-MX" w:eastAsia="en-US"/>
        </w:rPr>
        <w:t xml:space="preserve"> </w:t>
      </w:r>
      <w:r w:rsidRPr="00516204">
        <w:rPr>
          <w:rFonts w:ascii="Verdana" w:hAnsi="Verdana"/>
          <w:sz w:val="22"/>
          <w:szCs w:val="22"/>
          <w:lang w:val="es-MX" w:eastAsia="en-US"/>
        </w:rPr>
        <w:t>ratific</w:t>
      </w:r>
      <w:r>
        <w:rPr>
          <w:rFonts w:ascii="Verdana" w:hAnsi="Verdana"/>
          <w:sz w:val="22"/>
          <w:szCs w:val="22"/>
          <w:lang w:val="es-MX" w:eastAsia="en-US"/>
        </w:rPr>
        <w:t>ó</w:t>
      </w:r>
      <w:r w:rsidRPr="00516204">
        <w:rPr>
          <w:rFonts w:ascii="Verdana" w:hAnsi="Verdana"/>
          <w:sz w:val="22"/>
          <w:szCs w:val="22"/>
          <w:lang w:val="es-MX" w:eastAsia="en-US"/>
        </w:rPr>
        <w:t xml:space="preserve"> la decisión tomada en el Comité de Operación</w:t>
      </w:r>
      <w:r>
        <w:rPr>
          <w:rFonts w:ascii="Verdana" w:hAnsi="Verdana"/>
          <w:sz w:val="22"/>
          <w:szCs w:val="22"/>
          <w:lang w:val="es-MX" w:eastAsia="en-US"/>
        </w:rPr>
        <w:t>-CO,</w:t>
      </w:r>
      <w:r w:rsidRPr="00516204">
        <w:rPr>
          <w:rFonts w:ascii="Verdana" w:hAnsi="Verdana"/>
          <w:sz w:val="22"/>
          <w:szCs w:val="22"/>
          <w:lang w:val="es-MX" w:eastAsia="en-US"/>
        </w:rPr>
        <w:t xml:space="preserve"> de asignar la responsabilidad del ajuste de estos dispositivos a los agentes, utilizando los criterios y resultados de estudios sistémicos suministrados por el CND.</w:t>
      </w:r>
      <w:r>
        <w:rPr>
          <w:rFonts w:ascii="Verdana" w:hAnsi="Verdana"/>
          <w:sz w:val="22"/>
          <w:szCs w:val="22"/>
          <w:lang w:val="es-MX" w:eastAsia="en-US"/>
        </w:rPr>
        <w:t xml:space="preserve"> </w:t>
      </w:r>
    </w:p>
    <w:p w14:paraId="60099692" w14:textId="77777777" w:rsidR="0048560C" w:rsidRPr="00BB5126" w:rsidRDefault="0048560C" w:rsidP="0048560C">
      <w:pPr>
        <w:pStyle w:val="Prrafodelista"/>
        <w:rPr>
          <w:rFonts w:ascii="Verdana" w:hAnsi="Verdana"/>
          <w:sz w:val="22"/>
          <w:szCs w:val="22"/>
          <w:lang w:val="es-MX" w:eastAsia="en-US"/>
        </w:rPr>
      </w:pPr>
    </w:p>
    <w:p w14:paraId="6AE24CBB" w14:textId="77777777" w:rsidR="0048560C" w:rsidRDefault="0048560C" w:rsidP="0048560C">
      <w:pPr>
        <w:pStyle w:val="Prrafodelista"/>
        <w:numPr>
          <w:ilvl w:val="0"/>
          <w:numId w:val="1"/>
        </w:numPr>
        <w:jc w:val="both"/>
        <w:rPr>
          <w:rFonts w:ascii="Verdana" w:hAnsi="Verdana"/>
          <w:sz w:val="22"/>
          <w:szCs w:val="22"/>
          <w:lang w:val="es-MX" w:eastAsia="en-US"/>
        </w:rPr>
      </w:pPr>
      <w:r>
        <w:rPr>
          <w:rFonts w:ascii="Verdana" w:hAnsi="Verdana"/>
          <w:sz w:val="22"/>
          <w:szCs w:val="22"/>
          <w:lang w:val="es-MX" w:eastAsia="en-US"/>
        </w:rPr>
        <w:t xml:space="preserve">Se llevó a cabo la reunión conjunta de los Comités de Transmisión, Distribución, Operación, Supervisión y Ciberseguridad (CT, CD, CO y CSyC), en la que el CND socializó los resultados del reciente Informe de Planeamiento Operativo Eléctrico de Mediano Plazo-IPOEMP. Con relación al trimestre anterior, las restricciones no han variado de manera considerable. No obstante, se identificó durante el transcurso de la reunión los riesgos operativos que podrían comprometer la atención de la demanda del Meta y Casanare ante dobles contingencias. Es por ello, que se acordó abordar este tema prioritariamente en el Subcomité de Análisis y Planeamiento Eléctrico-SAPE. </w:t>
      </w:r>
    </w:p>
    <w:p w14:paraId="06A69F25" w14:textId="77777777" w:rsidR="0048560C" w:rsidRPr="00B878E8" w:rsidRDefault="0048560C" w:rsidP="0048560C">
      <w:pPr>
        <w:rPr>
          <w:rFonts w:ascii="Verdana" w:hAnsi="Verdana"/>
          <w:bCs/>
        </w:rPr>
      </w:pPr>
    </w:p>
    <w:p w14:paraId="4133EFA3" w14:textId="77777777" w:rsidR="0048560C" w:rsidRPr="00BB5126" w:rsidRDefault="0048560C" w:rsidP="0048560C">
      <w:pPr>
        <w:pStyle w:val="Prrafodelista"/>
        <w:numPr>
          <w:ilvl w:val="0"/>
          <w:numId w:val="1"/>
        </w:numPr>
        <w:shd w:val="clear" w:color="auto" w:fill="FFFFFF"/>
        <w:spacing w:after="225"/>
        <w:jc w:val="both"/>
        <w:textAlignment w:val="baseline"/>
        <w:rPr>
          <w:rFonts w:ascii="Verdana" w:hAnsi="Verdana"/>
          <w:sz w:val="22"/>
          <w:szCs w:val="22"/>
          <w:lang w:val="es-MX"/>
        </w:rPr>
      </w:pPr>
      <w:r w:rsidRPr="00444103">
        <w:rPr>
          <w:rFonts w:ascii="Verdana" w:hAnsi="Verdana"/>
          <w:sz w:val="22"/>
          <w:szCs w:val="22"/>
          <w:lang w:val="es-MX"/>
        </w:rPr>
        <w:t>En el Comité de Distribución-CD del Consejo se est</w:t>
      </w:r>
      <w:r w:rsidRPr="00444103">
        <w:rPr>
          <w:rFonts w:ascii="Verdana" w:hAnsi="Verdana"/>
          <w:bCs/>
          <w:sz w:val="22"/>
          <w:szCs w:val="22"/>
          <w:lang w:val="es-MX"/>
        </w:rPr>
        <w:t>á llev</w:t>
      </w:r>
      <w:r w:rsidRPr="00444103">
        <w:rPr>
          <w:rFonts w:ascii="Verdana" w:hAnsi="Verdana"/>
          <w:bCs/>
          <w:sz w:val="22"/>
          <w:szCs w:val="22"/>
        </w:rPr>
        <w:t xml:space="preserve">ando a cabo el seguimiento a la </w:t>
      </w:r>
      <w:r w:rsidRPr="00444103">
        <w:rPr>
          <w:rFonts w:ascii="Verdana" w:hAnsi="Verdana"/>
          <w:sz w:val="22"/>
          <w:szCs w:val="22"/>
          <w:lang w:val="es-MX"/>
        </w:rPr>
        <w:t>implementación de los Planes de Acción definidos por los Operadores de Red, deriv</w:t>
      </w:r>
      <w:proofErr w:type="spellStart"/>
      <w:r w:rsidRPr="00444103">
        <w:rPr>
          <w:rFonts w:ascii="Verdana" w:hAnsi="Verdana"/>
          <w:bCs/>
          <w:sz w:val="22"/>
          <w:szCs w:val="22"/>
        </w:rPr>
        <w:t>ados</w:t>
      </w:r>
      <w:proofErr w:type="spellEnd"/>
      <w:r w:rsidRPr="00444103">
        <w:rPr>
          <w:rFonts w:ascii="Verdana" w:hAnsi="Verdana"/>
          <w:bCs/>
          <w:sz w:val="22"/>
          <w:szCs w:val="22"/>
        </w:rPr>
        <w:t xml:space="preserve"> de las a</w:t>
      </w:r>
      <w:r w:rsidRPr="00444103">
        <w:rPr>
          <w:rFonts w:ascii="Verdana" w:hAnsi="Verdana"/>
          <w:sz w:val="22"/>
          <w:szCs w:val="22"/>
          <w:lang w:val="es-MX"/>
        </w:rPr>
        <w:t xml:space="preserve">cciones pendientes de los análisis de los eventos del SIN. </w:t>
      </w:r>
      <w:r>
        <w:rPr>
          <w:rFonts w:ascii="Verdana" w:hAnsi="Verdana"/>
          <w:sz w:val="22"/>
          <w:szCs w:val="22"/>
          <w:lang w:val="es-MX"/>
        </w:rPr>
        <w:t>Respecto a EMSA, se identificó que</w:t>
      </w:r>
      <w:r w:rsidRPr="00D218C5">
        <w:rPr>
          <w:rFonts w:ascii="Verdana" w:hAnsi="Verdana"/>
          <w:sz w:val="22"/>
          <w:szCs w:val="22"/>
          <w:lang w:val="es-MX"/>
        </w:rPr>
        <w:t xml:space="preserve"> se está presentando un grave riesgo para la atención segura de la demanda de energía del Departamento de Meta, debido a la no operatividad de la protección diferencial de barras en la subestación Reforma 115 kV, que al momento de la </w:t>
      </w:r>
      <w:r>
        <w:rPr>
          <w:rFonts w:ascii="Verdana" w:hAnsi="Verdana"/>
          <w:sz w:val="22"/>
          <w:szCs w:val="22"/>
          <w:lang w:val="es-MX"/>
        </w:rPr>
        <w:t>reunión del CD</w:t>
      </w:r>
      <w:r w:rsidRPr="00D218C5">
        <w:rPr>
          <w:rFonts w:ascii="Verdana" w:hAnsi="Verdana"/>
          <w:sz w:val="22"/>
          <w:szCs w:val="22"/>
          <w:lang w:val="es-MX"/>
        </w:rPr>
        <w:t xml:space="preserve"> </w:t>
      </w:r>
      <w:r>
        <w:rPr>
          <w:rFonts w:ascii="Verdana" w:hAnsi="Verdana"/>
          <w:sz w:val="22"/>
          <w:szCs w:val="22"/>
          <w:lang w:val="es-MX"/>
        </w:rPr>
        <w:t>no h</w:t>
      </w:r>
      <w:r w:rsidRPr="00D218C5">
        <w:rPr>
          <w:rFonts w:ascii="Verdana" w:hAnsi="Verdana"/>
          <w:sz w:val="22"/>
          <w:szCs w:val="22"/>
          <w:lang w:val="es-MX"/>
        </w:rPr>
        <w:t>a</w:t>
      </w:r>
      <w:r>
        <w:rPr>
          <w:rFonts w:ascii="Verdana" w:hAnsi="Verdana"/>
          <w:sz w:val="22"/>
          <w:szCs w:val="22"/>
          <w:lang w:val="es-MX"/>
        </w:rPr>
        <w:t>bí</w:t>
      </w:r>
      <w:r w:rsidRPr="00D218C5">
        <w:rPr>
          <w:rFonts w:ascii="Verdana" w:hAnsi="Verdana"/>
          <w:sz w:val="22"/>
          <w:szCs w:val="22"/>
          <w:lang w:val="es-MX"/>
        </w:rPr>
        <w:t>a</w:t>
      </w:r>
      <w:r>
        <w:rPr>
          <w:rFonts w:ascii="Verdana" w:hAnsi="Verdana"/>
          <w:sz w:val="22"/>
          <w:szCs w:val="22"/>
          <w:lang w:val="es-MX"/>
        </w:rPr>
        <w:t xml:space="preserve"> </w:t>
      </w:r>
      <w:r w:rsidRPr="00D218C5">
        <w:rPr>
          <w:rFonts w:ascii="Verdana" w:hAnsi="Verdana"/>
          <w:sz w:val="22"/>
          <w:szCs w:val="22"/>
          <w:lang w:val="es-MX"/>
        </w:rPr>
        <w:t>sido reportada al Centro Nacional de Despacho. Adicionalmente, se han establecido algunas condiciones particulares en otros activos de propiedad de EMSA, las cuales podrían representar riesgos para la atención de la demanda de la subárea Meta y que podrían mitigarse si se llevan a cabo acciones en el corto plazo.</w:t>
      </w:r>
    </w:p>
    <w:p w14:paraId="007D059A" w14:textId="77777777" w:rsidR="0048560C" w:rsidRPr="00BB5126" w:rsidRDefault="0048560C" w:rsidP="0048560C">
      <w:pPr>
        <w:pStyle w:val="Prrafodelista"/>
        <w:shd w:val="clear" w:color="auto" w:fill="FFFFFF"/>
        <w:spacing w:after="225"/>
        <w:ind w:left="360"/>
        <w:jc w:val="both"/>
        <w:textAlignment w:val="baseline"/>
        <w:rPr>
          <w:rFonts w:ascii="Verdana" w:hAnsi="Verdana"/>
          <w:sz w:val="22"/>
          <w:szCs w:val="22"/>
          <w:lang w:val="es-MX"/>
        </w:rPr>
      </w:pPr>
      <w:r w:rsidRPr="00D218C5">
        <w:rPr>
          <w:rFonts w:ascii="Verdana" w:hAnsi="Verdana"/>
          <w:sz w:val="22"/>
          <w:szCs w:val="22"/>
          <w:lang w:val="es-MX"/>
        </w:rPr>
        <w:t>Por lo anterior</w:t>
      </w:r>
      <w:r>
        <w:rPr>
          <w:rFonts w:ascii="Verdana" w:hAnsi="Verdana"/>
          <w:sz w:val="22"/>
          <w:szCs w:val="22"/>
          <w:lang w:val="es-MX"/>
        </w:rPr>
        <w:t xml:space="preserve"> se envió comunic</w:t>
      </w:r>
      <w:r w:rsidRPr="00D218C5">
        <w:rPr>
          <w:rFonts w:ascii="Verdana" w:hAnsi="Verdana"/>
          <w:sz w:val="22"/>
          <w:szCs w:val="22"/>
          <w:lang w:val="es-MX"/>
        </w:rPr>
        <w:t>a</w:t>
      </w:r>
      <w:r>
        <w:rPr>
          <w:rFonts w:ascii="Verdana" w:hAnsi="Verdana"/>
          <w:sz w:val="22"/>
          <w:szCs w:val="22"/>
          <w:lang w:val="es-MX"/>
        </w:rPr>
        <w:t xml:space="preserve">ción </w:t>
      </w:r>
      <w:r w:rsidRPr="00D218C5">
        <w:rPr>
          <w:rFonts w:ascii="Verdana" w:hAnsi="Verdana"/>
          <w:sz w:val="22"/>
          <w:szCs w:val="22"/>
          <w:lang w:val="es-MX"/>
        </w:rPr>
        <w:t>a</w:t>
      </w:r>
      <w:r>
        <w:rPr>
          <w:rFonts w:ascii="Verdana" w:hAnsi="Verdana"/>
          <w:sz w:val="22"/>
          <w:szCs w:val="22"/>
          <w:lang w:val="es-MX"/>
        </w:rPr>
        <w:t xml:space="preserve"> EMSA con copia a l</w:t>
      </w:r>
      <w:r w:rsidRPr="00D218C5">
        <w:rPr>
          <w:rFonts w:ascii="Verdana" w:hAnsi="Verdana"/>
          <w:sz w:val="22"/>
          <w:szCs w:val="22"/>
          <w:lang w:val="es-MX"/>
        </w:rPr>
        <w:t>a</w:t>
      </w:r>
      <w:r>
        <w:rPr>
          <w:rFonts w:ascii="Verdana" w:hAnsi="Verdana"/>
          <w:sz w:val="22"/>
          <w:szCs w:val="22"/>
          <w:lang w:val="es-MX"/>
        </w:rPr>
        <w:t xml:space="preserve"> SSPD p</w:t>
      </w:r>
      <w:r w:rsidRPr="00D218C5">
        <w:rPr>
          <w:rFonts w:ascii="Verdana" w:hAnsi="Verdana"/>
          <w:sz w:val="22"/>
          <w:szCs w:val="22"/>
          <w:lang w:val="es-MX"/>
        </w:rPr>
        <w:t>a</w:t>
      </w:r>
      <w:r>
        <w:rPr>
          <w:rFonts w:ascii="Verdana" w:hAnsi="Verdana"/>
          <w:sz w:val="22"/>
          <w:szCs w:val="22"/>
          <w:lang w:val="es-MX"/>
        </w:rPr>
        <w:t>r</w:t>
      </w:r>
      <w:r w:rsidRPr="00D218C5">
        <w:rPr>
          <w:rFonts w:ascii="Verdana" w:hAnsi="Verdana"/>
          <w:sz w:val="22"/>
          <w:szCs w:val="22"/>
          <w:lang w:val="es-MX"/>
        </w:rPr>
        <w:t>a</w:t>
      </w:r>
      <w:r>
        <w:rPr>
          <w:rFonts w:ascii="Verdana" w:hAnsi="Verdana"/>
          <w:sz w:val="22"/>
          <w:szCs w:val="22"/>
          <w:lang w:val="es-MX"/>
        </w:rPr>
        <w:t xml:space="preserve"> </w:t>
      </w:r>
      <w:r w:rsidRPr="00D218C5">
        <w:rPr>
          <w:rFonts w:ascii="Verdana" w:hAnsi="Verdana"/>
          <w:sz w:val="22"/>
          <w:szCs w:val="22"/>
          <w:lang w:val="es-MX"/>
        </w:rPr>
        <w:t>a</w:t>
      </w:r>
      <w:r>
        <w:rPr>
          <w:rFonts w:ascii="Verdana" w:hAnsi="Verdana"/>
          <w:sz w:val="22"/>
          <w:szCs w:val="22"/>
          <w:lang w:val="es-MX"/>
        </w:rPr>
        <w:t>lert</w:t>
      </w:r>
      <w:r w:rsidRPr="00D218C5">
        <w:rPr>
          <w:rFonts w:ascii="Verdana" w:hAnsi="Verdana"/>
          <w:sz w:val="22"/>
          <w:szCs w:val="22"/>
          <w:lang w:val="es-MX"/>
        </w:rPr>
        <w:t>a</w:t>
      </w:r>
      <w:r>
        <w:rPr>
          <w:rFonts w:ascii="Verdana" w:hAnsi="Verdana"/>
          <w:sz w:val="22"/>
          <w:szCs w:val="22"/>
          <w:lang w:val="es-MX"/>
        </w:rPr>
        <w:t>r sobre est</w:t>
      </w:r>
      <w:r w:rsidRPr="00D218C5">
        <w:rPr>
          <w:rFonts w:ascii="Verdana" w:hAnsi="Verdana"/>
          <w:sz w:val="22"/>
          <w:szCs w:val="22"/>
          <w:lang w:val="es-MX"/>
        </w:rPr>
        <w:t>a</w:t>
      </w:r>
      <w:r>
        <w:rPr>
          <w:rFonts w:ascii="Verdana" w:hAnsi="Verdana"/>
          <w:sz w:val="22"/>
          <w:szCs w:val="22"/>
          <w:lang w:val="es-MX"/>
        </w:rPr>
        <w:t xml:space="preserve"> situ</w:t>
      </w:r>
      <w:r w:rsidRPr="00D218C5">
        <w:rPr>
          <w:rFonts w:ascii="Verdana" w:hAnsi="Verdana"/>
          <w:sz w:val="22"/>
          <w:szCs w:val="22"/>
          <w:lang w:val="es-MX"/>
        </w:rPr>
        <w:t>a</w:t>
      </w:r>
      <w:r>
        <w:rPr>
          <w:rFonts w:ascii="Verdana" w:hAnsi="Verdana"/>
          <w:sz w:val="22"/>
          <w:szCs w:val="22"/>
          <w:lang w:val="es-MX"/>
        </w:rPr>
        <w:t>ción</w:t>
      </w:r>
      <w:r w:rsidRPr="00D218C5">
        <w:rPr>
          <w:rFonts w:ascii="Verdana" w:hAnsi="Verdana"/>
          <w:sz w:val="22"/>
          <w:szCs w:val="22"/>
          <w:lang w:val="es-MX"/>
        </w:rPr>
        <w:t>.</w:t>
      </w:r>
      <w:r>
        <w:rPr>
          <w:rFonts w:ascii="Verdana" w:hAnsi="Verdana"/>
          <w:sz w:val="22"/>
          <w:szCs w:val="22"/>
          <w:lang w:val="es-MX"/>
        </w:rPr>
        <w:t xml:space="preserve"> </w:t>
      </w:r>
    </w:p>
    <w:p w14:paraId="574CA010" w14:textId="77777777" w:rsidR="0048560C" w:rsidRPr="00552F11" w:rsidRDefault="0048560C" w:rsidP="0048560C">
      <w:pPr>
        <w:pStyle w:val="Prrafodelista"/>
        <w:numPr>
          <w:ilvl w:val="0"/>
          <w:numId w:val="1"/>
        </w:numPr>
        <w:shd w:val="clear" w:color="auto" w:fill="FFFFFF"/>
        <w:spacing w:after="225"/>
        <w:jc w:val="both"/>
        <w:textAlignment w:val="baseline"/>
        <w:rPr>
          <w:rFonts w:ascii="Verdana" w:hAnsi="Verdana"/>
          <w:sz w:val="22"/>
          <w:szCs w:val="22"/>
          <w:lang w:val="es-MX"/>
        </w:rPr>
      </w:pPr>
      <w:r>
        <w:rPr>
          <w:rFonts w:ascii="Verdana" w:hAnsi="Verdana"/>
          <w:sz w:val="22"/>
          <w:szCs w:val="22"/>
          <w:lang w:val="es-MX"/>
        </w:rPr>
        <w:lastRenderedPageBreak/>
        <w:t>El dí</w:t>
      </w:r>
      <w:r w:rsidRPr="00D218C5">
        <w:rPr>
          <w:rFonts w:ascii="Verdana" w:hAnsi="Verdana"/>
          <w:sz w:val="22"/>
          <w:szCs w:val="22"/>
          <w:lang w:val="es-MX"/>
        </w:rPr>
        <w:t>a</w:t>
      </w:r>
      <w:r>
        <w:rPr>
          <w:rFonts w:ascii="Verdana" w:hAnsi="Verdana"/>
          <w:sz w:val="22"/>
          <w:szCs w:val="22"/>
          <w:lang w:val="es-MX"/>
        </w:rPr>
        <w:t xml:space="preserve"> de hoy EPM soci</w:t>
      </w:r>
      <w:r w:rsidRPr="00D218C5">
        <w:rPr>
          <w:rFonts w:ascii="Verdana" w:hAnsi="Verdana"/>
          <w:sz w:val="22"/>
          <w:szCs w:val="22"/>
          <w:lang w:val="es-MX"/>
        </w:rPr>
        <w:t>a</w:t>
      </w:r>
      <w:r>
        <w:rPr>
          <w:rFonts w:ascii="Verdana" w:hAnsi="Verdana"/>
          <w:sz w:val="22"/>
          <w:szCs w:val="22"/>
          <w:lang w:val="es-MX"/>
        </w:rPr>
        <w:t>liz</w:t>
      </w:r>
      <w:r w:rsidRPr="00D218C5">
        <w:rPr>
          <w:rFonts w:ascii="Verdana" w:hAnsi="Verdana"/>
          <w:sz w:val="22"/>
          <w:szCs w:val="22"/>
          <w:lang w:val="es-MX"/>
        </w:rPr>
        <w:t>a</w:t>
      </w:r>
      <w:r>
        <w:rPr>
          <w:rFonts w:ascii="Verdana" w:hAnsi="Verdana"/>
          <w:sz w:val="22"/>
          <w:szCs w:val="22"/>
          <w:lang w:val="es-MX"/>
        </w:rPr>
        <w:t>rá los primeros result</w:t>
      </w:r>
      <w:r w:rsidRPr="00D218C5">
        <w:rPr>
          <w:rFonts w:ascii="Verdana" w:hAnsi="Verdana"/>
          <w:sz w:val="22"/>
          <w:szCs w:val="22"/>
          <w:lang w:val="es-MX"/>
        </w:rPr>
        <w:t>a</w:t>
      </w:r>
      <w:r>
        <w:rPr>
          <w:rFonts w:ascii="Verdana" w:hAnsi="Verdana"/>
          <w:sz w:val="22"/>
          <w:szCs w:val="22"/>
          <w:lang w:val="es-MX"/>
        </w:rPr>
        <w:t xml:space="preserve">dos del proyecto piloto DFACTS </w:t>
      </w:r>
      <w:r w:rsidRPr="00D218C5">
        <w:rPr>
          <w:rFonts w:ascii="Verdana" w:hAnsi="Verdana"/>
          <w:sz w:val="22"/>
          <w:szCs w:val="22"/>
          <w:lang w:val="es-MX"/>
        </w:rPr>
        <w:t>a</w:t>
      </w:r>
      <w:r>
        <w:rPr>
          <w:rFonts w:ascii="Verdana" w:hAnsi="Verdana"/>
          <w:sz w:val="22"/>
          <w:szCs w:val="22"/>
          <w:lang w:val="es-MX"/>
        </w:rPr>
        <w:t xml:space="preserve"> nivel de STR en el dep</w:t>
      </w:r>
      <w:r w:rsidRPr="00D218C5">
        <w:rPr>
          <w:rFonts w:ascii="Verdana" w:hAnsi="Verdana"/>
          <w:sz w:val="22"/>
          <w:szCs w:val="22"/>
          <w:lang w:val="es-MX"/>
        </w:rPr>
        <w:t>a</w:t>
      </w:r>
      <w:r>
        <w:rPr>
          <w:rFonts w:ascii="Verdana" w:hAnsi="Verdana"/>
          <w:sz w:val="22"/>
          <w:szCs w:val="22"/>
          <w:lang w:val="es-MX"/>
        </w:rPr>
        <w:t>rt</w:t>
      </w:r>
      <w:r w:rsidRPr="00D218C5">
        <w:rPr>
          <w:rFonts w:ascii="Verdana" w:hAnsi="Verdana"/>
          <w:sz w:val="22"/>
          <w:szCs w:val="22"/>
          <w:lang w:val="es-MX"/>
        </w:rPr>
        <w:t>a</w:t>
      </w:r>
      <w:r>
        <w:rPr>
          <w:rFonts w:ascii="Verdana" w:hAnsi="Verdana"/>
          <w:sz w:val="22"/>
          <w:szCs w:val="22"/>
          <w:lang w:val="es-MX"/>
        </w:rPr>
        <w:t>mento de Antioqui</w:t>
      </w:r>
      <w:r w:rsidRPr="00D218C5">
        <w:rPr>
          <w:rFonts w:ascii="Verdana" w:hAnsi="Verdana"/>
          <w:sz w:val="22"/>
          <w:szCs w:val="22"/>
          <w:lang w:val="es-MX"/>
        </w:rPr>
        <w:t>a</w:t>
      </w:r>
      <w:r>
        <w:rPr>
          <w:rFonts w:ascii="Verdana" w:hAnsi="Verdana"/>
          <w:sz w:val="22"/>
          <w:szCs w:val="22"/>
          <w:lang w:val="es-MX"/>
        </w:rPr>
        <w:t>. Se recomiend</w:t>
      </w:r>
      <w:r w:rsidRPr="00D218C5">
        <w:rPr>
          <w:rFonts w:ascii="Verdana" w:hAnsi="Verdana"/>
          <w:sz w:val="22"/>
          <w:szCs w:val="22"/>
          <w:lang w:val="es-MX"/>
        </w:rPr>
        <w:t>a</w:t>
      </w:r>
      <w:r>
        <w:rPr>
          <w:rFonts w:ascii="Verdana" w:hAnsi="Verdana"/>
          <w:sz w:val="22"/>
          <w:szCs w:val="22"/>
          <w:lang w:val="es-MX"/>
        </w:rPr>
        <w:t xml:space="preserve"> </w:t>
      </w:r>
      <w:r w:rsidRPr="00D218C5">
        <w:rPr>
          <w:rFonts w:ascii="Verdana" w:hAnsi="Verdana"/>
          <w:sz w:val="22"/>
          <w:szCs w:val="22"/>
          <w:lang w:val="es-MX"/>
        </w:rPr>
        <w:t>a</w:t>
      </w:r>
      <w:r>
        <w:rPr>
          <w:rFonts w:ascii="Verdana" w:hAnsi="Verdana"/>
          <w:sz w:val="22"/>
          <w:szCs w:val="22"/>
          <w:lang w:val="es-MX"/>
        </w:rPr>
        <w:t>l Consejo red</w:t>
      </w:r>
      <w:r w:rsidRPr="00D218C5">
        <w:rPr>
          <w:rFonts w:ascii="Verdana" w:hAnsi="Verdana"/>
          <w:sz w:val="22"/>
          <w:szCs w:val="22"/>
          <w:lang w:val="es-MX"/>
        </w:rPr>
        <w:t>a</w:t>
      </w:r>
      <w:r>
        <w:rPr>
          <w:rFonts w:ascii="Verdana" w:hAnsi="Verdana"/>
          <w:sz w:val="22"/>
          <w:szCs w:val="22"/>
          <w:lang w:val="es-MX"/>
        </w:rPr>
        <w:t>ct</w:t>
      </w:r>
      <w:r w:rsidRPr="00D218C5">
        <w:rPr>
          <w:rFonts w:ascii="Verdana" w:hAnsi="Verdana"/>
          <w:sz w:val="22"/>
          <w:szCs w:val="22"/>
          <w:lang w:val="es-MX"/>
        </w:rPr>
        <w:t>a</w:t>
      </w:r>
      <w:r>
        <w:rPr>
          <w:rFonts w:ascii="Verdana" w:hAnsi="Verdana"/>
          <w:sz w:val="22"/>
          <w:szCs w:val="22"/>
          <w:lang w:val="es-MX"/>
        </w:rPr>
        <w:t>r un</w:t>
      </w:r>
      <w:r w:rsidRPr="00D218C5">
        <w:rPr>
          <w:rFonts w:ascii="Verdana" w:hAnsi="Verdana"/>
          <w:sz w:val="22"/>
          <w:szCs w:val="22"/>
          <w:lang w:val="es-MX"/>
        </w:rPr>
        <w:t>a</w:t>
      </w:r>
      <w:r>
        <w:rPr>
          <w:rFonts w:ascii="Verdana" w:hAnsi="Verdana"/>
          <w:sz w:val="22"/>
          <w:szCs w:val="22"/>
          <w:lang w:val="es-MX"/>
        </w:rPr>
        <w:t xml:space="preserve"> comunicación a la CREG, solicitándole definir desde la regulación “facilidades” para el desarrollo de este tipo de “experimentos” controlados en el SIN.    </w:t>
      </w:r>
    </w:p>
    <w:p w14:paraId="31A56BB8" w14:textId="77777777" w:rsidR="0048560C" w:rsidRPr="00BB5126" w:rsidRDefault="0048560C" w:rsidP="0048560C">
      <w:pPr>
        <w:pStyle w:val="Prrafodelista"/>
        <w:numPr>
          <w:ilvl w:val="0"/>
          <w:numId w:val="1"/>
        </w:numPr>
        <w:shd w:val="clear" w:color="auto" w:fill="FFFFFF"/>
        <w:spacing w:after="225"/>
        <w:jc w:val="both"/>
        <w:textAlignment w:val="baseline"/>
        <w:rPr>
          <w:rFonts w:ascii="Verdana" w:hAnsi="Verdana"/>
          <w:sz w:val="22"/>
          <w:szCs w:val="22"/>
          <w:lang w:val="es-MX"/>
        </w:rPr>
      </w:pPr>
      <w:r w:rsidRPr="00BB5126">
        <w:rPr>
          <w:rFonts w:ascii="Verdana" w:hAnsi="Verdana"/>
          <w:sz w:val="22"/>
          <w:szCs w:val="22"/>
          <w:lang w:val="es-MX"/>
        </w:rPr>
        <w:t>La CREG estableció la senda de referencia del volumen útil agregado del SIN para la estación de invierno, en el marco de la Resolución CREG 209 de 2020. En la siguiente gráfica se muestra la misma:</w:t>
      </w:r>
    </w:p>
    <w:p w14:paraId="322231FC" w14:textId="77777777" w:rsidR="0048560C" w:rsidRPr="00BB5126" w:rsidRDefault="0048560C" w:rsidP="0048560C">
      <w:pPr>
        <w:shd w:val="clear" w:color="auto" w:fill="FFFFFF"/>
        <w:spacing w:after="225"/>
        <w:jc w:val="center"/>
        <w:textAlignment w:val="baseline"/>
        <w:rPr>
          <w:rFonts w:ascii="Verdana" w:hAnsi="Verdana"/>
          <w:lang w:val="es-MX"/>
        </w:rPr>
      </w:pPr>
      <w:r w:rsidRPr="005525CB">
        <w:rPr>
          <w:noProof/>
        </w:rPr>
        <w:drawing>
          <wp:inline distT="0" distB="0" distL="0" distR="0" wp14:anchorId="41D720D4" wp14:editId="75133A0E">
            <wp:extent cx="5210175" cy="3397250"/>
            <wp:effectExtent l="0" t="0" r="952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604" t="6549" r="2539"/>
                    <a:stretch/>
                  </pic:blipFill>
                  <pic:spPr bwMode="auto">
                    <a:xfrm>
                      <a:off x="0" y="0"/>
                      <a:ext cx="5239965" cy="3416674"/>
                    </a:xfrm>
                    <a:prstGeom prst="rect">
                      <a:avLst/>
                    </a:prstGeom>
                    <a:noFill/>
                    <a:ln>
                      <a:noFill/>
                    </a:ln>
                    <a:extLst>
                      <a:ext uri="{53640926-AAD7-44D8-BBD7-CCE9431645EC}">
                        <a14:shadowObscured xmlns:a14="http://schemas.microsoft.com/office/drawing/2010/main"/>
                      </a:ext>
                    </a:extLst>
                  </pic:spPr>
                </pic:pic>
              </a:graphicData>
            </a:graphic>
          </wp:inline>
        </w:drawing>
      </w:r>
    </w:p>
    <w:p w14:paraId="64E4569A" w14:textId="77777777" w:rsidR="0048560C" w:rsidRDefault="0048560C" w:rsidP="0048560C">
      <w:pPr>
        <w:shd w:val="clear" w:color="auto" w:fill="FFFFFF"/>
        <w:spacing w:after="225"/>
        <w:jc w:val="both"/>
        <w:textAlignment w:val="baseline"/>
        <w:rPr>
          <w:rFonts w:ascii="Verdana" w:hAnsi="Verdana"/>
          <w:lang w:val="es-MX"/>
        </w:rPr>
      </w:pPr>
    </w:p>
    <w:p w14:paraId="26DB4BC8" w14:textId="77777777" w:rsidR="0048560C" w:rsidRPr="00F62019" w:rsidRDefault="0048560C" w:rsidP="0048560C">
      <w:pPr>
        <w:pStyle w:val="Prrafodelista"/>
        <w:numPr>
          <w:ilvl w:val="0"/>
          <w:numId w:val="1"/>
        </w:numPr>
        <w:shd w:val="clear" w:color="auto" w:fill="FFFFFF"/>
        <w:spacing w:after="225"/>
        <w:jc w:val="both"/>
        <w:textAlignment w:val="baseline"/>
        <w:rPr>
          <w:bCs/>
        </w:rPr>
      </w:pPr>
      <w:r w:rsidRPr="00F62019">
        <w:rPr>
          <w:rFonts w:ascii="Verdana" w:hAnsi="Verdana"/>
          <w:sz w:val="22"/>
          <w:szCs w:val="22"/>
          <w:lang w:val="es-MX"/>
        </w:rPr>
        <w:t>En el día de ayer se llevó a cabo la reunión 156 del CACSSE con la siguiente agenda:</w:t>
      </w:r>
      <w:r w:rsidRPr="00F62019">
        <w:rPr>
          <w:rFonts w:cs="Arial"/>
          <w:color w:val="222222"/>
          <w:sz w:val="20"/>
        </w:rPr>
        <w:br/>
      </w:r>
      <w:r w:rsidRPr="00F62019">
        <w:rPr>
          <w:rFonts w:cs="Arial"/>
          <w:color w:val="222222"/>
          <w:sz w:val="20"/>
        </w:rPr>
        <w:br/>
      </w:r>
      <w:r w:rsidRPr="00F62019">
        <w:rPr>
          <w:noProof/>
        </w:rPr>
        <w:drawing>
          <wp:inline distT="0" distB="0" distL="0" distR="0" wp14:anchorId="7DA73181" wp14:editId="12231CF9">
            <wp:extent cx="5613400" cy="584200"/>
            <wp:effectExtent l="0" t="0" r="0"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3400" cy="584200"/>
                    </a:xfrm>
                    <a:prstGeom prst="rect">
                      <a:avLst/>
                    </a:prstGeom>
                    <a:noFill/>
                    <a:ln>
                      <a:noFill/>
                    </a:ln>
                  </pic:spPr>
                </pic:pic>
              </a:graphicData>
            </a:graphic>
          </wp:inline>
        </w:drawing>
      </w:r>
    </w:p>
    <w:p w14:paraId="45F6F878" w14:textId="77777777" w:rsidR="0048560C" w:rsidRDefault="0048560C" w:rsidP="0048560C">
      <w:pPr>
        <w:shd w:val="clear" w:color="auto" w:fill="FFFFFF"/>
        <w:spacing w:after="225"/>
        <w:ind w:left="142"/>
        <w:jc w:val="both"/>
        <w:textAlignment w:val="baseline"/>
        <w:rPr>
          <w:rFonts w:ascii="Verdana" w:hAnsi="Verdana"/>
          <w:bCs/>
        </w:rPr>
      </w:pPr>
      <w:r w:rsidRPr="007B2F71">
        <w:rPr>
          <w:rFonts w:ascii="Verdana" w:hAnsi="Verdana"/>
          <w:bCs/>
        </w:rPr>
        <w:t>Se reanudarán las reuniones diarias de seguimiento de la situación de orden público y su afectación al sector energético</w:t>
      </w:r>
      <w:r>
        <w:rPr>
          <w:rFonts w:ascii="Verdana" w:hAnsi="Verdana"/>
          <w:bCs/>
        </w:rPr>
        <w:t>. Las presentaciones se subirán al espacio de la reunión del día de hoy.</w:t>
      </w:r>
    </w:p>
    <w:p w14:paraId="2EA6F201" w14:textId="77777777" w:rsidR="0048560C" w:rsidRPr="007B2F71" w:rsidRDefault="0048560C" w:rsidP="0048560C">
      <w:pPr>
        <w:shd w:val="clear" w:color="auto" w:fill="FFFFFF"/>
        <w:spacing w:after="225"/>
        <w:jc w:val="both"/>
        <w:textAlignment w:val="baseline"/>
        <w:rPr>
          <w:rFonts w:ascii="Verdana" w:hAnsi="Verdana"/>
          <w:bCs/>
        </w:rPr>
      </w:pPr>
    </w:p>
    <w:p w14:paraId="559EE51B" w14:textId="77777777" w:rsidR="0048560C" w:rsidRDefault="0048560C" w:rsidP="0048560C">
      <w:pPr>
        <w:jc w:val="both"/>
      </w:pPr>
    </w:p>
    <w:p w14:paraId="46175823" w14:textId="77777777" w:rsidR="00F35E41" w:rsidRDefault="00F35E41">
      <w:pPr>
        <w:jc w:val="both"/>
      </w:pPr>
    </w:p>
    <w:sectPr w:rsidR="00F35E41">
      <w:headerReference w:type="default" r:id="rId10"/>
      <w:footerReference w:type="default" r:id="rId11"/>
      <w:pgSz w:w="11909" w:h="16834"/>
      <w:pgMar w:top="0" w:right="832" w:bottom="1440" w:left="113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75C90E" w14:textId="77777777" w:rsidR="00EE40ED" w:rsidRDefault="00EE40ED">
      <w:pPr>
        <w:spacing w:line="240" w:lineRule="auto"/>
      </w:pPr>
      <w:r>
        <w:separator/>
      </w:r>
    </w:p>
  </w:endnote>
  <w:endnote w:type="continuationSeparator" w:id="0">
    <w:p w14:paraId="7978C724" w14:textId="77777777" w:rsidR="00EE40ED" w:rsidRDefault="00EE40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ontserrat">
    <w:altName w:val="Calibri"/>
    <w:charset w:val="00"/>
    <w:family w:val="auto"/>
    <w:pitch w:val="default"/>
  </w:font>
  <w:font w:name="Montserrat Medium">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2C4E58" w14:textId="77777777" w:rsidR="00F35E41" w:rsidRDefault="00EE40ED">
    <w:pPr>
      <w:spacing w:line="240" w:lineRule="auto"/>
      <w:rPr>
        <w:rFonts w:ascii="Montserrat" w:eastAsia="Montserrat" w:hAnsi="Montserrat" w:cs="Montserrat"/>
        <w:color w:val="666666"/>
        <w:sz w:val="12"/>
        <w:szCs w:val="12"/>
      </w:rPr>
    </w:pPr>
    <w:r>
      <w:rPr>
        <w:rFonts w:ascii="Montserrat" w:eastAsia="Montserrat" w:hAnsi="Montserrat" w:cs="Montserrat"/>
        <w:b/>
        <w:sz w:val="12"/>
        <w:szCs w:val="12"/>
      </w:rPr>
      <w:t>www.cno.org.co</w:t>
    </w:r>
    <w:r>
      <w:rPr>
        <w:rFonts w:ascii="Montserrat" w:eastAsia="Montserrat" w:hAnsi="Montserrat" w:cs="Montserrat"/>
        <w:b/>
        <w:sz w:val="12"/>
        <w:szCs w:val="12"/>
      </w:rPr>
      <w:tab/>
    </w:r>
    <w:r>
      <w:rPr>
        <w:rFonts w:ascii="Montserrat" w:eastAsia="Montserrat" w:hAnsi="Montserrat" w:cs="Montserrat"/>
        <w:b/>
        <w:sz w:val="12"/>
        <w:szCs w:val="12"/>
      </w:rPr>
      <w:tab/>
    </w:r>
    <w:r>
      <w:rPr>
        <w:rFonts w:ascii="Montserrat" w:eastAsia="Montserrat" w:hAnsi="Montserrat" w:cs="Montserrat"/>
        <w:b/>
        <w:sz w:val="12"/>
        <w:szCs w:val="12"/>
      </w:rPr>
      <w:tab/>
    </w:r>
    <w:r>
      <w:rPr>
        <w:rFonts w:ascii="Montserrat" w:eastAsia="Montserrat" w:hAnsi="Montserrat" w:cs="Montserrat"/>
        <w:b/>
        <w:sz w:val="12"/>
        <w:szCs w:val="12"/>
      </w:rPr>
      <w:tab/>
    </w:r>
    <w:r>
      <w:rPr>
        <w:rFonts w:ascii="Montserrat" w:eastAsia="Montserrat" w:hAnsi="Montserrat" w:cs="Montserrat"/>
        <w:b/>
        <w:sz w:val="12"/>
        <w:szCs w:val="12"/>
      </w:rPr>
      <w:tab/>
    </w:r>
    <w:r>
      <w:rPr>
        <w:rFonts w:ascii="Montserrat" w:eastAsia="Montserrat" w:hAnsi="Montserrat" w:cs="Montserrat"/>
        <w:b/>
        <w:sz w:val="12"/>
        <w:szCs w:val="12"/>
      </w:rPr>
      <w:tab/>
    </w:r>
    <w:r>
      <w:rPr>
        <w:rFonts w:ascii="Montserrat" w:eastAsia="Montserrat" w:hAnsi="Montserrat" w:cs="Montserrat"/>
        <w:b/>
        <w:sz w:val="12"/>
        <w:szCs w:val="12"/>
      </w:rPr>
      <w:tab/>
    </w:r>
    <w:r>
      <w:rPr>
        <w:rFonts w:ascii="Montserrat" w:eastAsia="Montserrat" w:hAnsi="Montserrat" w:cs="Montserrat"/>
        <w:b/>
        <w:sz w:val="12"/>
        <w:szCs w:val="12"/>
      </w:rPr>
      <w:tab/>
    </w:r>
    <w:r>
      <w:rPr>
        <w:rFonts w:ascii="Montserrat" w:eastAsia="Montserrat" w:hAnsi="Montserrat" w:cs="Montserrat"/>
        <w:b/>
        <w:sz w:val="12"/>
        <w:szCs w:val="12"/>
      </w:rPr>
      <w:tab/>
    </w:r>
    <w:r>
      <w:rPr>
        <w:rFonts w:ascii="Montserrat" w:eastAsia="Montserrat" w:hAnsi="Montserrat" w:cs="Montserrat"/>
        <w:b/>
        <w:sz w:val="12"/>
        <w:szCs w:val="12"/>
      </w:rPr>
      <w:tab/>
    </w:r>
  </w:p>
  <w:p w14:paraId="3DC63B8B" w14:textId="77777777" w:rsidR="00F35E41" w:rsidRDefault="00EE40ED">
    <w:pPr>
      <w:spacing w:line="240" w:lineRule="auto"/>
      <w:rPr>
        <w:rFonts w:ascii="Montserrat" w:eastAsia="Montserrat" w:hAnsi="Montserrat" w:cs="Montserrat"/>
        <w:b/>
        <w:sz w:val="12"/>
        <w:szCs w:val="12"/>
      </w:rPr>
    </w:pPr>
    <w:r>
      <w:rPr>
        <w:rFonts w:ascii="Montserrat Medium" w:eastAsia="Montserrat Medium" w:hAnsi="Montserrat Medium" w:cs="Montserrat Medium"/>
        <w:color w:val="666666"/>
        <w:sz w:val="12"/>
        <w:szCs w:val="12"/>
      </w:rPr>
      <w:t>BOGOTÁ, DC - COLOMBIA</w:t>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p>
  <w:p w14:paraId="78E71876" w14:textId="77777777" w:rsidR="00F35E41" w:rsidRDefault="00EE40ED">
    <w:pPr>
      <w:spacing w:line="240" w:lineRule="auto"/>
      <w:rPr>
        <w:rFonts w:ascii="Montserrat Medium" w:eastAsia="Montserrat Medium" w:hAnsi="Montserrat Medium" w:cs="Montserrat Medium"/>
        <w:color w:val="666666"/>
        <w:sz w:val="12"/>
        <w:szCs w:val="12"/>
      </w:rPr>
    </w:pPr>
    <w:r>
      <w:rPr>
        <w:noProof/>
        <w:sz w:val="12"/>
        <w:szCs w:val="12"/>
      </w:rPr>
      <w:drawing>
        <wp:inline distT="114300" distB="114300" distL="114300" distR="114300" wp14:anchorId="6CA698E7" wp14:editId="4E44D31F">
          <wp:extent cx="1191600" cy="756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91600" cy="75600"/>
                  </a:xfrm>
                  <a:prstGeom prst="rect">
                    <a:avLst/>
                  </a:prstGeom>
                  <a:ln/>
                </pic:spPr>
              </pic:pic>
            </a:graphicData>
          </a:graphic>
        </wp:inline>
      </w:drawing>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0C5962" w14:textId="77777777" w:rsidR="00EE40ED" w:rsidRDefault="00EE40ED">
      <w:pPr>
        <w:spacing w:line="240" w:lineRule="auto"/>
      </w:pPr>
      <w:r>
        <w:separator/>
      </w:r>
    </w:p>
  </w:footnote>
  <w:footnote w:type="continuationSeparator" w:id="0">
    <w:p w14:paraId="0C5BE76E" w14:textId="77777777" w:rsidR="00EE40ED" w:rsidRDefault="00EE40E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837460" w14:textId="77777777" w:rsidR="00F35E41" w:rsidRDefault="00F35E41"/>
  <w:p w14:paraId="331444C4" w14:textId="77777777" w:rsidR="00F35E41" w:rsidRDefault="00EE40ED">
    <w:pPr>
      <w:jc w:val="right"/>
    </w:pPr>
    <w:r>
      <w:rPr>
        <w:noProof/>
      </w:rPr>
      <w:drawing>
        <wp:inline distT="114300" distB="114300" distL="114300" distR="114300" wp14:anchorId="212080F9" wp14:editId="770096D0">
          <wp:extent cx="957308" cy="543925"/>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957308" cy="54392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2A793C"/>
    <w:multiLevelType w:val="hybridMultilevel"/>
    <w:tmpl w:val="8048B3E2"/>
    <w:lvl w:ilvl="0" w:tplc="240A0005">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3446C16"/>
    <w:multiLevelType w:val="hybridMultilevel"/>
    <w:tmpl w:val="8E7ED9EE"/>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648D4D71"/>
    <w:multiLevelType w:val="hybridMultilevel"/>
    <w:tmpl w:val="FBDAA426"/>
    <w:lvl w:ilvl="0" w:tplc="D4FC68E2">
      <w:start w:val="1"/>
      <w:numFmt w:val="decimal"/>
      <w:lvlText w:val="%1."/>
      <w:lvlJc w:val="left"/>
      <w:pPr>
        <w:ind w:left="502" w:hanging="360"/>
      </w:pPr>
      <w:rPr>
        <w:rFonts w:ascii="Verdana" w:hAnsi="Verdana" w:hint="default"/>
        <w:i w:val="0"/>
        <w:iCs w:val="0"/>
        <w:sz w:val="22"/>
        <w:szCs w:val="22"/>
      </w:rPr>
    </w:lvl>
    <w:lvl w:ilvl="1" w:tplc="240A0019" w:tentative="1">
      <w:start w:val="1"/>
      <w:numFmt w:val="lowerLetter"/>
      <w:lvlText w:val="%2."/>
      <w:lvlJc w:val="left"/>
      <w:pPr>
        <w:ind w:left="873" w:hanging="360"/>
      </w:pPr>
    </w:lvl>
    <w:lvl w:ilvl="2" w:tplc="240A001B" w:tentative="1">
      <w:start w:val="1"/>
      <w:numFmt w:val="lowerRoman"/>
      <w:lvlText w:val="%3."/>
      <w:lvlJc w:val="right"/>
      <w:pPr>
        <w:ind w:left="1593" w:hanging="180"/>
      </w:pPr>
    </w:lvl>
    <w:lvl w:ilvl="3" w:tplc="240A000F" w:tentative="1">
      <w:start w:val="1"/>
      <w:numFmt w:val="decimal"/>
      <w:lvlText w:val="%4."/>
      <w:lvlJc w:val="left"/>
      <w:pPr>
        <w:ind w:left="2313" w:hanging="360"/>
      </w:pPr>
    </w:lvl>
    <w:lvl w:ilvl="4" w:tplc="240A0019" w:tentative="1">
      <w:start w:val="1"/>
      <w:numFmt w:val="lowerLetter"/>
      <w:lvlText w:val="%5."/>
      <w:lvlJc w:val="left"/>
      <w:pPr>
        <w:ind w:left="3033" w:hanging="360"/>
      </w:pPr>
    </w:lvl>
    <w:lvl w:ilvl="5" w:tplc="240A001B" w:tentative="1">
      <w:start w:val="1"/>
      <w:numFmt w:val="lowerRoman"/>
      <w:lvlText w:val="%6."/>
      <w:lvlJc w:val="right"/>
      <w:pPr>
        <w:ind w:left="3753" w:hanging="180"/>
      </w:pPr>
    </w:lvl>
    <w:lvl w:ilvl="6" w:tplc="240A000F" w:tentative="1">
      <w:start w:val="1"/>
      <w:numFmt w:val="decimal"/>
      <w:lvlText w:val="%7."/>
      <w:lvlJc w:val="left"/>
      <w:pPr>
        <w:ind w:left="4473" w:hanging="360"/>
      </w:pPr>
    </w:lvl>
    <w:lvl w:ilvl="7" w:tplc="240A0019" w:tentative="1">
      <w:start w:val="1"/>
      <w:numFmt w:val="lowerLetter"/>
      <w:lvlText w:val="%8."/>
      <w:lvlJc w:val="left"/>
      <w:pPr>
        <w:ind w:left="5193" w:hanging="360"/>
      </w:pPr>
    </w:lvl>
    <w:lvl w:ilvl="8" w:tplc="240A001B" w:tentative="1">
      <w:start w:val="1"/>
      <w:numFmt w:val="lowerRoman"/>
      <w:lvlText w:val="%9."/>
      <w:lvlJc w:val="right"/>
      <w:pPr>
        <w:ind w:left="5913"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E41"/>
    <w:rsid w:val="0048560C"/>
    <w:rsid w:val="00EE40ED"/>
    <w:rsid w:val="00F35E4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3D18E275"/>
  <w15:docId w15:val="{4D37D20F-E4B6-6747-B914-E055D4670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s"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character" w:customStyle="1" w:styleId="TtuloCar">
    <w:name w:val="Título Car"/>
    <w:basedOn w:val="Fuentedeprrafopredeter"/>
    <w:link w:val="Ttulo"/>
    <w:uiPriority w:val="10"/>
    <w:rsid w:val="0048560C"/>
    <w:rPr>
      <w:sz w:val="52"/>
      <w:szCs w:val="52"/>
    </w:rPr>
  </w:style>
  <w:style w:type="paragraph" w:styleId="Prrafodelista">
    <w:name w:val="List Paragraph"/>
    <w:basedOn w:val="Normal"/>
    <w:link w:val="PrrafodelistaCar"/>
    <w:uiPriority w:val="34"/>
    <w:qFormat/>
    <w:rsid w:val="0048560C"/>
    <w:pPr>
      <w:spacing w:line="240" w:lineRule="auto"/>
      <w:ind w:left="708"/>
    </w:pPr>
    <w:rPr>
      <w:rFonts w:eastAsia="Times New Roman" w:cs="Times New Roman"/>
      <w:spacing w:val="-20"/>
      <w:sz w:val="28"/>
      <w:szCs w:val="20"/>
      <w:lang w:val="es-CO" w:eastAsia="es-ES"/>
    </w:rPr>
  </w:style>
  <w:style w:type="character" w:customStyle="1" w:styleId="PrrafodelistaCar">
    <w:name w:val="Párrafo de lista Car"/>
    <w:link w:val="Prrafodelista"/>
    <w:uiPriority w:val="34"/>
    <w:rsid w:val="0048560C"/>
    <w:rPr>
      <w:rFonts w:eastAsia="Times New Roman" w:cs="Times New Roman"/>
      <w:spacing w:val="-20"/>
      <w:sz w:val="28"/>
      <w:szCs w:val="20"/>
      <w:lang w:val="es-CO" w:eastAsia="es-ES"/>
    </w:rPr>
  </w:style>
  <w:style w:type="paragraph" w:styleId="Encabezadodemensaje">
    <w:name w:val="Message Header"/>
    <w:basedOn w:val="Normal"/>
    <w:link w:val="EncabezadodemensajeCar"/>
    <w:uiPriority w:val="99"/>
    <w:unhideWhenUsed/>
    <w:rsid w:val="0048560C"/>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lang w:val="es-CO" w:eastAsia="es-ES_tradnl"/>
    </w:rPr>
  </w:style>
  <w:style w:type="character" w:customStyle="1" w:styleId="EncabezadodemensajeCar">
    <w:name w:val="Encabezado de mensaje Car"/>
    <w:basedOn w:val="Fuentedeprrafopredeter"/>
    <w:link w:val="Encabezadodemensaje"/>
    <w:uiPriority w:val="99"/>
    <w:rsid w:val="0048560C"/>
    <w:rPr>
      <w:rFonts w:asciiTheme="majorHAnsi" w:eastAsiaTheme="majorEastAsia" w:hAnsiTheme="majorHAnsi" w:cstheme="majorBidi"/>
      <w:sz w:val="24"/>
      <w:szCs w:val="24"/>
      <w:shd w:val="pct20" w:color="auto" w:fill="auto"/>
      <w:lang w:val="es-CO"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1661</Words>
  <Characters>9141</Characters>
  <Application>Microsoft Office Word</Application>
  <DocSecurity>0</DocSecurity>
  <Lines>76</Lines>
  <Paragraphs>21</Paragraphs>
  <ScaleCrop>false</ScaleCrop>
  <Company/>
  <LinksUpToDate>false</LinksUpToDate>
  <CharactersWithSpaces>10781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Adriana Perez</cp:lastModifiedBy>
  <cp:revision>2</cp:revision>
  <dcterms:created xsi:type="dcterms:W3CDTF">2021-05-06T13:58:00Z</dcterms:created>
  <dcterms:modified xsi:type="dcterms:W3CDTF">2021-05-06T13:58:00Z</dcterms:modified>
</cp:coreProperties>
</file>