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52A68" w14:textId="77777777" w:rsidR="00EC31F1" w:rsidRDefault="00000000">
      <w:pPr>
        <w:widowControl w:val="0"/>
        <w:pBdr>
          <w:top w:val="nil"/>
          <w:left w:val="nil"/>
          <w:bottom w:val="nil"/>
          <w:right w:val="nil"/>
          <w:between w:val="nil"/>
        </w:pBdr>
        <w:spacing w:line="276" w:lineRule="auto"/>
      </w:pPr>
      <w:r>
        <w:pict w14:anchorId="26F9B6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2BD899B8" w14:textId="77777777" w:rsidR="00EC31F1" w:rsidRDefault="00000000">
      <w:pPr>
        <w:widowControl w:val="0"/>
        <w:pBdr>
          <w:top w:val="nil"/>
          <w:left w:val="nil"/>
          <w:bottom w:val="nil"/>
          <w:right w:val="nil"/>
          <w:between w:val="nil"/>
        </w:pBdr>
        <w:spacing w:line="276" w:lineRule="auto"/>
        <w:jc w:val="center"/>
        <w:rPr>
          <w:rFonts w:ascii="Montserrat" w:eastAsia="Montserrat" w:hAnsi="Montserrat" w:cs="Montserrat"/>
          <w:b/>
          <w:sz w:val="36"/>
          <w:szCs w:val="36"/>
        </w:rPr>
      </w:pPr>
      <w:r>
        <w:rPr>
          <w:rFonts w:ascii="Montserrat" w:eastAsia="Montserrat" w:hAnsi="Montserrat" w:cs="Montserrat"/>
          <w:b/>
          <w:sz w:val="36"/>
          <w:szCs w:val="36"/>
        </w:rPr>
        <w:t>Informe CNO 686</w:t>
      </w:r>
    </w:p>
    <w:p w14:paraId="2F8DFBB1" w14:textId="77777777" w:rsidR="00EC31F1" w:rsidRDefault="00EC31F1">
      <w:pPr>
        <w:widowControl w:val="0"/>
        <w:pBdr>
          <w:top w:val="nil"/>
          <w:left w:val="nil"/>
          <w:bottom w:val="nil"/>
          <w:right w:val="nil"/>
          <w:between w:val="nil"/>
        </w:pBdr>
        <w:spacing w:line="276" w:lineRule="auto"/>
        <w:jc w:val="center"/>
        <w:rPr>
          <w:rFonts w:ascii="Montserrat" w:eastAsia="Montserrat" w:hAnsi="Montserrat" w:cs="Montserrat"/>
          <w:sz w:val="36"/>
          <w:szCs w:val="36"/>
        </w:rPr>
      </w:pPr>
    </w:p>
    <w:p w14:paraId="74FD7297" w14:textId="77777777" w:rsidR="00EC31F1" w:rsidRDefault="00000000">
      <w:pPr>
        <w:pBdr>
          <w:top w:val="single" w:sz="6" w:space="1" w:color="000000"/>
          <w:left w:val="single" w:sz="6" w:space="0" w:color="000000"/>
          <w:bottom w:val="single" w:sz="6" w:space="1" w:color="000000"/>
          <w:right w:val="single" w:sz="6" w:space="1" w:color="000000"/>
          <w:between w:val="nil"/>
        </w:pBdr>
        <w:shd w:val="clear" w:color="auto" w:fill="CCCCCC"/>
        <w:ind w:left="1134" w:hanging="1134"/>
        <w:jc w:val="both"/>
        <w:rPr>
          <w:rFonts w:ascii="Montserrat" w:eastAsia="Montserrat" w:hAnsi="Montserrat" w:cs="Montserrat"/>
          <w:color w:val="000000"/>
        </w:rPr>
      </w:pPr>
      <w:r>
        <w:rPr>
          <w:rFonts w:ascii="Montserrat" w:eastAsia="Montserrat" w:hAnsi="Montserrat" w:cs="Montserrat"/>
          <w:color w:val="000000"/>
        </w:rPr>
        <w:t>Fecha: diciembre 1 de 2022</w:t>
      </w:r>
    </w:p>
    <w:p w14:paraId="3A21FB06" w14:textId="77777777" w:rsidR="00EC31F1" w:rsidRDefault="00EC31F1">
      <w:pPr>
        <w:ind w:right="-57"/>
        <w:jc w:val="both"/>
        <w:rPr>
          <w:rFonts w:ascii="Montserrat" w:eastAsia="Montserrat" w:hAnsi="Montserrat" w:cs="Montserrat"/>
        </w:rPr>
      </w:pPr>
    </w:p>
    <w:p w14:paraId="44A7EBDF" w14:textId="77777777" w:rsidR="00EC31F1" w:rsidRDefault="00000000">
      <w:pPr>
        <w:spacing w:after="160" w:line="259" w:lineRule="auto"/>
        <w:jc w:val="both"/>
      </w:pPr>
      <w:r>
        <w:rPr>
          <w:rFonts w:ascii="Montserrat" w:eastAsia="Montserrat" w:hAnsi="Montserrat" w:cs="Montserrat"/>
          <w:b/>
        </w:rPr>
        <w:t>Temas administrativos</w:t>
      </w:r>
      <w:r>
        <w:t xml:space="preserve">     </w:t>
      </w:r>
    </w:p>
    <w:p w14:paraId="7910A9EB" w14:textId="77777777" w:rsidR="00EC31F1" w:rsidRDefault="00000000">
      <w:pPr>
        <w:numPr>
          <w:ilvl w:val="0"/>
          <w:numId w:val="3"/>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 xml:space="preserve">Se completó el ejercicio del presupuesto preliminar 2023 considerando supuestos que hoy son objeto de incertidumbre, como el porcentaje de incremento del salario mínimo. Para este ejercicio se asumió un ajuste del 10 %. En este sentido, la cuota anual para cada uno de los diecisiete miembros sería de $115 '872.759 distribuido en tres cuotas de $38’624.253. Si se distribuye entre 14 miembros, la cuota con los supuestos preliminares pasaría a $140’702.643. </w:t>
      </w:r>
    </w:p>
    <w:p w14:paraId="0F538965" w14:textId="77777777" w:rsidR="00EC31F1" w:rsidRDefault="00EC31F1">
      <w:pPr>
        <w:pBdr>
          <w:top w:val="nil"/>
          <w:left w:val="nil"/>
          <w:bottom w:val="nil"/>
          <w:right w:val="nil"/>
          <w:between w:val="nil"/>
        </w:pBdr>
        <w:spacing w:line="259" w:lineRule="auto"/>
        <w:jc w:val="both"/>
        <w:rPr>
          <w:rFonts w:ascii="Montserrat" w:eastAsia="Montserrat" w:hAnsi="Montserrat" w:cs="Montserrat"/>
          <w:sz w:val="22"/>
          <w:szCs w:val="22"/>
        </w:rPr>
      </w:pPr>
    </w:p>
    <w:p w14:paraId="12CAA642" w14:textId="77777777" w:rsidR="00EC31F1" w:rsidRDefault="00000000">
      <w:pPr>
        <w:numPr>
          <w:ilvl w:val="0"/>
          <w:numId w:val="3"/>
        </w:numPr>
        <w:pBdr>
          <w:top w:val="nil"/>
          <w:left w:val="nil"/>
          <w:bottom w:val="nil"/>
          <w:right w:val="nil"/>
          <w:between w:val="nil"/>
        </w:pBdr>
        <w:spacing w:line="259" w:lineRule="auto"/>
        <w:jc w:val="both"/>
        <w:rPr>
          <w:rFonts w:ascii="Montserrat" w:eastAsia="Montserrat" w:hAnsi="Montserrat" w:cs="Montserrat"/>
          <w:sz w:val="22"/>
          <w:szCs w:val="22"/>
          <w:highlight w:val="white"/>
        </w:rPr>
      </w:pPr>
      <w:r>
        <w:rPr>
          <w:rFonts w:ascii="Montserrat" w:eastAsia="Montserrat" w:hAnsi="Montserrat" w:cs="Montserrat"/>
          <w:sz w:val="22"/>
          <w:szCs w:val="22"/>
          <w:highlight w:val="white"/>
        </w:rPr>
        <w:t>Como resultado de la selección de los miembros del CNO para el año 2023, de los grupos de transmisión nacional y distribución sólo se postuló una empresa para cada uno de ellos. De la demanda no regulada no se postuló ninguna empresa. Por lo anterior, según lo previsto en el Reglamento Interno (Acuerdo 1635 de 2022) se declaran vacantes estos miembros por selección y se informa esta situación a MINENERGIA, la SSPD y la CREG.</w:t>
      </w:r>
    </w:p>
    <w:p w14:paraId="0358FF28" w14:textId="77777777" w:rsidR="00EC31F1" w:rsidRDefault="00EC31F1">
      <w:pPr>
        <w:pBdr>
          <w:top w:val="nil"/>
          <w:left w:val="nil"/>
          <w:bottom w:val="nil"/>
          <w:right w:val="nil"/>
          <w:between w:val="nil"/>
        </w:pBdr>
        <w:spacing w:line="259" w:lineRule="auto"/>
        <w:ind w:left="360"/>
        <w:jc w:val="both"/>
        <w:rPr>
          <w:rFonts w:ascii="Montserrat" w:eastAsia="Montserrat" w:hAnsi="Montserrat" w:cs="Montserrat"/>
          <w:sz w:val="22"/>
          <w:szCs w:val="22"/>
          <w:highlight w:val="white"/>
        </w:rPr>
      </w:pPr>
    </w:p>
    <w:p w14:paraId="08415875" w14:textId="77777777" w:rsidR="00EC31F1" w:rsidRDefault="00000000">
      <w:pPr>
        <w:pBdr>
          <w:top w:val="nil"/>
          <w:left w:val="nil"/>
          <w:bottom w:val="nil"/>
          <w:right w:val="nil"/>
          <w:between w:val="nil"/>
        </w:pBdr>
        <w:spacing w:line="259" w:lineRule="auto"/>
        <w:ind w:left="360"/>
        <w:jc w:val="both"/>
        <w:rPr>
          <w:rFonts w:ascii="Montserrat" w:eastAsia="Montserrat" w:hAnsi="Montserrat" w:cs="Montserrat"/>
          <w:sz w:val="22"/>
          <w:szCs w:val="22"/>
          <w:highlight w:val="white"/>
        </w:rPr>
      </w:pPr>
      <w:r>
        <w:rPr>
          <w:rFonts w:ascii="Montserrat" w:eastAsia="Montserrat" w:hAnsi="Montserrat" w:cs="Montserrat"/>
          <w:sz w:val="22"/>
          <w:szCs w:val="22"/>
          <w:highlight w:val="white"/>
        </w:rPr>
        <w:t>Sobre la elección de los representantes de la actividad de distribución que no realicen prioritariamente la actividad de generación, se propone al Consejo solicitar a la CREG revisar la restricción que hoy existe en la Resolución CREG 123 de diciembre 18 de 2003 “</w:t>
      </w:r>
      <w:r>
        <w:rPr>
          <w:rFonts w:ascii="Montserrat" w:eastAsia="Montserrat" w:hAnsi="Montserrat" w:cs="Montserrat"/>
          <w:i/>
          <w:sz w:val="22"/>
          <w:szCs w:val="22"/>
          <w:highlight w:val="white"/>
        </w:rPr>
        <w:t>por la cual se modifica la Resolución CREG-024 de 1995 y se aprueban modificaciones al Reglamento Interno del Comité Asesor de Comercialización –CAC</w:t>
      </w:r>
      <w:r>
        <w:rPr>
          <w:rFonts w:ascii="Montserrat" w:eastAsia="Montserrat" w:hAnsi="Montserrat" w:cs="Montserrat"/>
          <w:sz w:val="22"/>
          <w:szCs w:val="22"/>
          <w:highlight w:val="white"/>
        </w:rPr>
        <w:t>”, según la cual las empresas distribuidoras que sean miembros del CAC no podrán ser miembros del CNO.</w:t>
      </w:r>
    </w:p>
    <w:p w14:paraId="4DEB3973" w14:textId="77777777" w:rsidR="00EC31F1" w:rsidRDefault="00EC31F1">
      <w:pPr>
        <w:pBdr>
          <w:top w:val="nil"/>
          <w:left w:val="nil"/>
          <w:bottom w:val="nil"/>
          <w:right w:val="nil"/>
          <w:between w:val="nil"/>
        </w:pBdr>
        <w:spacing w:line="259" w:lineRule="auto"/>
        <w:ind w:left="360"/>
        <w:jc w:val="both"/>
        <w:rPr>
          <w:rFonts w:ascii="Montserrat" w:eastAsia="Montserrat" w:hAnsi="Montserrat" w:cs="Montserrat"/>
          <w:sz w:val="22"/>
          <w:szCs w:val="22"/>
          <w:highlight w:val="white"/>
        </w:rPr>
      </w:pPr>
    </w:p>
    <w:p w14:paraId="5407CC6A" w14:textId="77777777" w:rsidR="00EC31F1" w:rsidRDefault="00000000">
      <w:pPr>
        <w:spacing w:line="259" w:lineRule="auto"/>
        <w:ind w:left="360"/>
        <w:jc w:val="both"/>
        <w:rPr>
          <w:rFonts w:ascii="Montserrat" w:eastAsia="Montserrat" w:hAnsi="Montserrat" w:cs="Montserrat"/>
          <w:sz w:val="22"/>
          <w:szCs w:val="22"/>
          <w:highlight w:val="white"/>
        </w:rPr>
      </w:pPr>
      <w:r>
        <w:rPr>
          <w:rFonts w:ascii="Montserrat" w:eastAsia="Montserrat" w:hAnsi="Montserrat" w:cs="Montserrat"/>
          <w:sz w:val="22"/>
          <w:szCs w:val="22"/>
          <w:highlight w:val="white"/>
        </w:rPr>
        <w:t>Finalmente, se recibió una comunicación de ASOENERGIA y ANDI en la que informan que “</w:t>
      </w:r>
      <w:r>
        <w:rPr>
          <w:rFonts w:ascii="Montserrat" w:eastAsia="Montserrat" w:hAnsi="Montserrat" w:cs="Montserrat"/>
          <w:i/>
          <w:sz w:val="22"/>
          <w:szCs w:val="22"/>
          <w:highlight w:val="white"/>
        </w:rPr>
        <w:t>(...) no se presentará una propuesta de representante por parte de ningún asociado o de la Cámara, esto debido al costo elevado de la participación para dicho representante (...)</w:t>
      </w:r>
      <w:r>
        <w:rPr>
          <w:rFonts w:ascii="Montserrat" w:eastAsia="Montserrat" w:hAnsi="Montserrat" w:cs="Montserrat"/>
          <w:sz w:val="22"/>
          <w:szCs w:val="22"/>
          <w:highlight w:val="white"/>
        </w:rPr>
        <w:t>”, y reiteran la solicitud para que  “</w:t>
      </w:r>
      <w:r>
        <w:rPr>
          <w:rFonts w:ascii="Montserrat" w:eastAsia="Montserrat" w:hAnsi="Montserrat" w:cs="Montserrat"/>
          <w:i/>
          <w:sz w:val="22"/>
          <w:szCs w:val="22"/>
          <w:highlight w:val="white"/>
        </w:rPr>
        <w:t>(...) la participación de la demanda sea sin costo, para no generar una barrera en la participación, mientras al interior del Consejo se establece una estructura y temas que involucren la participación de la demanda (...)</w:t>
      </w:r>
      <w:r>
        <w:rPr>
          <w:rFonts w:ascii="Montserrat" w:eastAsia="Montserrat" w:hAnsi="Montserrat" w:cs="Montserrat"/>
          <w:sz w:val="22"/>
          <w:szCs w:val="22"/>
          <w:highlight w:val="white"/>
        </w:rPr>
        <w:t>”. La comunicación se encuentra en la página WEB del CNO para su consulta.</w:t>
      </w:r>
    </w:p>
    <w:p w14:paraId="4A39DDF7" w14:textId="77777777" w:rsidR="00EC31F1" w:rsidRDefault="00EC31F1">
      <w:pPr>
        <w:spacing w:line="259" w:lineRule="auto"/>
        <w:jc w:val="both"/>
        <w:rPr>
          <w:rFonts w:ascii="Montserrat" w:eastAsia="Montserrat" w:hAnsi="Montserrat" w:cs="Montserrat"/>
          <w:sz w:val="22"/>
          <w:szCs w:val="22"/>
          <w:highlight w:val="white"/>
        </w:rPr>
      </w:pPr>
    </w:p>
    <w:p w14:paraId="2905364E" w14:textId="77777777" w:rsidR="00EC31F1" w:rsidRDefault="00000000">
      <w:pPr>
        <w:numPr>
          <w:ilvl w:val="0"/>
          <w:numId w:val="3"/>
        </w:numPr>
        <w:pBdr>
          <w:top w:val="nil"/>
          <w:left w:val="nil"/>
          <w:bottom w:val="nil"/>
          <w:right w:val="nil"/>
          <w:between w:val="nil"/>
        </w:pBdr>
        <w:spacing w:line="259" w:lineRule="auto"/>
        <w:jc w:val="both"/>
        <w:rPr>
          <w:rFonts w:ascii="Montserrat" w:eastAsia="Montserrat" w:hAnsi="Montserrat" w:cs="Montserrat"/>
          <w:sz w:val="22"/>
          <w:szCs w:val="22"/>
          <w:highlight w:val="white"/>
        </w:rPr>
      </w:pPr>
      <w:r>
        <w:rPr>
          <w:rFonts w:ascii="Montserrat" w:eastAsia="Montserrat" w:hAnsi="Montserrat" w:cs="Montserrat"/>
          <w:sz w:val="22"/>
          <w:szCs w:val="22"/>
          <w:highlight w:val="white"/>
        </w:rPr>
        <w:lastRenderedPageBreak/>
        <w:t xml:space="preserve">Sobre la lista CNO de personas habilitadas para emitir el dictamen técnico de las series de irradiación solar horizontal y temperatura ambiente y la verificación de las constantes de la ecuación correspondiente a las pérdidas por temperatura ambiente de las plantas solares fotovoltaicas, se solicitará al SURER revisar los términos de referencia, que permitan el ingreso de más empresas y universidades. Sobre la función de los dictaminadores es importante recordar que deben cumplir con el rol previsto por la regulación y desde el punto de vista de los términos de referencia del CNO; se comprometen a no tener conflictos de interés para ser parte de la lista. </w:t>
      </w:r>
    </w:p>
    <w:p w14:paraId="4801258D" w14:textId="77777777" w:rsidR="00EC31F1" w:rsidRDefault="00EC31F1">
      <w:pPr>
        <w:pBdr>
          <w:top w:val="nil"/>
          <w:left w:val="nil"/>
          <w:bottom w:val="nil"/>
          <w:right w:val="nil"/>
          <w:between w:val="nil"/>
        </w:pBdr>
        <w:spacing w:line="259" w:lineRule="auto"/>
        <w:ind w:left="360"/>
        <w:jc w:val="both"/>
        <w:rPr>
          <w:rFonts w:ascii="Montserrat" w:eastAsia="Montserrat" w:hAnsi="Montserrat" w:cs="Montserrat"/>
          <w:sz w:val="22"/>
          <w:szCs w:val="22"/>
          <w:highlight w:val="white"/>
        </w:rPr>
      </w:pPr>
    </w:p>
    <w:p w14:paraId="6F0A7C8B" w14:textId="77777777" w:rsidR="00EC31F1" w:rsidRDefault="00000000">
      <w:pPr>
        <w:pBdr>
          <w:top w:val="nil"/>
          <w:left w:val="nil"/>
          <w:bottom w:val="nil"/>
          <w:right w:val="nil"/>
          <w:between w:val="nil"/>
        </w:pBdr>
        <w:spacing w:line="259" w:lineRule="auto"/>
        <w:ind w:left="360"/>
        <w:jc w:val="both"/>
        <w:rPr>
          <w:rFonts w:ascii="Montserrat" w:eastAsia="Montserrat" w:hAnsi="Montserrat" w:cs="Montserrat"/>
          <w:sz w:val="22"/>
          <w:szCs w:val="22"/>
          <w:highlight w:val="white"/>
        </w:rPr>
      </w:pPr>
      <w:r>
        <w:rPr>
          <w:rFonts w:ascii="Montserrat" w:eastAsia="Montserrat" w:hAnsi="Montserrat" w:cs="Montserrat"/>
          <w:sz w:val="22"/>
          <w:szCs w:val="22"/>
          <w:highlight w:val="white"/>
        </w:rPr>
        <w:t>Se solicitó una reunión a la CREG para revisar de manera general algunas dificultades que se podrían estar presentando respecto a las funciones de los auditores y dictaminadores.</w:t>
      </w:r>
    </w:p>
    <w:p w14:paraId="0058D709" w14:textId="77777777" w:rsidR="00EC31F1" w:rsidRDefault="00EC31F1">
      <w:pPr>
        <w:pBdr>
          <w:top w:val="nil"/>
          <w:left w:val="nil"/>
          <w:bottom w:val="nil"/>
          <w:right w:val="nil"/>
          <w:between w:val="nil"/>
        </w:pBdr>
        <w:spacing w:line="259" w:lineRule="auto"/>
        <w:jc w:val="both"/>
        <w:rPr>
          <w:rFonts w:ascii="Montserrat" w:eastAsia="Montserrat" w:hAnsi="Montserrat" w:cs="Montserrat"/>
          <w:sz w:val="22"/>
          <w:szCs w:val="22"/>
          <w:highlight w:val="white"/>
        </w:rPr>
      </w:pPr>
    </w:p>
    <w:p w14:paraId="6B3E3588" w14:textId="77777777" w:rsidR="00EC31F1" w:rsidRDefault="00000000">
      <w:pPr>
        <w:numPr>
          <w:ilvl w:val="0"/>
          <w:numId w:val="3"/>
        </w:numPr>
        <w:pBdr>
          <w:top w:val="nil"/>
          <w:left w:val="nil"/>
          <w:bottom w:val="nil"/>
          <w:right w:val="nil"/>
          <w:between w:val="nil"/>
        </w:pBdr>
        <w:spacing w:line="259" w:lineRule="auto"/>
        <w:jc w:val="both"/>
        <w:rPr>
          <w:rFonts w:ascii="Montserrat" w:eastAsia="Montserrat" w:hAnsi="Montserrat" w:cs="Montserrat"/>
          <w:sz w:val="22"/>
          <w:szCs w:val="22"/>
          <w:highlight w:val="white"/>
        </w:rPr>
      </w:pPr>
      <w:r>
        <w:rPr>
          <w:rFonts w:ascii="Montserrat" w:eastAsia="Montserrat" w:hAnsi="Montserrat" w:cs="Montserrat"/>
          <w:sz w:val="22"/>
          <w:szCs w:val="22"/>
          <w:highlight w:val="white"/>
        </w:rPr>
        <w:t>Se llevaron a cabo con éxito las jornadas académicas de los subcomités de Controles y Recursos Energéticos Renovables. Se contó con una participación activa de miembros del Consejo al igual que entidades como UPME, SSPD y MINENERGIA. Las memorias de estos dos eventos virtuales se encuentran disponibles en la página web del Consejo.</w:t>
      </w:r>
    </w:p>
    <w:p w14:paraId="4C988443" w14:textId="77777777" w:rsidR="00EC31F1" w:rsidRDefault="00EC31F1">
      <w:pPr>
        <w:pBdr>
          <w:top w:val="nil"/>
          <w:left w:val="nil"/>
          <w:bottom w:val="nil"/>
          <w:right w:val="nil"/>
          <w:between w:val="nil"/>
        </w:pBdr>
        <w:spacing w:line="259" w:lineRule="auto"/>
        <w:ind w:left="360"/>
        <w:jc w:val="both"/>
        <w:rPr>
          <w:rFonts w:ascii="Montserrat" w:eastAsia="Montserrat" w:hAnsi="Montserrat" w:cs="Montserrat"/>
          <w:sz w:val="22"/>
          <w:szCs w:val="22"/>
          <w:highlight w:val="white"/>
        </w:rPr>
      </w:pPr>
    </w:p>
    <w:p w14:paraId="1216EF1C" w14:textId="77777777" w:rsidR="00EC31F1" w:rsidRDefault="00000000">
      <w:pPr>
        <w:numPr>
          <w:ilvl w:val="0"/>
          <w:numId w:val="3"/>
        </w:numPr>
        <w:pBdr>
          <w:top w:val="nil"/>
          <w:left w:val="nil"/>
          <w:bottom w:val="nil"/>
          <w:right w:val="nil"/>
          <w:between w:val="nil"/>
        </w:pBdr>
        <w:spacing w:line="259" w:lineRule="auto"/>
        <w:jc w:val="both"/>
        <w:rPr>
          <w:rFonts w:ascii="Montserrat" w:eastAsia="Montserrat" w:hAnsi="Montserrat" w:cs="Montserrat"/>
          <w:sz w:val="22"/>
          <w:szCs w:val="22"/>
          <w:highlight w:val="white"/>
        </w:rPr>
      </w:pPr>
      <w:r>
        <w:rPr>
          <w:rFonts w:ascii="Montserrat" w:eastAsia="Montserrat" w:hAnsi="Montserrat" w:cs="Montserrat"/>
          <w:sz w:val="22"/>
          <w:szCs w:val="22"/>
          <w:highlight w:val="white"/>
        </w:rPr>
        <w:t>La empresa Termoyopal Generación 2 S.A.S E.S.P solicitó ser invitada a las reuniones del CNO y de algunos subcomités y comités en el año 2023.</w:t>
      </w:r>
    </w:p>
    <w:p w14:paraId="14DFC6D0" w14:textId="77777777" w:rsidR="00EC31F1" w:rsidRDefault="00EC31F1">
      <w:pPr>
        <w:pBdr>
          <w:top w:val="nil"/>
          <w:left w:val="nil"/>
          <w:bottom w:val="nil"/>
          <w:right w:val="nil"/>
          <w:between w:val="nil"/>
        </w:pBdr>
        <w:spacing w:line="259" w:lineRule="auto"/>
        <w:ind w:left="360"/>
        <w:jc w:val="both"/>
        <w:rPr>
          <w:rFonts w:ascii="Montserrat" w:eastAsia="Montserrat" w:hAnsi="Montserrat" w:cs="Montserrat"/>
          <w:sz w:val="22"/>
          <w:szCs w:val="22"/>
          <w:highlight w:val="white"/>
        </w:rPr>
      </w:pPr>
    </w:p>
    <w:p w14:paraId="67DAD188" w14:textId="77777777" w:rsidR="00EC31F1" w:rsidRDefault="00000000">
      <w:pPr>
        <w:spacing w:line="259" w:lineRule="auto"/>
        <w:jc w:val="both"/>
        <w:rPr>
          <w:rFonts w:ascii="Montserrat" w:eastAsia="Montserrat" w:hAnsi="Montserrat" w:cs="Montserrat"/>
          <w:b/>
        </w:rPr>
      </w:pPr>
      <w:r>
        <w:rPr>
          <w:rFonts w:ascii="Montserrat" w:eastAsia="Montserrat" w:hAnsi="Montserrat" w:cs="Montserrat"/>
          <w:b/>
        </w:rPr>
        <w:t>Temas técnicos</w:t>
      </w:r>
    </w:p>
    <w:p w14:paraId="50A5428B" w14:textId="77777777" w:rsidR="00EC31F1" w:rsidRDefault="00EC31F1">
      <w:pPr>
        <w:ind w:right="-57"/>
        <w:jc w:val="both"/>
        <w:rPr>
          <w:rFonts w:ascii="Montserrat" w:eastAsia="Montserrat" w:hAnsi="Montserrat" w:cs="Montserrat"/>
          <w:b/>
        </w:rPr>
      </w:pPr>
    </w:p>
    <w:p w14:paraId="6EF6BD2A" w14:textId="77777777" w:rsidR="00EC31F1" w:rsidRDefault="00000000">
      <w:pPr>
        <w:numPr>
          <w:ilvl w:val="0"/>
          <w:numId w:val="3"/>
        </w:numPr>
        <w:spacing w:line="259" w:lineRule="auto"/>
        <w:jc w:val="both"/>
      </w:pPr>
      <w:r>
        <w:rPr>
          <w:rFonts w:ascii="Montserrat" w:eastAsia="Montserrat" w:hAnsi="Montserrat" w:cs="Montserrat"/>
          <w:sz w:val="22"/>
          <w:szCs w:val="22"/>
          <w:highlight w:val="white"/>
        </w:rPr>
        <w:t xml:space="preserve">El 7 de diciembre de 2022 está programada una reunión con la Viceministra de Energía para tratar los temas relacionados con la situación actual y esperada de la operación del SIN y los riesgos para la atención confiable, segura y económica de la demanda de energía eléctrica en el mediano y largo plazo. En este sentido, se solicitó a la CREG reprogramar la presentación que estaba agendada por el regulador en su Circular 110 de 2022, sobre las observaciones del Consejo al proyecto normativo 143 de 2021. </w:t>
      </w:r>
    </w:p>
    <w:p w14:paraId="0AC3D8F7" w14:textId="77777777" w:rsidR="00EC31F1" w:rsidRDefault="00EC31F1">
      <w:pPr>
        <w:pBdr>
          <w:top w:val="nil"/>
          <w:left w:val="nil"/>
          <w:bottom w:val="nil"/>
          <w:right w:val="nil"/>
          <w:between w:val="nil"/>
        </w:pBdr>
        <w:ind w:left="360" w:right="-57"/>
        <w:jc w:val="both"/>
        <w:rPr>
          <w:rFonts w:ascii="Montserrat" w:eastAsia="Montserrat" w:hAnsi="Montserrat" w:cs="Montserrat"/>
          <w:sz w:val="22"/>
          <w:szCs w:val="22"/>
        </w:rPr>
      </w:pPr>
    </w:p>
    <w:p w14:paraId="16673401" w14:textId="77777777" w:rsidR="00EC31F1" w:rsidRDefault="00000000">
      <w:pPr>
        <w:numPr>
          <w:ilvl w:val="0"/>
          <w:numId w:val="3"/>
        </w:numPr>
        <w:pBdr>
          <w:top w:val="nil"/>
          <w:left w:val="nil"/>
          <w:bottom w:val="nil"/>
          <w:right w:val="nil"/>
          <w:between w:val="nil"/>
        </w:pBdr>
        <w:ind w:right="-57"/>
        <w:jc w:val="both"/>
        <w:rPr>
          <w:rFonts w:ascii="Montserrat" w:eastAsia="Montserrat" w:hAnsi="Montserrat" w:cs="Montserrat"/>
          <w:sz w:val="22"/>
          <w:szCs w:val="22"/>
        </w:rPr>
      </w:pPr>
      <w:r>
        <w:rPr>
          <w:rFonts w:ascii="Montserrat" w:eastAsia="Montserrat" w:hAnsi="Montserrat" w:cs="Montserrat"/>
          <w:sz w:val="22"/>
          <w:szCs w:val="22"/>
        </w:rPr>
        <w:t xml:space="preserve">En el Comité de Distribución-CD se realizó el seguimiento a la implementación de los planes de acción definidos por los Operadores de Red-OR DISPAC, EMSA, EBSA y ELECTROHUILA. Lo anterior para solucionar las acciones pendientes derivadas de los análisis de los eventos del SIN. El detalle del seguimiento se presenta en el informe anexo del Comité de Distribución. </w:t>
      </w:r>
    </w:p>
    <w:p w14:paraId="1042CDA7" w14:textId="77777777" w:rsidR="00EC31F1" w:rsidRDefault="00EC31F1">
      <w:pPr>
        <w:pBdr>
          <w:top w:val="nil"/>
          <w:left w:val="nil"/>
          <w:bottom w:val="nil"/>
          <w:right w:val="nil"/>
          <w:between w:val="nil"/>
        </w:pBdr>
        <w:ind w:left="360" w:right="-57"/>
        <w:jc w:val="both"/>
        <w:rPr>
          <w:rFonts w:ascii="Montserrat" w:eastAsia="Montserrat" w:hAnsi="Montserrat" w:cs="Montserrat"/>
          <w:sz w:val="22"/>
          <w:szCs w:val="22"/>
        </w:rPr>
      </w:pPr>
    </w:p>
    <w:p w14:paraId="6DD8377D" w14:textId="77777777" w:rsidR="00EC31F1" w:rsidRDefault="00000000">
      <w:pPr>
        <w:pBdr>
          <w:top w:val="nil"/>
          <w:left w:val="nil"/>
          <w:bottom w:val="nil"/>
          <w:right w:val="nil"/>
          <w:between w:val="nil"/>
        </w:pBdr>
        <w:ind w:left="360" w:right="-57"/>
        <w:jc w:val="both"/>
        <w:rPr>
          <w:rFonts w:ascii="Montserrat" w:eastAsia="Montserrat" w:hAnsi="Montserrat" w:cs="Montserrat"/>
          <w:sz w:val="22"/>
          <w:szCs w:val="22"/>
        </w:rPr>
      </w:pPr>
      <w:r>
        <w:rPr>
          <w:rFonts w:ascii="Montserrat" w:eastAsia="Montserrat" w:hAnsi="Montserrat" w:cs="Montserrat"/>
          <w:sz w:val="22"/>
          <w:szCs w:val="22"/>
        </w:rPr>
        <w:t xml:space="preserve">Vale la pena resaltar que para el caso de DISPAC el CD recomienda al CNO enviar una comunicación, lo anterior teniendo en cuenta el número elevado de acciones </w:t>
      </w:r>
      <w:r>
        <w:rPr>
          <w:rFonts w:ascii="Montserrat" w:eastAsia="Montserrat" w:hAnsi="Montserrat" w:cs="Montserrat"/>
          <w:sz w:val="22"/>
          <w:szCs w:val="22"/>
        </w:rPr>
        <w:lastRenderedPageBreak/>
        <w:t xml:space="preserve">que siguen abiertas, la poca gestión para resolver las mismas y la incertidumbre asociada a la formulación de medidas de mitigación, que necesita la subárea en el corto y mediano plazo dada su actual situación.  </w:t>
      </w:r>
    </w:p>
    <w:p w14:paraId="1AD59C9D" w14:textId="77777777" w:rsidR="00EC31F1" w:rsidRDefault="00EC31F1">
      <w:pPr>
        <w:ind w:left="360"/>
        <w:jc w:val="both"/>
        <w:rPr>
          <w:rFonts w:ascii="Montserrat" w:eastAsia="Montserrat" w:hAnsi="Montserrat" w:cs="Montserrat"/>
          <w:sz w:val="22"/>
          <w:szCs w:val="22"/>
        </w:rPr>
      </w:pPr>
      <w:bookmarkStart w:id="0" w:name="_heading=h.gjdgxs" w:colFirst="0" w:colLast="0"/>
      <w:bookmarkEnd w:id="0"/>
    </w:p>
    <w:p w14:paraId="0FE60396" w14:textId="77777777" w:rsidR="00EC31F1" w:rsidRDefault="00000000">
      <w:pPr>
        <w:numPr>
          <w:ilvl w:val="0"/>
          <w:numId w:val="3"/>
        </w:numPr>
        <w:jc w:val="both"/>
        <w:rPr>
          <w:rFonts w:ascii="Montserrat" w:eastAsia="Montserrat" w:hAnsi="Montserrat" w:cs="Montserrat"/>
          <w:sz w:val="22"/>
          <w:szCs w:val="22"/>
        </w:rPr>
      </w:pPr>
      <w:r>
        <w:rPr>
          <w:rFonts w:ascii="Montserrat" w:eastAsia="Montserrat" w:hAnsi="Montserrat" w:cs="Montserrat"/>
          <w:sz w:val="22"/>
          <w:szCs w:val="22"/>
        </w:rPr>
        <w:t xml:space="preserve">En el Subcomité de Protecciones-SProtec continua la interacción con SIEMENS dado los riesgos identificados para la operación del SIN y la atención confiable de la demanda, por situaciones asociadas a los Sistemas de Protección de este proveedor. Dicha compañía presentó una propuesta para la realización de las pruebas de homologación del “firmware” del IED 7SL87, cuyos resultados serán presentados en la reunión del subcomité de diciembre del año en curso. </w:t>
      </w:r>
    </w:p>
    <w:p w14:paraId="06244F16" w14:textId="77777777" w:rsidR="00EC31F1" w:rsidRDefault="00EC31F1">
      <w:pPr>
        <w:ind w:left="360"/>
        <w:jc w:val="both"/>
        <w:rPr>
          <w:rFonts w:ascii="Montserrat" w:eastAsia="Montserrat" w:hAnsi="Montserrat" w:cs="Montserrat"/>
          <w:sz w:val="22"/>
          <w:szCs w:val="22"/>
        </w:rPr>
      </w:pPr>
    </w:p>
    <w:p w14:paraId="39FABE4F" w14:textId="77777777" w:rsidR="00EC31F1" w:rsidRDefault="00000000">
      <w:pPr>
        <w:ind w:left="360"/>
        <w:jc w:val="both"/>
        <w:rPr>
          <w:rFonts w:ascii="Montserrat" w:eastAsia="Montserrat" w:hAnsi="Montserrat" w:cs="Montserrat"/>
          <w:sz w:val="22"/>
          <w:szCs w:val="22"/>
        </w:rPr>
      </w:pPr>
      <w:r>
        <w:rPr>
          <w:rFonts w:ascii="Montserrat" w:eastAsia="Montserrat" w:hAnsi="Montserrat" w:cs="Montserrat"/>
          <w:sz w:val="22"/>
          <w:szCs w:val="22"/>
        </w:rPr>
        <w:t>Cabe mencionar que en dichas pruebas se analizarán los casos especiales detectados por el subcomité ante eventos reales del SIN, que ocasionaron oscilaciones de potencia y transitorios secundarios de tensión.</w:t>
      </w:r>
    </w:p>
    <w:p w14:paraId="6363A2D5" w14:textId="77777777" w:rsidR="00EC31F1" w:rsidRDefault="00EC31F1">
      <w:pPr>
        <w:ind w:left="360"/>
        <w:jc w:val="both"/>
        <w:rPr>
          <w:rFonts w:ascii="Montserrat" w:eastAsia="Montserrat" w:hAnsi="Montserrat" w:cs="Montserrat"/>
          <w:sz w:val="22"/>
          <w:szCs w:val="22"/>
        </w:rPr>
      </w:pPr>
    </w:p>
    <w:p w14:paraId="006A9FD2" w14:textId="77777777" w:rsidR="00EC31F1" w:rsidRDefault="00000000">
      <w:pPr>
        <w:numPr>
          <w:ilvl w:val="0"/>
          <w:numId w:val="3"/>
        </w:numPr>
        <w:jc w:val="both"/>
        <w:rPr>
          <w:rFonts w:ascii="Montserrat" w:eastAsia="Montserrat" w:hAnsi="Montserrat" w:cs="Montserrat"/>
          <w:sz w:val="22"/>
          <w:szCs w:val="22"/>
        </w:rPr>
      </w:pPr>
      <w:r>
        <w:rPr>
          <w:rFonts w:ascii="Montserrat" w:eastAsia="Montserrat" w:hAnsi="Montserrat" w:cs="Montserrat"/>
          <w:sz w:val="22"/>
          <w:szCs w:val="22"/>
        </w:rPr>
        <w:t>Se enviaron las siguientes comunicaciones, que pueden ser consultadas en la página web del Consejo:</w:t>
      </w:r>
    </w:p>
    <w:p w14:paraId="1581F7FC" w14:textId="77777777" w:rsidR="00EC31F1" w:rsidRDefault="00EC31F1">
      <w:pPr>
        <w:ind w:left="360"/>
        <w:jc w:val="both"/>
        <w:rPr>
          <w:rFonts w:ascii="Montserrat" w:eastAsia="Montserrat" w:hAnsi="Montserrat" w:cs="Montserrat"/>
          <w:sz w:val="22"/>
          <w:szCs w:val="22"/>
        </w:rPr>
      </w:pPr>
    </w:p>
    <w:p w14:paraId="361336F8" w14:textId="77777777" w:rsidR="00EC31F1" w:rsidRDefault="00000000">
      <w:pPr>
        <w:numPr>
          <w:ilvl w:val="0"/>
          <w:numId w:val="1"/>
        </w:numPr>
        <w:jc w:val="both"/>
        <w:rPr>
          <w:rFonts w:ascii="Montserrat" w:eastAsia="Montserrat" w:hAnsi="Montserrat" w:cs="Montserrat"/>
          <w:sz w:val="22"/>
          <w:szCs w:val="22"/>
        </w:rPr>
      </w:pPr>
      <w:r>
        <w:rPr>
          <w:rFonts w:ascii="Montserrat" w:eastAsia="Montserrat" w:hAnsi="Montserrat" w:cs="Montserrat"/>
          <w:sz w:val="22"/>
          <w:szCs w:val="22"/>
        </w:rPr>
        <w:t>Observaciones a la agenda regulatoria 2023, dirigida a la CREG.</w:t>
      </w:r>
    </w:p>
    <w:p w14:paraId="1A30A4D2" w14:textId="77777777" w:rsidR="00EC31F1" w:rsidRDefault="00000000">
      <w:pPr>
        <w:numPr>
          <w:ilvl w:val="0"/>
          <w:numId w:val="1"/>
        </w:numPr>
        <w:jc w:val="both"/>
        <w:rPr>
          <w:rFonts w:ascii="Montserrat" w:eastAsia="Montserrat" w:hAnsi="Montserrat" w:cs="Montserrat"/>
          <w:sz w:val="22"/>
          <w:szCs w:val="22"/>
        </w:rPr>
      </w:pPr>
      <w:r>
        <w:rPr>
          <w:rFonts w:ascii="Montserrat" w:eastAsia="Montserrat" w:hAnsi="Montserrat" w:cs="Montserrat"/>
          <w:sz w:val="22"/>
          <w:szCs w:val="22"/>
        </w:rPr>
        <w:t>Propuesta CNO de senda de referencia estación de verano 2022-2023, dirigida a la CREG.</w:t>
      </w:r>
    </w:p>
    <w:p w14:paraId="572FCA7A" w14:textId="77777777" w:rsidR="00EC31F1" w:rsidRDefault="00000000">
      <w:pPr>
        <w:numPr>
          <w:ilvl w:val="0"/>
          <w:numId w:val="1"/>
        </w:numPr>
        <w:jc w:val="both"/>
        <w:rPr>
          <w:rFonts w:ascii="Montserrat" w:eastAsia="Montserrat" w:hAnsi="Montserrat" w:cs="Montserrat"/>
          <w:sz w:val="22"/>
          <w:szCs w:val="22"/>
        </w:rPr>
      </w:pPr>
      <w:r>
        <w:rPr>
          <w:rFonts w:ascii="Montserrat" w:eastAsia="Montserrat" w:hAnsi="Montserrat" w:cs="Montserrat"/>
          <w:sz w:val="22"/>
          <w:szCs w:val="22"/>
        </w:rPr>
        <w:t>Balance ENFICC vs Demanda actualizado a octubre de 2022, dirigida a MINENERGIA.</w:t>
      </w:r>
    </w:p>
    <w:p w14:paraId="5F77A161" w14:textId="77777777" w:rsidR="00EC31F1" w:rsidRDefault="00EC31F1">
      <w:pPr>
        <w:jc w:val="both"/>
        <w:rPr>
          <w:rFonts w:ascii="Montserrat" w:eastAsia="Montserrat" w:hAnsi="Montserrat" w:cs="Montserrat"/>
          <w:sz w:val="22"/>
          <w:szCs w:val="22"/>
        </w:rPr>
      </w:pPr>
    </w:p>
    <w:p w14:paraId="0B76F822" w14:textId="77777777" w:rsidR="00EC31F1" w:rsidRDefault="00000000">
      <w:pPr>
        <w:ind w:left="360"/>
        <w:jc w:val="both"/>
        <w:rPr>
          <w:rFonts w:ascii="Montserrat" w:eastAsia="Montserrat" w:hAnsi="Montserrat" w:cs="Montserrat"/>
          <w:sz w:val="22"/>
          <w:szCs w:val="22"/>
        </w:rPr>
      </w:pPr>
      <w:r>
        <w:rPr>
          <w:rFonts w:ascii="Montserrat" w:eastAsia="Montserrat" w:hAnsi="Montserrat" w:cs="Montserrat"/>
          <w:sz w:val="22"/>
          <w:szCs w:val="22"/>
        </w:rPr>
        <w:t>Con relación a la senda de referencia, se debe considerar que para el cálculo de esta curva se consideró al proyecto Ituango entrando en servicio según las fechas informadas por EPM.</w:t>
      </w:r>
    </w:p>
    <w:p w14:paraId="6E19E76C" w14:textId="77777777" w:rsidR="00EC31F1" w:rsidRDefault="00EC31F1">
      <w:pPr>
        <w:ind w:left="360"/>
        <w:jc w:val="both"/>
        <w:rPr>
          <w:rFonts w:ascii="Montserrat" w:eastAsia="Montserrat" w:hAnsi="Montserrat" w:cs="Montserrat"/>
          <w:sz w:val="22"/>
          <w:szCs w:val="22"/>
        </w:rPr>
      </w:pPr>
    </w:p>
    <w:p w14:paraId="72D0077A" w14:textId="77777777" w:rsidR="00EC31F1" w:rsidRDefault="00000000">
      <w:pPr>
        <w:numPr>
          <w:ilvl w:val="0"/>
          <w:numId w:val="3"/>
        </w:numPr>
        <w:jc w:val="both"/>
        <w:rPr>
          <w:rFonts w:ascii="Montserrat" w:eastAsia="Montserrat" w:hAnsi="Montserrat" w:cs="Montserrat"/>
          <w:sz w:val="22"/>
          <w:szCs w:val="22"/>
        </w:rPr>
      </w:pPr>
      <w:r>
        <w:rPr>
          <w:rFonts w:ascii="Montserrat" w:eastAsia="Montserrat" w:hAnsi="Montserrat" w:cs="Montserrat"/>
          <w:sz w:val="22"/>
          <w:szCs w:val="22"/>
        </w:rPr>
        <w:t xml:space="preserve">Según el compromiso adquirido en la pasada reunión del Consejo, se presenta en la siguiente tabla el inventario de los requisitos exigidos a la generación basada en inversores, según rango de capacidad y tipo de generador. </w:t>
      </w:r>
    </w:p>
    <w:p w14:paraId="31BBCD3B" w14:textId="77777777" w:rsidR="00EC31F1" w:rsidRDefault="00000000">
      <w:pPr>
        <w:ind w:left="360"/>
        <w:jc w:val="both"/>
        <w:rPr>
          <w:rFonts w:ascii="Montserrat" w:eastAsia="Montserrat" w:hAnsi="Montserrat" w:cs="Montserrat"/>
          <w:sz w:val="22"/>
          <w:szCs w:val="22"/>
        </w:rPr>
      </w:pPr>
      <w:r>
        <w:rPr>
          <w:rFonts w:ascii="Montserrat" w:eastAsia="Montserrat" w:hAnsi="Montserrat" w:cs="Montserrat"/>
          <w:sz w:val="22"/>
          <w:szCs w:val="22"/>
        </w:rPr>
        <w:t xml:space="preserve"> </w:t>
      </w:r>
    </w:p>
    <w:p w14:paraId="0CBD184B" w14:textId="77777777" w:rsidR="00EC31F1" w:rsidRDefault="00000000">
      <w:pPr>
        <w:ind w:left="360"/>
        <w:jc w:val="both"/>
        <w:rPr>
          <w:rFonts w:ascii="Montserrat" w:eastAsia="Montserrat" w:hAnsi="Montserrat" w:cs="Montserrat"/>
          <w:sz w:val="22"/>
          <w:szCs w:val="22"/>
        </w:rPr>
      </w:pPr>
      <w:r>
        <w:rPr>
          <w:rFonts w:ascii="Montserrat" w:eastAsia="Montserrat" w:hAnsi="Montserrat" w:cs="Montserrat"/>
          <w:noProof/>
          <w:sz w:val="22"/>
          <w:szCs w:val="22"/>
        </w:rPr>
        <w:lastRenderedPageBreak/>
        <w:drawing>
          <wp:inline distT="114300" distB="114300" distL="114300" distR="114300" wp14:anchorId="54DCA36C" wp14:editId="2F765787">
            <wp:extent cx="5849620" cy="2400300"/>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849620" cy="2400300"/>
                    </a:xfrm>
                    <a:prstGeom prst="rect">
                      <a:avLst/>
                    </a:prstGeom>
                    <a:ln/>
                  </pic:spPr>
                </pic:pic>
              </a:graphicData>
            </a:graphic>
          </wp:inline>
        </w:drawing>
      </w:r>
    </w:p>
    <w:p w14:paraId="4D59B024" w14:textId="77777777" w:rsidR="00EC31F1" w:rsidRDefault="00EC31F1">
      <w:pPr>
        <w:ind w:left="720"/>
        <w:jc w:val="both"/>
        <w:rPr>
          <w:rFonts w:ascii="Montserrat" w:eastAsia="Montserrat" w:hAnsi="Montserrat" w:cs="Montserrat"/>
          <w:sz w:val="22"/>
          <w:szCs w:val="22"/>
        </w:rPr>
      </w:pPr>
    </w:p>
    <w:p w14:paraId="04C72614" w14:textId="77777777" w:rsidR="00EC31F1" w:rsidRDefault="00000000">
      <w:pPr>
        <w:ind w:left="360"/>
        <w:jc w:val="both"/>
        <w:rPr>
          <w:rFonts w:ascii="Montserrat" w:eastAsia="Montserrat" w:hAnsi="Montserrat" w:cs="Montserrat"/>
          <w:sz w:val="22"/>
          <w:szCs w:val="22"/>
        </w:rPr>
      </w:pPr>
      <w:r>
        <w:rPr>
          <w:rFonts w:ascii="Montserrat" w:eastAsia="Montserrat" w:hAnsi="Montserrat" w:cs="Montserrat"/>
          <w:sz w:val="22"/>
          <w:szCs w:val="22"/>
        </w:rPr>
        <w:t>A partir de esta información se aclara que los requerimientos exigidos en los Acuerdos del Consejo están alineados con los requisitos definidos por la CREG en sus distintas resoluciones.</w:t>
      </w:r>
    </w:p>
    <w:p w14:paraId="670C8E4D" w14:textId="77777777" w:rsidR="00EC31F1" w:rsidRDefault="00EC31F1">
      <w:pPr>
        <w:ind w:left="360"/>
        <w:jc w:val="both"/>
        <w:rPr>
          <w:rFonts w:ascii="Montserrat" w:eastAsia="Montserrat" w:hAnsi="Montserrat" w:cs="Montserrat"/>
          <w:sz w:val="22"/>
          <w:szCs w:val="22"/>
        </w:rPr>
      </w:pPr>
    </w:p>
    <w:p w14:paraId="67BC1349" w14:textId="77777777" w:rsidR="00EC31F1" w:rsidRDefault="00000000">
      <w:pPr>
        <w:numPr>
          <w:ilvl w:val="0"/>
          <w:numId w:val="3"/>
        </w:numPr>
        <w:jc w:val="both"/>
        <w:rPr>
          <w:rFonts w:ascii="Montserrat" w:eastAsia="Montserrat" w:hAnsi="Montserrat" w:cs="Montserrat"/>
          <w:sz w:val="22"/>
          <w:szCs w:val="22"/>
        </w:rPr>
      </w:pPr>
      <w:r>
        <w:rPr>
          <w:rFonts w:ascii="Montserrat" w:eastAsia="Montserrat" w:hAnsi="Montserrat" w:cs="Montserrat"/>
          <w:sz w:val="22"/>
          <w:szCs w:val="22"/>
        </w:rPr>
        <w:t xml:space="preserve">El próximo 2 de diciembre se presentarán por parte del CND los resultados de la cuarta versión del estudio de flexibilidad. Dicho estudio es muy importante, dado los porcentajes de integración de fuentes intermitentes que se esperan en el mediano plazo para el SIN, al igual que los nuevos lineamientos de política de MINENERGIA para la transición energética justa, que tienen como prioridad la restauración y conservación del territorio.   </w:t>
      </w:r>
    </w:p>
    <w:p w14:paraId="353CC644" w14:textId="77777777" w:rsidR="00EC31F1" w:rsidRDefault="00EC31F1">
      <w:pPr>
        <w:ind w:left="360"/>
        <w:jc w:val="both"/>
        <w:rPr>
          <w:rFonts w:ascii="Montserrat" w:eastAsia="Montserrat" w:hAnsi="Montserrat" w:cs="Montserrat"/>
          <w:sz w:val="22"/>
          <w:szCs w:val="22"/>
        </w:rPr>
      </w:pPr>
    </w:p>
    <w:p w14:paraId="778EE402" w14:textId="77777777" w:rsidR="00EC31F1" w:rsidRDefault="00000000">
      <w:pPr>
        <w:numPr>
          <w:ilvl w:val="0"/>
          <w:numId w:val="3"/>
        </w:numPr>
        <w:jc w:val="both"/>
        <w:rPr>
          <w:rFonts w:ascii="Montserrat" w:eastAsia="Montserrat" w:hAnsi="Montserrat" w:cs="Montserrat"/>
          <w:sz w:val="22"/>
          <w:szCs w:val="22"/>
        </w:rPr>
      </w:pPr>
      <w:r>
        <w:rPr>
          <w:rFonts w:ascii="Montserrat" w:eastAsia="Montserrat" w:hAnsi="Montserrat" w:cs="Montserrat"/>
          <w:sz w:val="22"/>
          <w:szCs w:val="22"/>
        </w:rPr>
        <w:t>Teniendo en cuenta el numeral anterior y el documento “</w:t>
      </w:r>
      <w:r>
        <w:rPr>
          <w:rFonts w:ascii="Montserrat" w:eastAsia="Montserrat" w:hAnsi="Montserrat" w:cs="Montserrat"/>
          <w:i/>
          <w:sz w:val="22"/>
          <w:szCs w:val="22"/>
        </w:rPr>
        <w:t>Diálogo social para definir la hoja de ruta de la transición energética justa en Colombia</w:t>
      </w:r>
      <w:r>
        <w:rPr>
          <w:rFonts w:ascii="Montserrat" w:eastAsia="Montserrat" w:hAnsi="Montserrat" w:cs="Montserrat"/>
          <w:sz w:val="22"/>
          <w:szCs w:val="22"/>
        </w:rPr>
        <w:t xml:space="preserve">”, se recomienda al CNO activar nuevamente el grupo de trabajo del caudal ambiental, el cual está conformado por el CND, el CNO y la UPME. </w:t>
      </w:r>
    </w:p>
    <w:p w14:paraId="3FCE219B" w14:textId="77777777" w:rsidR="00EC31F1" w:rsidRDefault="00EC31F1">
      <w:pPr>
        <w:ind w:left="360"/>
        <w:jc w:val="both"/>
        <w:rPr>
          <w:rFonts w:ascii="Montserrat" w:eastAsia="Montserrat" w:hAnsi="Montserrat" w:cs="Montserrat"/>
          <w:sz w:val="22"/>
          <w:szCs w:val="22"/>
        </w:rPr>
      </w:pPr>
    </w:p>
    <w:p w14:paraId="61EBFAF8" w14:textId="77777777" w:rsidR="00EC31F1" w:rsidRDefault="00000000">
      <w:pPr>
        <w:ind w:left="360"/>
        <w:jc w:val="both"/>
        <w:rPr>
          <w:rFonts w:ascii="Montserrat" w:eastAsia="Montserrat" w:hAnsi="Montserrat" w:cs="Montserrat"/>
          <w:sz w:val="22"/>
          <w:szCs w:val="22"/>
        </w:rPr>
      </w:pPr>
      <w:r>
        <w:rPr>
          <w:rFonts w:ascii="Montserrat" w:eastAsia="Montserrat" w:hAnsi="Montserrat" w:cs="Montserrat"/>
          <w:sz w:val="22"/>
          <w:szCs w:val="22"/>
        </w:rPr>
        <w:t xml:space="preserve">Vale la pena mencionar que dicho documento estaría planteando la restauración de algunas cuencas, es decir, la condición ecológica deseada que podrían definir las Corporaciones Autónomas Regionales en el marco de la Guía para el cálculo del Caudal ambiental sería la más crítica para el sector de energía eléctrica.   </w:t>
      </w:r>
    </w:p>
    <w:p w14:paraId="3507D6C2" w14:textId="77777777" w:rsidR="00EC31F1" w:rsidRDefault="00EC31F1">
      <w:pPr>
        <w:jc w:val="both"/>
        <w:rPr>
          <w:rFonts w:ascii="Montserrat" w:eastAsia="Montserrat" w:hAnsi="Montserrat" w:cs="Montserrat"/>
          <w:sz w:val="22"/>
          <w:szCs w:val="22"/>
        </w:rPr>
      </w:pPr>
    </w:p>
    <w:p w14:paraId="08C6A214" w14:textId="77777777" w:rsidR="00EC31F1" w:rsidRDefault="00000000">
      <w:pPr>
        <w:numPr>
          <w:ilvl w:val="0"/>
          <w:numId w:val="3"/>
        </w:numPr>
        <w:jc w:val="both"/>
        <w:rPr>
          <w:rFonts w:ascii="Montserrat" w:eastAsia="Montserrat" w:hAnsi="Montserrat" w:cs="Montserrat"/>
          <w:sz w:val="22"/>
          <w:szCs w:val="22"/>
        </w:rPr>
      </w:pPr>
      <w:r>
        <w:rPr>
          <w:rFonts w:ascii="Montserrat" w:eastAsia="Montserrat" w:hAnsi="Montserrat" w:cs="Montserrat"/>
          <w:sz w:val="22"/>
          <w:szCs w:val="22"/>
        </w:rPr>
        <w:t xml:space="preserve">El día de ayer en el marco del Comité de Distribución-CD el CND socializó el modelo de carga del SIN. Se hizo un recuento de la información allegada por parte de los Operadores de Red-OR, la metodología para construir el modelo dinámico y sus efectos en la planeación de la operación del sistema en el corto, mediano y largo plazo (Fenómeno de Recuperación Lenta e Inducida de Tensión, por ejemplo).    </w:t>
      </w:r>
    </w:p>
    <w:p w14:paraId="47448553" w14:textId="77777777" w:rsidR="00EC31F1" w:rsidRDefault="00EC31F1">
      <w:pPr>
        <w:ind w:left="360"/>
        <w:jc w:val="both"/>
        <w:rPr>
          <w:rFonts w:ascii="Montserrat" w:eastAsia="Montserrat" w:hAnsi="Montserrat" w:cs="Montserrat"/>
          <w:sz w:val="22"/>
          <w:szCs w:val="22"/>
        </w:rPr>
      </w:pPr>
    </w:p>
    <w:p w14:paraId="2ABB9380" w14:textId="77777777" w:rsidR="00EC31F1" w:rsidRDefault="00000000">
      <w:pPr>
        <w:numPr>
          <w:ilvl w:val="0"/>
          <w:numId w:val="3"/>
        </w:numPr>
        <w:jc w:val="both"/>
      </w:pPr>
      <w:r>
        <w:rPr>
          <w:rFonts w:ascii="Montserrat" w:eastAsia="Montserrat" w:hAnsi="Montserrat" w:cs="Montserrat"/>
          <w:sz w:val="22"/>
          <w:szCs w:val="22"/>
        </w:rPr>
        <w:lastRenderedPageBreak/>
        <w:t>A partir de las tareas asignadas al CND en el marco de las resoluciones CREG 148 de 2021 y 101 011 de 2022, se conformó un grupo de trabajo del Comité de Distribución-CD para identificar el tipo de red de distribución que operan comúnmente los OR’s, ello con el fin de establecer un plan piloto para el desarrollo del modelo del SDL que involucra la conexión de generación basada en inversores. Al respecto, se identificó que no es una práctica común enmallar las redes del SDL con las del STR. Por lo anterior, se propone en el marco del CD abordar los análisis que realizan los OR's para establecer si enmallan o no este tipo de sistemas.</w:t>
      </w:r>
    </w:p>
    <w:p w14:paraId="791660E0" w14:textId="77777777" w:rsidR="00EC31F1" w:rsidRDefault="00EC31F1">
      <w:pPr>
        <w:ind w:left="360"/>
        <w:jc w:val="both"/>
        <w:rPr>
          <w:rFonts w:ascii="Montserrat" w:eastAsia="Montserrat" w:hAnsi="Montserrat" w:cs="Montserrat"/>
          <w:sz w:val="22"/>
          <w:szCs w:val="22"/>
        </w:rPr>
      </w:pPr>
    </w:p>
    <w:p w14:paraId="6A8F673C" w14:textId="77777777" w:rsidR="00EC31F1" w:rsidRDefault="00000000">
      <w:pPr>
        <w:ind w:left="360"/>
        <w:jc w:val="both"/>
        <w:rPr>
          <w:rFonts w:ascii="Montserrat" w:eastAsia="Montserrat" w:hAnsi="Montserrat" w:cs="Montserrat"/>
          <w:sz w:val="22"/>
          <w:szCs w:val="22"/>
        </w:rPr>
      </w:pPr>
      <w:r>
        <w:rPr>
          <w:rFonts w:ascii="Montserrat" w:eastAsia="Montserrat" w:hAnsi="Montserrat" w:cs="Montserrat"/>
          <w:sz w:val="22"/>
          <w:szCs w:val="22"/>
        </w:rPr>
        <w:t xml:space="preserve">Finalmente respecto al modelo, se espera tener un avance para todos los tipos de red (radial o enmallado) en la reunión de febrero del Comité de Distribución. </w:t>
      </w:r>
    </w:p>
    <w:p w14:paraId="1A785E5D" w14:textId="77777777" w:rsidR="00EC31F1" w:rsidRDefault="00EC31F1">
      <w:pPr>
        <w:ind w:left="360"/>
        <w:jc w:val="both"/>
        <w:rPr>
          <w:rFonts w:ascii="Montserrat" w:eastAsia="Montserrat" w:hAnsi="Montserrat" w:cs="Montserrat"/>
          <w:sz w:val="22"/>
          <w:szCs w:val="22"/>
        </w:rPr>
      </w:pPr>
    </w:p>
    <w:p w14:paraId="16C8C90A" w14:textId="77777777" w:rsidR="00EC31F1" w:rsidRDefault="00000000">
      <w:pPr>
        <w:numPr>
          <w:ilvl w:val="0"/>
          <w:numId w:val="3"/>
        </w:numPr>
        <w:jc w:val="both"/>
        <w:rPr>
          <w:rFonts w:ascii="Montserrat" w:eastAsia="Montserrat" w:hAnsi="Montserrat" w:cs="Montserrat"/>
          <w:sz w:val="22"/>
          <w:szCs w:val="22"/>
        </w:rPr>
      </w:pPr>
      <w:r>
        <w:rPr>
          <w:rFonts w:ascii="Montserrat" w:eastAsia="Montserrat" w:hAnsi="Montserrat" w:cs="Montserrat"/>
          <w:sz w:val="22"/>
          <w:szCs w:val="22"/>
        </w:rPr>
        <w:t>Respecto al seguimiento a las principales áreas del SIN, la situación actual es la siguiente:</w:t>
      </w:r>
    </w:p>
    <w:p w14:paraId="2FD54167" w14:textId="77777777" w:rsidR="00EC31F1" w:rsidRDefault="00EC31F1">
      <w:pPr>
        <w:ind w:left="360"/>
        <w:jc w:val="both"/>
        <w:rPr>
          <w:rFonts w:ascii="Montserrat" w:eastAsia="Montserrat" w:hAnsi="Montserrat" w:cs="Montserrat"/>
          <w:sz w:val="22"/>
          <w:szCs w:val="22"/>
        </w:rPr>
      </w:pPr>
    </w:p>
    <w:p w14:paraId="233ACBCF" w14:textId="77777777" w:rsidR="00EC31F1" w:rsidRDefault="00000000">
      <w:pPr>
        <w:numPr>
          <w:ilvl w:val="0"/>
          <w:numId w:val="2"/>
        </w:numPr>
        <w:jc w:val="both"/>
        <w:rPr>
          <w:rFonts w:ascii="Montserrat" w:eastAsia="Montserrat" w:hAnsi="Montserrat" w:cs="Montserrat"/>
          <w:sz w:val="22"/>
          <w:szCs w:val="22"/>
        </w:rPr>
      </w:pPr>
      <w:r>
        <w:rPr>
          <w:rFonts w:ascii="Montserrat" w:eastAsia="Montserrat" w:hAnsi="Montserrat" w:cs="Montserrat"/>
          <w:sz w:val="22"/>
          <w:szCs w:val="22"/>
        </w:rPr>
        <w:t xml:space="preserve">DISPAC: Se espera que la UPME se pronuncie sobre el plan de expansión actualizado del Operador de Red para convocar nuevamente al grupo. </w:t>
      </w:r>
    </w:p>
    <w:p w14:paraId="21A9914D" w14:textId="77777777" w:rsidR="00EC31F1" w:rsidRDefault="00EC31F1">
      <w:pPr>
        <w:jc w:val="both"/>
        <w:rPr>
          <w:rFonts w:ascii="Montserrat" w:eastAsia="Montserrat" w:hAnsi="Montserrat" w:cs="Montserrat"/>
          <w:sz w:val="22"/>
          <w:szCs w:val="22"/>
        </w:rPr>
      </w:pPr>
    </w:p>
    <w:p w14:paraId="01380D4B" w14:textId="1A1BBB1C" w:rsidR="00EC31F1" w:rsidRDefault="00000000">
      <w:pPr>
        <w:numPr>
          <w:ilvl w:val="0"/>
          <w:numId w:val="2"/>
        </w:numPr>
        <w:jc w:val="both"/>
        <w:rPr>
          <w:rFonts w:ascii="Montserrat" w:eastAsia="Montserrat" w:hAnsi="Montserrat" w:cs="Montserrat"/>
          <w:sz w:val="22"/>
          <w:szCs w:val="22"/>
        </w:rPr>
      </w:pPr>
      <w:r>
        <w:rPr>
          <w:rFonts w:ascii="Montserrat" w:eastAsia="Montserrat" w:hAnsi="Montserrat" w:cs="Montserrat"/>
          <w:sz w:val="22"/>
          <w:szCs w:val="22"/>
        </w:rPr>
        <w:t>ORIENTAL: Se espera que la UPME oficialice el plan de acción construido en la pasada reunión de seguimiento. Lo anterior fue un compromiso</w:t>
      </w:r>
      <w:r w:rsidR="0098530E">
        <w:rPr>
          <w:rFonts w:ascii="Montserrat" w:eastAsia="Montserrat" w:hAnsi="Montserrat" w:cs="Montserrat"/>
          <w:sz w:val="22"/>
          <w:szCs w:val="22"/>
        </w:rPr>
        <w:t xml:space="preserve"> y</w:t>
      </w:r>
      <w:r>
        <w:rPr>
          <w:rFonts w:ascii="Montserrat" w:eastAsia="Montserrat" w:hAnsi="Montserrat" w:cs="Montserrat"/>
          <w:sz w:val="22"/>
          <w:szCs w:val="22"/>
        </w:rPr>
        <w:t xml:space="preserve"> cada una de las instituciones identificadas en el mismo han empezado a gestionar sus compromisos. Se sugiere para el corto plazo convocar otra reunión del grupo, el cual coordina la UPME. </w:t>
      </w:r>
    </w:p>
    <w:p w14:paraId="5E62B350" w14:textId="77777777" w:rsidR="00EC31F1" w:rsidRDefault="00EC31F1">
      <w:pPr>
        <w:ind w:left="720"/>
        <w:jc w:val="both"/>
        <w:rPr>
          <w:rFonts w:ascii="Montserrat" w:eastAsia="Montserrat" w:hAnsi="Montserrat" w:cs="Montserrat"/>
          <w:sz w:val="22"/>
          <w:szCs w:val="22"/>
        </w:rPr>
      </w:pPr>
    </w:p>
    <w:p w14:paraId="0B85DF54" w14:textId="77777777" w:rsidR="00EC31F1" w:rsidRDefault="00000000">
      <w:pPr>
        <w:numPr>
          <w:ilvl w:val="0"/>
          <w:numId w:val="2"/>
        </w:numPr>
        <w:jc w:val="both"/>
        <w:rPr>
          <w:rFonts w:ascii="Montserrat" w:eastAsia="Montserrat" w:hAnsi="Montserrat" w:cs="Montserrat"/>
          <w:sz w:val="22"/>
          <w:szCs w:val="22"/>
        </w:rPr>
      </w:pPr>
      <w:r>
        <w:rPr>
          <w:rFonts w:ascii="Montserrat" w:eastAsia="Montserrat" w:hAnsi="Montserrat" w:cs="Montserrat"/>
          <w:sz w:val="22"/>
          <w:szCs w:val="22"/>
        </w:rPr>
        <w:t xml:space="preserve">CARIBE: El consejo convocará próximamente al grupo, el cual será retroalimentado con las conclusiones de la reunión del 7 de diciembre con la Viceministra de Energía.     </w:t>
      </w:r>
    </w:p>
    <w:p w14:paraId="29D56199" w14:textId="77777777" w:rsidR="00EC31F1" w:rsidRDefault="00EC31F1">
      <w:pPr>
        <w:ind w:left="360"/>
        <w:jc w:val="both"/>
        <w:rPr>
          <w:rFonts w:ascii="Montserrat" w:eastAsia="Montserrat" w:hAnsi="Montserrat" w:cs="Montserrat"/>
          <w:sz w:val="22"/>
          <w:szCs w:val="22"/>
        </w:rPr>
      </w:pPr>
    </w:p>
    <w:p w14:paraId="7A0DFA61" w14:textId="77777777" w:rsidR="00EC31F1" w:rsidRDefault="00000000">
      <w:pPr>
        <w:numPr>
          <w:ilvl w:val="0"/>
          <w:numId w:val="3"/>
        </w:numPr>
        <w:jc w:val="both"/>
        <w:rPr>
          <w:rFonts w:ascii="Montserrat" w:eastAsia="Montserrat" w:hAnsi="Montserrat" w:cs="Montserrat"/>
          <w:sz w:val="22"/>
          <w:szCs w:val="22"/>
        </w:rPr>
      </w:pPr>
      <w:r>
        <w:rPr>
          <w:rFonts w:ascii="Montserrat" w:eastAsia="Montserrat" w:hAnsi="Montserrat" w:cs="Montserrat"/>
          <w:sz w:val="22"/>
          <w:szCs w:val="22"/>
        </w:rPr>
        <w:t>Se enviará una comunicación a la CREG solicitando aclarar si la lista de auditores de que trata el artículo 37 de la Resolución CREG 101 024 de 2022 es la misma lista de auditores de verificación del parámetro “</w:t>
      </w:r>
      <w:r>
        <w:rPr>
          <w:rFonts w:ascii="Montserrat" w:eastAsia="Montserrat" w:hAnsi="Montserrat" w:cs="Montserrat"/>
          <w:i/>
          <w:sz w:val="22"/>
          <w:szCs w:val="22"/>
        </w:rPr>
        <w:t>suministro de combustibles y transporte de gas</w:t>
      </w:r>
      <w:r>
        <w:rPr>
          <w:rFonts w:ascii="Montserrat" w:eastAsia="Montserrat" w:hAnsi="Montserrat" w:cs="Montserrat"/>
          <w:sz w:val="22"/>
          <w:szCs w:val="22"/>
        </w:rPr>
        <w:t>”, de que trata el Acuerdo 1166 de 2019.</w:t>
      </w:r>
    </w:p>
    <w:p w14:paraId="054B463D" w14:textId="77777777" w:rsidR="00EC31F1" w:rsidRDefault="00EC31F1">
      <w:pPr>
        <w:ind w:left="360"/>
        <w:jc w:val="both"/>
        <w:rPr>
          <w:rFonts w:ascii="Montserrat" w:eastAsia="Montserrat" w:hAnsi="Montserrat" w:cs="Montserrat"/>
          <w:sz w:val="22"/>
          <w:szCs w:val="22"/>
        </w:rPr>
      </w:pPr>
    </w:p>
    <w:p w14:paraId="33D25453" w14:textId="77777777" w:rsidR="00EC31F1" w:rsidRDefault="00000000">
      <w:pPr>
        <w:numPr>
          <w:ilvl w:val="0"/>
          <w:numId w:val="3"/>
        </w:numPr>
        <w:jc w:val="both"/>
        <w:rPr>
          <w:rFonts w:ascii="Montserrat" w:eastAsia="Montserrat" w:hAnsi="Montserrat" w:cs="Montserrat"/>
          <w:sz w:val="22"/>
          <w:szCs w:val="22"/>
        </w:rPr>
      </w:pPr>
      <w:r>
        <w:rPr>
          <w:rFonts w:ascii="Montserrat" w:eastAsia="Montserrat" w:hAnsi="Montserrat" w:cs="Montserrat"/>
          <w:sz w:val="22"/>
          <w:szCs w:val="22"/>
        </w:rPr>
        <w:t>Se enviará a todos los Comités y Subcomités del Consejo el documento compartido para la recolección de observaciones a la Resolución CREG 143 de 2021. En función de la reprogramación de la reunión con la Comisión se establecerá la fecha límite para recepción de comentarios.</w:t>
      </w:r>
    </w:p>
    <w:sectPr w:rsidR="00EC31F1">
      <w:headerReference w:type="even" r:id="rId9"/>
      <w:headerReference w:type="default" r:id="rId10"/>
      <w:footerReference w:type="even" r:id="rId11"/>
      <w:footerReference w:type="default" r:id="rId12"/>
      <w:headerReference w:type="first" r:id="rId13"/>
      <w:footerReference w:type="first" r:id="rId14"/>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60769" w14:textId="77777777" w:rsidR="00B82AE2" w:rsidRDefault="00B82AE2">
      <w:r>
        <w:separator/>
      </w:r>
    </w:p>
  </w:endnote>
  <w:endnote w:type="continuationSeparator" w:id="0">
    <w:p w14:paraId="7F065B7F" w14:textId="77777777" w:rsidR="00B82AE2" w:rsidRDefault="00B8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4D4D" w14:textId="77777777" w:rsidR="00EC31F1" w:rsidRDefault="00EC31F1">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77B9" w14:textId="77777777" w:rsidR="00EC31F1" w:rsidRDefault="00EC31F1">
    <w:pPr>
      <w:pBdr>
        <w:top w:val="nil"/>
        <w:left w:val="nil"/>
        <w:bottom w:val="nil"/>
        <w:right w:val="nil"/>
        <w:between w:val="nil"/>
      </w:pBdr>
      <w:tabs>
        <w:tab w:val="center" w:pos="4252"/>
        <w:tab w:val="right" w:pos="8504"/>
      </w:tabs>
      <w:rPr>
        <w:rFonts w:ascii="Montserrat" w:eastAsia="Montserrat" w:hAnsi="Montserrat" w:cs="Montserrat"/>
        <w:sz w:val="18"/>
        <w:szCs w:val="18"/>
      </w:rPr>
    </w:pPr>
  </w:p>
  <w:p w14:paraId="4F2EA86E" w14:textId="77777777" w:rsidR="00EC31F1" w:rsidRDefault="00000000">
    <w:pPr>
      <w:pBdr>
        <w:top w:val="nil"/>
        <w:left w:val="nil"/>
        <w:bottom w:val="nil"/>
        <w:right w:val="nil"/>
        <w:between w:val="nil"/>
      </w:pBdr>
      <w:tabs>
        <w:tab w:val="center" w:pos="4252"/>
        <w:tab w:val="right" w:pos="8504"/>
      </w:tabs>
      <w:rPr>
        <w:rFonts w:ascii="Montserrat" w:eastAsia="Montserrat" w:hAnsi="Montserrat" w:cs="Montserrat"/>
        <w:color w:val="000000"/>
        <w:sz w:val="18"/>
        <w:szCs w:val="18"/>
      </w:rPr>
    </w:pPr>
    <w:r>
      <w:rPr>
        <w:rFonts w:ascii="Montserrat" w:eastAsia="Montserrat" w:hAnsi="Montserrat" w:cs="Montserrat"/>
        <w:color w:val="000000"/>
        <w:sz w:val="18"/>
        <w:szCs w:val="18"/>
      </w:rPr>
      <w:t>Informe CNO 68</w:t>
    </w:r>
    <w:r>
      <w:rPr>
        <w:rFonts w:ascii="Montserrat" w:eastAsia="Montserrat" w:hAnsi="Montserrat" w:cs="Montserrat"/>
        <w:sz w:val="18"/>
        <w:szCs w:val="18"/>
      </w:rPr>
      <w:t>6</w:t>
    </w:r>
  </w:p>
  <w:p w14:paraId="4C0074F4" w14:textId="77777777" w:rsidR="00EC31F1" w:rsidRDefault="00EC31F1">
    <w:pPr>
      <w:pBdr>
        <w:top w:val="nil"/>
        <w:left w:val="nil"/>
        <w:bottom w:val="nil"/>
        <w:right w:val="nil"/>
        <w:between w:val="nil"/>
      </w:pBdr>
      <w:tabs>
        <w:tab w:val="center" w:pos="4252"/>
        <w:tab w:val="right" w:pos="8504"/>
      </w:tabs>
      <w:rPr>
        <w:rFonts w:ascii="Montserrat" w:eastAsia="Montserrat" w:hAnsi="Montserrat" w:cs="Montserrat"/>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5315" w14:textId="77777777" w:rsidR="00EC31F1" w:rsidRDefault="00EC31F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11630" w14:textId="77777777" w:rsidR="00B82AE2" w:rsidRDefault="00B82AE2">
      <w:r>
        <w:separator/>
      </w:r>
    </w:p>
  </w:footnote>
  <w:footnote w:type="continuationSeparator" w:id="0">
    <w:p w14:paraId="77A0CE3B" w14:textId="77777777" w:rsidR="00B82AE2" w:rsidRDefault="00B82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E6C1" w14:textId="77777777" w:rsidR="00EC31F1" w:rsidRDefault="00EC31F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EFB8D" w14:textId="77777777" w:rsidR="00EC31F1" w:rsidRDefault="00000000">
    <w:pPr>
      <w:pBdr>
        <w:top w:val="nil"/>
        <w:left w:val="nil"/>
        <w:bottom w:val="nil"/>
        <w:right w:val="nil"/>
        <w:between w:val="nil"/>
      </w:pBdr>
      <w:tabs>
        <w:tab w:val="center" w:pos="4252"/>
        <w:tab w:val="right" w:pos="8504"/>
        <w:tab w:val="center" w:pos="4419"/>
        <w:tab w:val="left" w:pos="7180"/>
      </w:tabs>
      <w:jc w:val="right"/>
      <w:rPr>
        <w:b/>
        <w:color w:val="000000"/>
        <w:sz w:val="40"/>
        <w:szCs w:val="40"/>
      </w:rPr>
    </w:pPr>
    <w:r>
      <w:rPr>
        <w:noProof/>
      </w:rPr>
      <w:drawing>
        <wp:inline distT="0" distB="0" distL="0" distR="0" wp14:anchorId="0BC853C3" wp14:editId="1F421651">
          <wp:extent cx="1133158" cy="692485"/>
          <wp:effectExtent l="0" t="0" r="0"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33158" cy="692485"/>
                  </a:xfrm>
                  <a:prstGeom prst="rect">
                    <a:avLst/>
                  </a:prstGeom>
                  <a:ln/>
                </pic:spPr>
              </pic:pic>
            </a:graphicData>
          </a:graphic>
        </wp:inline>
      </w:drawing>
    </w:r>
  </w:p>
  <w:p w14:paraId="04B53262" w14:textId="77777777" w:rsidR="00EC31F1" w:rsidRDefault="00EC31F1">
    <w:pPr>
      <w:pBdr>
        <w:top w:val="nil"/>
        <w:left w:val="nil"/>
        <w:bottom w:val="nil"/>
        <w:right w:val="nil"/>
        <w:between w:val="nil"/>
      </w:pBdr>
      <w:tabs>
        <w:tab w:val="center" w:pos="4252"/>
        <w:tab w:val="right" w:pos="8504"/>
        <w:tab w:val="center" w:pos="4419"/>
        <w:tab w:val="left" w:pos="7180"/>
      </w:tabs>
      <w:jc w:val="right"/>
      <w:rPr>
        <w:b/>
        <w:color w:val="000000"/>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F5C0B" w14:textId="77777777" w:rsidR="00EC31F1" w:rsidRDefault="00EC31F1">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1543A"/>
    <w:multiLevelType w:val="multilevel"/>
    <w:tmpl w:val="F8F8F246"/>
    <w:lvl w:ilvl="0">
      <w:start w:val="1"/>
      <w:numFmt w:val="decimal"/>
      <w:lvlText w:val="%1."/>
      <w:lvlJc w:val="left"/>
      <w:pPr>
        <w:ind w:left="360" w:hanging="360"/>
      </w:pPr>
      <w:rPr>
        <w:rFonts w:ascii="Montserrat" w:eastAsia="Montserrat" w:hAnsi="Montserrat" w:cs="Montserrat"/>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3AD2D39"/>
    <w:multiLevelType w:val="multilevel"/>
    <w:tmpl w:val="2954D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574619"/>
    <w:multiLevelType w:val="multilevel"/>
    <w:tmpl w:val="FDFA1420"/>
    <w:lvl w:ilvl="0">
      <w:start w:val="1"/>
      <w:numFmt w:val="bullet"/>
      <w:pStyle w:val="Nivel1"/>
      <w:lvlText w:val="●"/>
      <w:lvlJc w:val="left"/>
      <w:pPr>
        <w:ind w:left="720" w:hanging="360"/>
      </w:pPr>
      <w:rPr>
        <w:u w:val="none"/>
      </w:rPr>
    </w:lvl>
    <w:lvl w:ilvl="1">
      <w:start w:val="1"/>
      <w:numFmt w:val="bullet"/>
      <w:pStyle w:val="Nivel2"/>
      <w:lvlText w:val="○"/>
      <w:lvlJc w:val="left"/>
      <w:pPr>
        <w:ind w:left="1440" w:hanging="360"/>
      </w:pPr>
      <w:rPr>
        <w:u w:val="none"/>
      </w:rPr>
    </w:lvl>
    <w:lvl w:ilvl="2">
      <w:start w:val="1"/>
      <w:numFmt w:val="bullet"/>
      <w:pStyle w:val="Nivel3"/>
      <w:lvlText w:val="■"/>
      <w:lvlJc w:val="left"/>
      <w:pPr>
        <w:ind w:left="2160" w:hanging="360"/>
      </w:pPr>
      <w:rPr>
        <w:u w:val="none"/>
      </w:rPr>
    </w:lvl>
    <w:lvl w:ilvl="3">
      <w:start w:val="1"/>
      <w:numFmt w:val="bullet"/>
      <w:pStyle w:val="Nivel4"/>
      <w:lvlText w:val="●"/>
      <w:lvlJc w:val="left"/>
      <w:pPr>
        <w:ind w:left="2880" w:hanging="360"/>
      </w:pPr>
      <w:rPr>
        <w:u w:val="none"/>
      </w:rPr>
    </w:lvl>
    <w:lvl w:ilvl="4">
      <w:start w:val="1"/>
      <w:numFmt w:val="bullet"/>
      <w:pStyle w:val="Nivel5"/>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2257071">
    <w:abstractNumId w:val="2"/>
  </w:num>
  <w:num w:numId="2" w16cid:durableId="908079008">
    <w:abstractNumId w:val="1"/>
  </w:num>
  <w:num w:numId="3" w16cid:durableId="1188830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1F1"/>
    <w:rsid w:val="001F410B"/>
    <w:rsid w:val="0098530E"/>
    <w:rsid w:val="00B7560B"/>
    <w:rsid w:val="00B82AE2"/>
    <w:rsid w:val="00EC31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681019"/>
  <w15:docId w15:val="{33059145-5F40-4DAC-A65B-3C767CFB0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lang w:eastAsia="es-ES"/>
    </w:rPr>
  </w:style>
  <w:style w:type="paragraph" w:styleId="Ttulo1">
    <w:name w:val="heading 1"/>
    <w:aliases w:val="ARTICULO 1º,Negrita"/>
    <w:basedOn w:val="Normal"/>
    <w:next w:val="Normal"/>
    <w:link w:val="Ttulo1Car"/>
    <w:uiPriority w:val="9"/>
    <w:qFormat/>
    <w:rsid w:val="002628DB"/>
    <w:pPr>
      <w:keepNext/>
      <w:jc w:val="both"/>
      <w:outlineLvl w:val="0"/>
    </w:pPr>
    <w:rPr>
      <w:szCs w:val="20"/>
      <w:lang w:val="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link w:val="PiedepginaCar"/>
    <w:uiPriority w:val="99"/>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Descripcin">
    <w:name w:val="caption"/>
    <w:basedOn w:val="Normal"/>
    <w:next w:val="Normal"/>
    <w:uiPriority w:val="35"/>
    <w:unhideWhenUsed/>
    <w:qFormat/>
    <w:rsid w:val="005E085D"/>
    <w:pPr>
      <w:spacing w:after="200"/>
    </w:pPr>
    <w:rPr>
      <w:rFonts w:asciiTheme="minorHAnsi" w:eastAsiaTheme="minorHAnsi" w:hAnsiTheme="minorHAnsi" w:cstheme="minorBidi"/>
      <w:i/>
      <w:iCs/>
      <w:color w:val="1F497D" w:themeColor="text2"/>
      <w:sz w:val="18"/>
      <w:szCs w:val="18"/>
      <w:lang w:eastAsia="en-US"/>
    </w:rPr>
  </w:style>
  <w:style w:type="character" w:customStyle="1" w:styleId="Ttulo1Car">
    <w:name w:val="Título 1 Car"/>
    <w:aliases w:val="ARTICULO 1º Car,Negrita Car"/>
    <w:basedOn w:val="Fuentedeprrafopredeter"/>
    <w:link w:val="Ttulo1"/>
    <w:uiPriority w:val="9"/>
    <w:rsid w:val="006B1E44"/>
    <w:rPr>
      <w:szCs w:val="20"/>
      <w:lang w:val="es-MX" w:eastAsia="es-ES"/>
    </w:rPr>
  </w:style>
  <w:style w:type="character" w:customStyle="1" w:styleId="TtuloCar">
    <w:name w:val="Título Car"/>
    <w:basedOn w:val="Fuentedeprrafopredeter"/>
    <w:link w:val="Ttulo"/>
    <w:uiPriority w:val="10"/>
    <w:rsid w:val="006B1E44"/>
    <w:rPr>
      <w:b/>
      <w:sz w:val="72"/>
      <w:szCs w:val="72"/>
      <w:lang w:eastAsia="es-ES"/>
    </w:rPr>
  </w:style>
  <w:style w:type="paragraph" w:styleId="Encabezadodemensaje">
    <w:name w:val="Message Header"/>
    <w:basedOn w:val="Normal"/>
    <w:link w:val="EncabezadodemensajeCar"/>
    <w:uiPriority w:val="99"/>
    <w:unhideWhenUsed/>
    <w:rsid w:val="006B1E4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_tradnl"/>
    </w:rPr>
  </w:style>
  <w:style w:type="character" w:customStyle="1" w:styleId="EncabezadodemensajeCar">
    <w:name w:val="Encabezado de mensaje Car"/>
    <w:basedOn w:val="Fuentedeprrafopredeter"/>
    <w:link w:val="Encabezadodemensaje"/>
    <w:uiPriority w:val="99"/>
    <w:rsid w:val="006B1E44"/>
    <w:rPr>
      <w:rFonts w:asciiTheme="majorHAnsi" w:eastAsiaTheme="majorEastAsia" w:hAnsiTheme="majorHAnsi" w:cstheme="majorBidi"/>
      <w:shd w:val="pct20" w:color="auto" w:fill="auto"/>
      <w:lang w:eastAsia="es-ES_tradnl"/>
    </w:rPr>
  </w:style>
  <w:style w:type="paragraph" w:customStyle="1" w:styleId="Textoindependiente32">
    <w:name w:val="Texto independiente 32"/>
    <w:basedOn w:val="Normal"/>
    <w:rsid w:val="0045597B"/>
    <w:pPr>
      <w:suppressAutoHyphens/>
      <w:jc w:val="both"/>
    </w:pPr>
    <w:rPr>
      <w:rFonts w:ascii="Verdana" w:hAnsi="Verdana"/>
      <w:b/>
      <w:bCs/>
      <w:caps/>
      <w:sz w:val="20"/>
      <w:szCs w:val="20"/>
      <w:lang w:eastAsia="es-CO"/>
    </w:rPr>
  </w:style>
  <w:style w:type="character" w:customStyle="1" w:styleId="Mencinsinresolver1">
    <w:name w:val="Mención sin resolver1"/>
    <w:basedOn w:val="Fuentedeprrafopredeter"/>
    <w:uiPriority w:val="99"/>
    <w:semiHidden/>
    <w:unhideWhenUsed/>
    <w:rsid w:val="00D439AA"/>
    <w:rPr>
      <w:color w:val="605E5C"/>
      <w:shd w:val="clear" w:color="auto" w:fill="E1DFDD"/>
    </w:rPr>
  </w:style>
  <w:style w:type="character" w:styleId="Textoennegrita">
    <w:name w:val="Strong"/>
    <w:basedOn w:val="Fuentedeprrafopredeter"/>
    <w:uiPriority w:val="22"/>
    <w:qFormat/>
    <w:rsid w:val="002D06DA"/>
    <w:rPr>
      <w:b/>
      <w:bCs/>
    </w:rPr>
  </w:style>
  <w:style w:type="paragraph" w:customStyle="1" w:styleId="Default">
    <w:name w:val="Default"/>
    <w:rsid w:val="003D2A49"/>
    <w:pPr>
      <w:autoSpaceDE w:val="0"/>
      <w:autoSpaceDN w:val="0"/>
      <w:adjustRightInd w:val="0"/>
    </w:pPr>
    <w:rPr>
      <w:rFonts w:ascii="Montserrat" w:hAnsi="Montserrat" w:cs="Montserrat"/>
      <w:color w:val="000000"/>
    </w:rPr>
  </w:style>
  <w:style w:type="paragraph" w:styleId="Revisin">
    <w:name w:val="Revision"/>
    <w:hidden/>
    <w:uiPriority w:val="99"/>
    <w:semiHidden/>
    <w:rsid w:val="00DA7E94"/>
    <w:rPr>
      <w:lang w:eastAsia="es-ES"/>
    </w:rPr>
  </w:style>
  <w:style w:type="character" w:customStyle="1" w:styleId="PiedepginaCar">
    <w:name w:val="Pie de página Car"/>
    <w:basedOn w:val="Fuentedeprrafopredeter"/>
    <w:link w:val="Piedepgina"/>
    <w:uiPriority w:val="99"/>
    <w:rsid w:val="00FE5E9E"/>
    <w:rPr>
      <w:lang w:eastAsia="es-ES"/>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5KHvDQ9MbTlbHW0IP/doxLYTrw==">AMUW2mUyZbgoF6CL7xseLcLLDkYWs9Gkx/Lb44ucIEzKC1BnrtwvFbCTwQ7G5B7YfcYH6ST66x2G4rfoPnJt9uP3ZuJLrWld7BsConLGMn4ED0/ZcPeilx1H/CFM/KVPqsyVCHIKIU/v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1514</Words>
  <Characters>8328</Characters>
  <Application>Microsoft Office Word</Application>
  <DocSecurity>0</DocSecurity>
  <Lines>69</Lines>
  <Paragraphs>19</Paragraphs>
  <ScaleCrop>false</ScaleCrop>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 CNO</dc:creator>
  <cp:lastModifiedBy>Alberto Olarte</cp:lastModifiedBy>
  <cp:revision>2</cp:revision>
  <dcterms:created xsi:type="dcterms:W3CDTF">2022-12-01T12:13:00Z</dcterms:created>
  <dcterms:modified xsi:type="dcterms:W3CDTF">2022-12-01T12:13:00Z</dcterms:modified>
</cp:coreProperties>
</file>