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69A04DC3" w:rsidR="0045597B" w:rsidRPr="003E6380" w:rsidRDefault="0045597B" w:rsidP="00154AF1">
      <w:pPr>
        <w:pStyle w:val="Ttulo"/>
        <w:jc w:val="center"/>
        <w:rPr>
          <w:rFonts w:ascii="Montserrat" w:eastAsia="Verdana" w:hAnsi="Montserrat" w:cstheme="minorHAnsi"/>
          <w:b w:val="0"/>
          <w:sz w:val="36"/>
          <w:szCs w:val="32"/>
        </w:rPr>
      </w:pPr>
      <w:r w:rsidRPr="003E6380">
        <w:rPr>
          <w:rFonts w:ascii="Montserrat" w:eastAsia="Verdana" w:hAnsi="Montserrat" w:cstheme="minorHAnsi"/>
          <w:sz w:val="36"/>
          <w:szCs w:val="32"/>
        </w:rPr>
        <w:t>INFORME CNO 6</w:t>
      </w:r>
      <w:r w:rsidR="00BE0BFD">
        <w:rPr>
          <w:rFonts w:ascii="Montserrat" w:eastAsia="Verdana" w:hAnsi="Montserrat" w:cstheme="minorHAnsi"/>
          <w:sz w:val="36"/>
          <w:szCs w:val="32"/>
        </w:rPr>
        <w:t>60</w:t>
      </w:r>
    </w:p>
    <w:p w14:paraId="18B5DA9A" w14:textId="77777777" w:rsidR="0045597B" w:rsidRPr="00F71BE8" w:rsidRDefault="0045597B" w:rsidP="00F71BE8">
      <w:pPr>
        <w:jc w:val="both"/>
        <w:rPr>
          <w:rFonts w:ascii="Verdana" w:eastAsia="Verdana" w:hAnsi="Verdana" w:cs="Verdana"/>
          <w:sz w:val="20"/>
          <w:szCs w:val="20"/>
        </w:rPr>
      </w:pPr>
    </w:p>
    <w:p w14:paraId="13901333" w14:textId="543EECFD" w:rsidR="0045597B" w:rsidRDefault="0045597B" w:rsidP="00EF5C10">
      <w:pPr>
        <w:pStyle w:val="Encabezadodemensaje"/>
        <w:pBdr>
          <w:left w:val="single" w:sz="6" w:space="0" w:color="auto"/>
        </w:pBdr>
        <w:jc w:val="both"/>
        <w:rPr>
          <w:rFonts w:ascii="Montserrat" w:eastAsia="Verdana" w:hAnsi="Montserrat" w:cstheme="minorHAnsi"/>
        </w:rPr>
      </w:pPr>
      <w:r w:rsidRPr="003E6380">
        <w:rPr>
          <w:rFonts w:ascii="Montserrat" w:eastAsia="Verdana" w:hAnsi="Montserrat" w:cstheme="minorHAnsi"/>
        </w:rPr>
        <w:t xml:space="preserve">Fecha: </w:t>
      </w:r>
      <w:r w:rsidR="00BE0BFD">
        <w:rPr>
          <w:rFonts w:ascii="Montserrat" w:eastAsia="Verdana" w:hAnsi="Montserrat" w:cstheme="minorHAnsi"/>
        </w:rPr>
        <w:t>febrero</w:t>
      </w:r>
      <w:r w:rsidR="006F466F">
        <w:rPr>
          <w:rFonts w:ascii="Montserrat" w:eastAsia="Verdana" w:hAnsi="Montserrat" w:cstheme="minorHAnsi"/>
        </w:rPr>
        <w:t xml:space="preserve"> </w:t>
      </w:r>
      <w:r w:rsidR="00116585">
        <w:rPr>
          <w:rFonts w:ascii="Montserrat" w:eastAsia="Verdana" w:hAnsi="Montserrat" w:cstheme="minorHAnsi"/>
        </w:rPr>
        <w:t>3</w:t>
      </w:r>
      <w:r w:rsidR="00B02634">
        <w:rPr>
          <w:rFonts w:ascii="Montserrat" w:eastAsia="Verdana" w:hAnsi="Montserrat" w:cstheme="minorHAnsi"/>
        </w:rPr>
        <w:t xml:space="preserve"> </w:t>
      </w:r>
      <w:r w:rsidR="00B02634" w:rsidRPr="003E6380">
        <w:rPr>
          <w:rFonts w:ascii="Montserrat" w:eastAsia="Verdana" w:hAnsi="Montserrat" w:cstheme="minorHAnsi"/>
        </w:rPr>
        <w:t>de</w:t>
      </w:r>
      <w:r w:rsidRPr="003E6380">
        <w:rPr>
          <w:rFonts w:ascii="Montserrat" w:eastAsia="Verdana" w:hAnsi="Montserrat" w:cstheme="minorHAnsi"/>
        </w:rPr>
        <w:t xml:space="preserve"> 202</w:t>
      </w:r>
      <w:r w:rsidR="00116585">
        <w:rPr>
          <w:rFonts w:ascii="Montserrat" w:eastAsia="Verdana" w:hAnsi="Montserrat" w:cstheme="minorHAnsi"/>
        </w:rPr>
        <w:t>2</w:t>
      </w:r>
    </w:p>
    <w:p w14:paraId="41626392" w14:textId="51E28DA6" w:rsidR="00752275" w:rsidRDefault="00752275" w:rsidP="00752275">
      <w:pPr>
        <w:rPr>
          <w:rFonts w:eastAsia="Verdana"/>
          <w:lang w:eastAsia="es-ES_tradnl"/>
        </w:rPr>
      </w:pPr>
    </w:p>
    <w:p w14:paraId="11AF11AB" w14:textId="634E3717" w:rsidR="00752275" w:rsidRPr="00A84CB3" w:rsidRDefault="00752275" w:rsidP="00053450">
      <w:pPr>
        <w:pStyle w:val="Prrafodelista"/>
        <w:numPr>
          <w:ilvl w:val="0"/>
          <w:numId w:val="2"/>
        </w:numPr>
        <w:rPr>
          <w:rFonts w:ascii="Montserrat" w:eastAsia="Verdana" w:hAnsi="Montserrat"/>
          <w:b/>
          <w:bCs/>
          <w:sz w:val="24"/>
          <w:szCs w:val="18"/>
          <w:lang w:eastAsia="es-ES_tradnl"/>
        </w:rPr>
      </w:pPr>
      <w:r w:rsidRPr="00A84CB3">
        <w:rPr>
          <w:rFonts w:ascii="Montserrat" w:eastAsia="Verdana" w:hAnsi="Montserrat"/>
          <w:b/>
          <w:bCs/>
          <w:sz w:val="24"/>
          <w:szCs w:val="18"/>
          <w:lang w:eastAsia="es-ES_tradnl"/>
        </w:rPr>
        <w:t>ASPECTOS ADMINISTRATIVOS:</w:t>
      </w:r>
    </w:p>
    <w:p w14:paraId="7A83CE94" w14:textId="2D98F1E9" w:rsidR="00752275" w:rsidRPr="00A77005" w:rsidRDefault="00752275" w:rsidP="00752275">
      <w:pPr>
        <w:rPr>
          <w:rFonts w:ascii="Montserrat" w:eastAsia="Verdana" w:hAnsi="Montserrat" w:cstheme="minorHAnsi"/>
          <w:lang w:eastAsia="es-ES_tradnl"/>
        </w:rPr>
      </w:pPr>
    </w:p>
    <w:p w14:paraId="0CF1D7D5" w14:textId="0E782C41" w:rsidR="00D549C1" w:rsidRPr="003427E5" w:rsidRDefault="009D77B3" w:rsidP="00D549C1">
      <w:pPr>
        <w:pStyle w:val="Prrafodelista"/>
        <w:numPr>
          <w:ilvl w:val="0"/>
          <w:numId w:val="3"/>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lang w:val="es-ES"/>
        </w:rPr>
        <w:t xml:space="preserve">ENERTOTAL fue elegido representante de la demanda regulada en el Consejo para el año 2022. </w:t>
      </w:r>
    </w:p>
    <w:p w14:paraId="44769692" w14:textId="77777777" w:rsidR="00397569" w:rsidRPr="003427E5" w:rsidRDefault="00397569" w:rsidP="00C17A35">
      <w:pPr>
        <w:pStyle w:val="Prrafodelista"/>
        <w:spacing w:after="160" w:line="259" w:lineRule="auto"/>
        <w:ind w:left="720"/>
        <w:contextualSpacing/>
        <w:jc w:val="both"/>
        <w:rPr>
          <w:rFonts w:ascii="Montserrat" w:hAnsi="Montserrat" w:cstheme="minorHAnsi"/>
          <w:bCs/>
          <w:sz w:val="22"/>
          <w:szCs w:val="22"/>
        </w:rPr>
      </w:pPr>
    </w:p>
    <w:p w14:paraId="045CBD0A" w14:textId="5F39ADD6" w:rsidR="009D77B3" w:rsidRPr="003427E5" w:rsidRDefault="00397569" w:rsidP="00197354">
      <w:pPr>
        <w:pStyle w:val="Prrafodelista"/>
        <w:numPr>
          <w:ilvl w:val="0"/>
          <w:numId w:val="3"/>
        </w:numPr>
        <w:spacing w:after="160" w:line="259" w:lineRule="auto"/>
        <w:contextualSpacing/>
        <w:jc w:val="both"/>
        <w:rPr>
          <w:rFonts w:ascii="Montserrat" w:hAnsi="Montserrat" w:cstheme="minorHAnsi"/>
          <w:bCs/>
          <w:sz w:val="22"/>
          <w:szCs w:val="22"/>
        </w:rPr>
      </w:pPr>
      <w:r w:rsidRPr="003427E5">
        <w:rPr>
          <w:rFonts w:ascii="Montserrat" w:hAnsi="Montserrat"/>
          <w:sz w:val="22"/>
          <w:szCs w:val="22"/>
        </w:rPr>
        <w:t>La EMPRESA ELÉCTRICA REGIONAL SAS ESP desist</w:t>
      </w:r>
      <w:r w:rsidR="00000F95" w:rsidRPr="003427E5">
        <w:rPr>
          <w:rFonts w:ascii="Montserrat" w:hAnsi="Montserrat"/>
          <w:sz w:val="22"/>
          <w:szCs w:val="22"/>
        </w:rPr>
        <w:t>ió</w:t>
      </w:r>
      <w:r w:rsidRPr="003427E5">
        <w:rPr>
          <w:rFonts w:ascii="Montserrat" w:hAnsi="Montserrat"/>
          <w:sz w:val="22"/>
          <w:szCs w:val="22"/>
        </w:rPr>
        <w:t xml:space="preserve"> de la designación como miembro por elección representante de la actividad de distribución en el Consejo Nacional de Operación CNO; lo anterior</w:t>
      </w:r>
      <w:r w:rsidR="00000F95" w:rsidRPr="003427E5">
        <w:rPr>
          <w:rFonts w:ascii="Montserrat" w:hAnsi="Montserrat"/>
          <w:sz w:val="22"/>
          <w:szCs w:val="22"/>
        </w:rPr>
        <w:t>,</w:t>
      </w:r>
      <w:r w:rsidRPr="003427E5">
        <w:rPr>
          <w:rFonts w:ascii="Montserrat" w:hAnsi="Montserrat"/>
          <w:sz w:val="22"/>
          <w:szCs w:val="22"/>
        </w:rPr>
        <w:t xml:space="preserve"> debido a que se han incrementado los requerimientos de personal para atender proyectos al interior de EER durante el inicio del presente año 2022, que le han generado hoy la imposibilidad de asignación permanente de profesionales para atender las reuniones y análisis de documentación que se genera producto de los deberes como miembro.</w:t>
      </w:r>
    </w:p>
    <w:p w14:paraId="2FC95719" w14:textId="77777777" w:rsidR="00D549C1" w:rsidRPr="003427E5" w:rsidRDefault="00D549C1" w:rsidP="00D549C1">
      <w:pPr>
        <w:pStyle w:val="Prrafodelista"/>
        <w:spacing w:after="160" w:line="259" w:lineRule="auto"/>
        <w:ind w:left="720"/>
        <w:contextualSpacing/>
        <w:jc w:val="both"/>
        <w:rPr>
          <w:rFonts w:ascii="Montserrat" w:hAnsi="Montserrat" w:cstheme="minorHAnsi"/>
          <w:bCs/>
          <w:sz w:val="22"/>
          <w:szCs w:val="22"/>
          <w:lang w:val="es-ES"/>
        </w:rPr>
      </w:pPr>
    </w:p>
    <w:p w14:paraId="7E45D19F" w14:textId="45AE463C" w:rsidR="00D549C1" w:rsidRPr="003427E5" w:rsidRDefault="00D549C1" w:rsidP="00D549C1">
      <w:pPr>
        <w:pStyle w:val="Prrafodelista"/>
        <w:spacing w:after="160" w:line="259" w:lineRule="auto"/>
        <w:ind w:left="720"/>
        <w:contextualSpacing/>
        <w:jc w:val="both"/>
        <w:rPr>
          <w:rFonts w:ascii="Montserrat" w:hAnsi="Montserrat" w:cstheme="minorHAnsi"/>
          <w:bCs/>
          <w:sz w:val="22"/>
          <w:szCs w:val="22"/>
          <w:lang w:val="es-ES"/>
        </w:rPr>
      </w:pPr>
      <w:r w:rsidRPr="003427E5">
        <w:rPr>
          <w:rFonts w:ascii="Montserrat" w:hAnsi="Montserrat" w:cstheme="minorHAnsi"/>
          <w:bCs/>
          <w:sz w:val="22"/>
          <w:szCs w:val="22"/>
          <w:lang w:val="es-ES"/>
        </w:rPr>
        <w:t xml:space="preserve">Se solicita al Consejo la aprobación del acuerdo de actualización de la conformación del Consejo en el 2022, incluyendo a ENERTOTAL S.A. E.S.P. </w:t>
      </w:r>
      <w:r w:rsidR="00FE11A5" w:rsidRPr="003427E5">
        <w:rPr>
          <w:rFonts w:ascii="Montserrat" w:hAnsi="Montserrat" w:cstheme="minorHAnsi"/>
          <w:bCs/>
          <w:sz w:val="22"/>
          <w:szCs w:val="22"/>
          <w:lang w:val="es-ES"/>
        </w:rPr>
        <w:t xml:space="preserve">y </w:t>
      </w:r>
      <w:r w:rsidR="00FE11A5">
        <w:rPr>
          <w:rFonts w:ascii="Montserrat" w:hAnsi="Montserrat" w:cstheme="minorHAnsi"/>
          <w:bCs/>
          <w:sz w:val="22"/>
          <w:szCs w:val="22"/>
          <w:lang w:val="es-ES"/>
        </w:rPr>
        <w:t xml:space="preserve">retirando </w:t>
      </w:r>
      <w:r w:rsidRPr="003427E5">
        <w:rPr>
          <w:rFonts w:ascii="Montserrat" w:hAnsi="Montserrat" w:cstheme="minorHAnsi"/>
          <w:bCs/>
          <w:sz w:val="22"/>
          <w:szCs w:val="22"/>
          <w:lang w:val="es-ES"/>
        </w:rPr>
        <w:t xml:space="preserve">a la EMPRESA ELÉCTRICA REGIONAL S.A. E.S.P.  </w:t>
      </w:r>
    </w:p>
    <w:p w14:paraId="731EC5AD" w14:textId="77777777" w:rsidR="00D549C1" w:rsidRPr="003427E5" w:rsidRDefault="00D549C1" w:rsidP="00D549C1">
      <w:pPr>
        <w:pStyle w:val="Prrafodelista"/>
        <w:spacing w:after="160" w:line="259" w:lineRule="auto"/>
        <w:ind w:left="720"/>
        <w:contextualSpacing/>
        <w:jc w:val="both"/>
        <w:rPr>
          <w:rFonts w:ascii="Montserrat" w:hAnsi="Montserrat" w:cstheme="minorHAnsi"/>
          <w:bCs/>
          <w:sz w:val="22"/>
          <w:szCs w:val="22"/>
          <w:lang w:val="es-ES"/>
        </w:rPr>
      </w:pPr>
    </w:p>
    <w:p w14:paraId="505C1CD8" w14:textId="0D6A18F0" w:rsidR="00D549C1" w:rsidRPr="003427E5" w:rsidRDefault="00D549C1" w:rsidP="00292E02">
      <w:pPr>
        <w:pStyle w:val="Prrafodelista"/>
        <w:spacing w:after="160" w:line="259" w:lineRule="auto"/>
        <w:ind w:left="720"/>
        <w:contextualSpacing/>
        <w:jc w:val="both"/>
        <w:rPr>
          <w:rFonts w:ascii="Montserrat" w:hAnsi="Montserrat" w:cstheme="minorHAnsi"/>
          <w:bCs/>
          <w:sz w:val="22"/>
          <w:szCs w:val="22"/>
        </w:rPr>
      </w:pPr>
      <w:r w:rsidRPr="003427E5">
        <w:rPr>
          <w:rFonts w:ascii="Montserrat" w:hAnsi="Montserrat" w:cstheme="minorHAnsi"/>
          <w:bCs/>
          <w:sz w:val="22"/>
          <w:szCs w:val="22"/>
          <w:lang w:val="es-ES"/>
        </w:rPr>
        <w:t>De acuerdo con lo previsto en el Reglamento Interno hay vacancia de</w:t>
      </w:r>
      <w:r w:rsidR="00000F95" w:rsidRPr="003427E5">
        <w:rPr>
          <w:rFonts w:ascii="Montserrat" w:hAnsi="Montserrat" w:cstheme="minorHAnsi"/>
          <w:bCs/>
          <w:sz w:val="22"/>
          <w:szCs w:val="22"/>
          <w:lang w:val="es-ES"/>
        </w:rPr>
        <w:t>l</w:t>
      </w:r>
      <w:r w:rsidRPr="003427E5">
        <w:rPr>
          <w:rFonts w:ascii="Montserrat" w:hAnsi="Montserrat" w:cstheme="minorHAnsi"/>
          <w:bCs/>
          <w:sz w:val="22"/>
          <w:szCs w:val="22"/>
          <w:lang w:val="es-ES"/>
        </w:rPr>
        <w:t xml:space="preserve"> representante</w:t>
      </w:r>
      <w:r w:rsidR="00000F95" w:rsidRPr="003427E5">
        <w:rPr>
          <w:rFonts w:ascii="Montserrat" w:hAnsi="Montserrat" w:cstheme="minorHAnsi"/>
          <w:bCs/>
          <w:sz w:val="22"/>
          <w:szCs w:val="22"/>
          <w:lang w:val="es-ES"/>
        </w:rPr>
        <w:t xml:space="preserve"> de la actividad de distribución que no realice prioritariamente la actividad de generación</w:t>
      </w:r>
      <w:r w:rsidRPr="003427E5">
        <w:rPr>
          <w:rFonts w:ascii="Montserrat" w:hAnsi="Montserrat" w:cstheme="minorHAnsi"/>
          <w:bCs/>
          <w:sz w:val="22"/>
          <w:szCs w:val="22"/>
          <w:lang w:val="es-ES"/>
        </w:rPr>
        <w:t>, lo cual se debe informar al Ministerio de Minas y Energía y a la Superintendencia de Servicios Públicos Domiciliarios.</w:t>
      </w:r>
    </w:p>
    <w:p w14:paraId="068E1354" w14:textId="77777777" w:rsidR="00397569" w:rsidRPr="003427E5" w:rsidRDefault="00397569" w:rsidP="00397569">
      <w:pPr>
        <w:pStyle w:val="Prrafodelista"/>
        <w:rPr>
          <w:rFonts w:ascii="Montserrat" w:hAnsi="Montserrat" w:cstheme="minorHAnsi"/>
          <w:bCs/>
          <w:sz w:val="22"/>
          <w:szCs w:val="22"/>
        </w:rPr>
      </w:pPr>
    </w:p>
    <w:p w14:paraId="52B521F4" w14:textId="66ABFF03" w:rsidR="00BC24FE" w:rsidRPr="003427E5" w:rsidRDefault="00BC24FE" w:rsidP="00A01514">
      <w:pPr>
        <w:pStyle w:val="Prrafodelista"/>
        <w:numPr>
          <w:ilvl w:val="0"/>
          <w:numId w:val="3"/>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El 26 de enero de 2022 se recibió la comunicación del</w:t>
      </w:r>
      <w:r w:rsidR="00A01514" w:rsidRPr="003427E5">
        <w:rPr>
          <w:rFonts w:ascii="Montserrat" w:hAnsi="Montserrat" w:cstheme="minorHAnsi"/>
          <w:bCs/>
          <w:sz w:val="22"/>
          <w:szCs w:val="22"/>
        </w:rPr>
        <w:t xml:space="preserve"> Gerente General de Intercolombia S.A. E.S.P. por la que solicita al Consejo (…) “rectificar su decisión y readmitir la legítima participación de ISA INTERCOLOMBIA como miembro, para lo cual ratificamos nuestro compromiso de continuar aportando todo nuestro conocimiento y experiencia de forma ecuánime y transparente en pro de la operación segura, confiable y económica del sistema eléctrico colombiano.”</w:t>
      </w:r>
    </w:p>
    <w:p w14:paraId="2F4C54CB" w14:textId="77777777" w:rsidR="00BC24FE" w:rsidRPr="003427E5" w:rsidRDefault="00BC24FE" w:rsidP="00292E02">
      <w:pPr>
        <w:pStyle w:val="Prrafodelista"/>
        <w:spacing w:after="160" w:line="259" w:lineRule="auto"/>
        <w:ind w:left="720"/>
        <w:contextualSpacing/>
        <w:jc w:val="both"/>
        <w:rPr>
          <w:rFonts w:ascii="Montserrat" w:hAnsi="Montserrat" w:cstheme="minorHAnsi"/>
          <w:bCs/>
          <w:sz w:val="22"/>
          <w:szCs w:val="22"/>
        </w:rPr>
      </w:pPr>
    </w:p>
    <w:p w14:paraId="2AC5A7A4" w14:textId="42CEDE48" w:rsidR="00A357D3" w:rsidRPr="003427E5" w:rsidRDefault="00D5272E" w:rsidP="00053450">
      <w:pPr>
        <w:pStyle w:val="Prrafodelista"/>
        <w:numPr>
          <w:ilvl w:val="0"/>
          <w:numId w:val="3"/>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Solicitamos la</w:t>
      </w:r>
      <w:r w:rsidR="002824B0" w:rsidRPr="003427E5">
        <w:rPr>
          <w:rFonts w:ascii="Montserrat" w:hAnsi="Montserrat" w:cstheme="minorHAnsi"/>
          <w:bCs/>
          <w:sz w:val="22"/>
          <w:szCs w:val="22"/>
        </w:rPr>
        <w:t xml:space="preserve"> consideración de las siguientes empresas que han presentado la solicitud para ser invitadas a</w:t>
      </w:r>
      <w:r w:rsidR="00241798" w:rsidRPr="003427E5">
        <w:rPr>
          <w:rFonts w:ascii="Montserrat" w:hAnsi="Montserrat" w:cstheme="minorHAnsi"/>
          <w:bCs/>
          <w:sz w:val="22"/>
          <w:szCs w:val="22"/>
        </w:rPr>
        <w:t xml:space="preserve"> las reuniones de</w:t>
      </w:r>
      <w:r w:rsidR="002824B0" w:rsidRPr="003427E5">
        <w:rPr>
          <w:rFonts w:ascii="Montserrat" w:hAnsi="Montserrat" w:cstheme="minorHAnsi"/>
          <w:bCs/>
          <w:sz w:val="22"/>
          <w:szCs w:val="22"/>
        </w:rPr>
        <w:t xml:space="preserve">l Consejo en este año: </w:t>
      </w:r>
    </w:p>
    <w:p w14:paraId="20E35F8D" w14:textId="77777777" w:rsidR="00735A35" w:rsidRPr="003427E5" w:rsidRDefault="00735A35" w:rsidP="00BA720A">
      <w:pPr>
        <w:pStyle w:val="Prrafodelista"/>
        <w:ind w:left="0"/>
        <w:rPr>
          <w:rFonts w:ascii="Montserrat" w:hAnsi="Montserrat" w:cstheme="minorHAnsi"/>
          <w:bCs/>
          <w:sz w:val="22"/>
          <w:szCs w:val="22"/>
        </w:rPr>
      </w:pPr>
    </w:p>
    <w:p w14:paraId="02CA2259" w14:textId="232FCEB1" w:rsidR="00735A35" w:rsidRPr="003427E5" w:rsidRDefault="00735A35" w:rsidP="00121190">
      <w:pPr>
        <w:pStyle w:val="Prrafodelista"/>
        <w:numPr>
          <w:ilvl w:val="0"/>
          <w:numId w:val="4"/>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AFINIA</w:t>
      </w:r>
    </w:p>
    <w:p w14:paraId="7C19147E" w14:textId="2B04B728" w:rsidR="009D77B3" w:rsidRPr="003427E5" w:rsidRDefault="009D77B3" w:rsidP="00053450">
      <w:pPr>
        <w:pStyle w:val="Prrafodelista"/>
        <w:numPr>
          <w:ilvl w:val="0"/>
          <w:numId w:val="4"/>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URRA</w:t>
      </w:r>
    </w:p>
    <w:p w14:paraId="6EF342BC" w14:textId="7F2DE042" w:rsidR="00397569" w:rsidRPr="003427E5" w:rsidRDefault="00397569" w:rsidP="00053450">
      <w:pPr>
        <w:pStyle w:val="Prrafodelista"/>
        <w:numPr>
          <w:ilvl w:val="0"/>
          <w:numId w:val="4"/>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JULIA RD</w:t>
      </w:r>
    </w:p>
    <w:p w14:paraId="1E014E39" w14:textId="15239C02" w:rsidR="00397569" w:rsidRPr="003427E5" w:rsidRDefault="00397569" w:rsidP="00053450">
      <w:pPr>
        <w:pStyle w:val="Prrafodelista"/>
        <w:numPr>
          <w:ilvl w:val="0"/>
          <w:numId w:val="4"/>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ELECTROHUILA</w:t>
      </w:r>
    </w:p>
    <w:p w14:paraId="2C0662AB" w14:textId="4725F55A" w:rsidR="00735A35" w:rsidRPr="003427E5" w:rsidRDefault="00121190" w:rsidP="00292E02">
      <w:pPr>
        <w:spacing w:after="160" w:line="259" w:lineRule="auto"/>
        <w:ind w:firstLine="720"/>
        <w:contextualSpacing/>
        <w:jc w:val="both"/>
        <w:rPr>
          <w:rFonts w:ascii="Montserrat" w:hAnsi="Montserrat" w:cstheme="minorHAnsi"/>
          <w:bCs/>
          <w:sz w:val="22"/>
          <w:szCs w:val="22"/>
        </w:rPr>
      </w:pPr>
      <w:r w:rsidRPr="003427E5">
        <w:rPr>
          <w:rFonts w:ascii="Montserrat" w:hAnsi="Montserrat" w:cstheme="minorHAnsi"/>
          <w:bCs/>
          <w:sz w:val="22"/>
          <w:szCs w:val="22"/>
        </w:rPr>
        <w:t>Se cumplió el cupo de las 6 empresas invitadas a las reuniones del CNO.</w:t>
      </w:r>
    </w:p>
    <w:p w14:paraId="068949A1" w14:textId="1BD9F010" w:rsidR="00BA720A" w:rsidRPr="003427E5" w:rsidRDefault="00BA720A" w:rsidP="00053450">
      <w:pPr>
        <w:pStyle w:val="Prrafodelista"/>
        <w:numPr>
          <w:ilvl w:val="0"/>
          <w:numId w:val="3"/>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lastRenderedPageBreak/>
        <w:t>Se somete a consideración del Consejo</w:t>
      </w:r>
      <w:r w:rsidR="00DF1147" w:rsidRPr="003427E5">
        <w:rPr>
          <w:rFonts w:ascii="Montserrat" w:hAnsi="Montserrat" w:cstheme="minorHAnsi"/>
          <w:bCs/>
          <w:sz w:val="22"/>
          <w:szCs w:val="22"/>
        </w:rPr>
        <w:t xml:space="preserve"> el trámite de</w:t>
      </w:r>
      <w:r w:rsidRPr="003427E5">
        <w:rPr>
          <w:rFonts w:ascii="Montserrat" w:hAnsi="Montserrat" w:cstheme="minorHAnsi"/>
          <w:bCs/>
          <w:sz w:val="22"/>
          <w:szCs w:val="22"/>
        </w:rPr>
        <w:t xml:space="preserve"> u</w:t>
      </w:r>
      <w:r w:rsidR="009D77B3" w:rsidRPr="003427E5">
        <w:rPr>
          <w:rFonts w:ascii="Montserrat" w:hAnsi="Montserrat" w:cstheme="minorHAnsi"/>
          <w:bCs/>
          <w:sz w:val="22"/>
          <w:szCs w:val="22"/>
        </w:rPr>
        <w:t>n</w:t>
      </w:r>
      <w:r w:rsidRPr="003427E5">
        <w:rPr>
          <w:rFonts w:ascii="Montserrat" w:hAnsi="Montserrat" w:cstheme="minorHAnsi"/>
          <w:bCs/>
          <w:sz w:val="22"/>
          <w:szCs w:val="22"/>
        </w:rPr>
        <w:t xml:space="preserve"> otrosi al contrato con Alianza </w:t>
      </w:r>
      <w:r w:rsidR="00DF1147" w:rsidRPr="003427E5">
        <w:rPr>
          <w:rFonts w:ascii="Montserrat" w:hAnsi="Montserrat" w:cstheme="minorHAnsi"/>
          <w:bCs/>
          <w:sz w:val="22"/>
          <w:szCs w:val="22"/>
        </w:rPr>
        <w:t>F</w:t>
      </w:r>
      <w:r w:rsidRPr="003427E5">
        <w:rPr>
          <w:rFonts w:ascii="Montserrat" w:hAnsi="Montserrat" w:cstheme="minorHAnsi"/>
          <w:bCs/>
          <w:sz w:val="22"/>
          <w:szCs w:val="22"/>
        </w:rPr>
        <w:t xml:space="preserve">iduciaria </w:t>
      </w:r>
      <w:r w:rsidR="00DF1147" w:rsidRPr="003427E5">
        <w:rPr>
          <w:rFonts w:ascii="Montserrat" w:hAnsi="Montserrat" w:cstheme="minorHAnsi"/>
          <w:bCs/>
          <w:sz w:val="22"/>
          <w:szCs w:val="22"/>
        </w:rPr>
        <w:t xml:space="preserve">por el cual se actualiza la conformación del Consejo a la Ley 2099 de 2021 y se incluyen </w:t>
      </w:r>
      <w:r w:rsidRPr="003427E5">
        <w:rPr>
          <w:rFonts w:ascii="Montserrat" w:hAnsi="Montserrat" w:cstheme="minorHAnsi"/>
          <w:bCs/>
          <w:sz w:val="22"/>
          <w:szCs w:val="22"/>
        </w:rPr>
        <w:t>los nuevos fideicomitentes.</w:t>
      </w:r>
    </w:p>
    <w:p w14:paraId="2908897D" w14:textId="77777777" w:rsidR="00DF1147" w:rsidRPr="003427E5" w:rsidRDefault="00DF1147" w:rsidP="00292E02">
      <w:pPr>
        <w:pStyle w:val="Prrafodelista"/>
        <w:spacing w:after="160" w:line="259" w:lineRule="auto"/>
        <w:ind w:left="720"/>
        <w:contextualSpacing/>
        <w:jc w:val="both"/>
        <w:rPr>
          <w:rFonts w:ascii="Montserrat" w:hAnsi="Montserrat" w:cstheme="minorHAnsi"/>
          <w:bCs/>
          <w:sz w:val="22"/>
          <w:szCs w:val="22"/>
        </w:rPr>
      </w:pPr>
    </w:p>
    <w:p w14:paraId="4C56D5D4" w14:textId="3A7C57C7" w:rsidR="00DF1147" w:rsidRPr="003427E5" w:rsidRDefault="00DF1147" w:rsidP="00DF1147">
      <w:pPr>
        <w:pStyle w:val="Prrafodelista"/>
        <w:numPr>
          <w:ilvl w:val="0"/>
          <w:numId w:val="3"/>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 xml:space="preserve">Los diferentes Comités y Subcomités definieron sus planes operativos para el 2022. El 7 de febrero de 2022 se hará la reunión con los presidentes y coordinadores técnicos, para coordinar el desarrollo transversal de temas. </w:t>
      </w:r>
    </w:p>
    <w:p w14:paraId="6F2C7E13" w14:textId="77777777" w:rsidR="00C707DF" w:rsidRPr="003427E5" w:rsidRDefault="00C707DF" w:rsidP="00292E02">
      <w:pPr>
        <w:pStyle w:val="Prrafodelista"/>
        <w:rPr>
          <w:rFonts w:ascii="Montserrat" w:hAnsi="Montserrat" w:cstheme="minorHAnsi"/>
          <w:bCs/>
          <w:sz w:val="22"/>
          <w:szCs w:val="22"/>
        </w:rPr>
      </w:pPr>
    </w:p>
    <w:p w14:paraId="6171296F" w14:textId="51981B8B" w:rsidR="00000F95" w:rsidRPr="003427E5" w:rsidRDefault="00C707DF" w:rsidP="00000F95">
      <w:pPr>
        <w:pStyle w:val="Prrafodelista"/>
        <w:numPr>
          <w:ilvl w:val="0"/>
          <w:numId w:val="3"/>
        </w:numPr>
        <w:spacing w:after="160" w:line="259" w:lineRule="auto"/>
        <w:contextualSpacing/>
        <w:jc w:val="both"/>
        <w:rPr>
          <w:rFonts w:ascii="Montserrat" w:hAnsi="Montserrat" w:cstheme="minorHAnsi"/>
          <w:sz w:val="22"/>
          <w:szCs w:val="22"/>
        </w:rPr>
      </w:pPr>
      <w:r w:rsidRPr="003427E5">
        <w:rPr>
          <w:rFonts w:ascii="Montserrat" w:hAnsi="Montserrat" w:cstheme="minorHAnsi"/>
          <w:sz w:val="22"/>
          <w:szCs w:val="22"/>
        </w:rPr>
        <w:t>el Consejo trabajó en la Implementación de una hoja de ruta de Gobierno Corporativo</w:t>
      </w:r>
      <w:r w:rsidR="00DF72DA" w:rsidRPr="00DF72DA">
        <w:rPr>
          <w:rFonts w:ascii="Montserrat" w:hAnsi="Montserrat" w:cstheme="minorHAnsi"/>
          <w:sz w:val="22"/>
          <w:szCs w:val="22"/>
        </w:rPr>
        <w:t xml:space="preserve"> </w:t>
      </w:r>
      <w:r w:rsidR="00DF72DA">
        <w:rPr>
          <w:rFonts w:ascii="Montserrat" w:hAnsi="Montserrat" w:cstheme="minorHAnsi"/>
          <w:sz w:val="22"/>
          <w:szCs w:val="22"/>
        </w:rPr>
        <w:t>e</w:t>
      </w:r>
      <w:r w:rsidR="00DF72DA" w:rsidRPr="003427E5">
        <w:rPr>
          <w:rFonts w:ascii="Montserrat" w:hAnsi="Montserrat" w:cstheme="minorHAnsi"/>
          <w:sz w:val="22"/>
          <w:szCs w:val="22"/>
        </w:rPr>
        <w:t>n el año 2021,</w:t>
      </w:r>
      <w:r w:rsidR="00000F95" w:rsidRPr="003427E5">
        <w:rPr>
          <w:rFonts w:ascii="Montserrat" w:hAnsi="Montserrat" w:cstheme="minorHAnsi"/>
          <w:sz w:val="22"/>
          <w:szCs w:val="22"/>
        </w:rPr>
        <w:t xml:space="preserve"> con p</w:t>
      </w:r>
      <w:r w:rsidRPr="003427E5">
        <w:rPr>
          <w:rFonts w:ascii="Montserrat" w:hAnsi="Montserrat" w:cstheme="minorHAnsi"/>
          <w:sz w:val="22"/>
          <w:szCs w:val="22"/>
        </w:rPr>
        <w:t>ropuestas de acciones consolidadas de los grupos de trabajo</w:t>
      </w:r>
      <w:r w:rsidR="00D6195A">
        <w:rPr>
          <w:rFonts w:ascii="Montserrat" w:hAnsi="Montserrat" w:cstheme="minorHAnsi"/>
          <w:sz w:val="22"/>
          <w:szCs w:val="22"/>
        </w:rPr>
        <w:t>. Se propone en la reunión de marzo presentar un estado de avance en la implementación de las acciones definidas.</w:t>
      </w:r>
    </w:p>
    <w:p w14:paraId="4D4F7C5D" w14:textId="77777777" w:rsidR="00000F95" w:rsidRPr="003427E5" w:rsidRDefault="00000F95" w:rsidP="00292E02">
      <w:pPr>
        <w:pStyle w:val="Prrafodelista"/>
        <w:rPr>
          <w:rFonts w:ascii="Montserrat" w:hAnsi="Montserrat" w:cstheme="minorHAnsi"/>
          <w:sz w:val="22"/>
          <w:szCs w:val="22"/>
          <w:lang w:val="es-ES"/>
        </w:rPr>
      </w:pPr>
    </w:p>
    <w:p w14:paraId="6B798B1A" w14:textId="0333E428" w:rsidR="00752275" w:rsidRPr="006509B5" w:rsidRDefault="00752275" w:rsidP="006509B5">
      <w:pPr>
        <w:ind w:left="360"/>
        <w:jc w:val="both"/>
        <w:rPr>
          <w:rFonts w:ascii="Montserrat" w:hAnsi="Montserrat" w:cstheme="minorHAnsi"/>
          <w:b/>
        </w:rPr>
      </w:pPr>
      <w:r w:rsidRPr="006509B5">
        <w:rPr>
          <w:rFonts w:ascii="Montserrat" w:hAnsi="Montserrat" w:cstheme="minorHAnsi"/>
          <w:b/>
        </w:rPr>
        <w:t>ASPECTOS T</w:t>
      </w:r>
      <w:r w:rsidR="00A357D3" w:rsidRPr="006509B5">
        <w:rPr>
          <w:rFonts w:ascii="Montserrat" w:hAnsi="Montserrat" w:cstheme="minorHAnsi"/>
          <w:b/>
        </w:rPr>
        <w:t>É</w:t>
      </w:r>
      <w:r w:rsidRPr="006509B5">
        <w:rPr>
          <w:rFonts w:ascii="Montserrat" w:hAnsi="Montserrat" w:cstheme="minorHAnsi"/>
          <w:b/>
        </w:rPr>
        <w:t>CNICOS:</w:t>
      </w:r>
    </w:p>
    <w:p w14:paraId="446E1066" w14:textId="77777777" w:rsidR="00752275" w:rsidRPr="006509B5" w:rsidRDefault="00752275" w:rsidP="006509B5">
      <w:pPr>
        <w:jc w:val="both"/>
        <w:rPr>
          <w:rFonts w:ascii="Montserrat" w:hAnsi="Montserrat" w:cstheme="minorHAnsi"/>
          <w:b/>
          <w:spacing w:val="-20"/>
        </w:rPr>
      </w:pPr>
    </w:p>
    <w:p w14:paraId="562B518B" w14:textId="77F3BFC6" w:rsidR="00B80E13" w:rsidRPr="003427E5" w:rsidRDefault="003D1052" w:rsidP="00053450">
      <w:pPr>
        <w:pStyle w:val="Prrafodelista"/>
        <w:numPr>
          <w:ilvl w:val="0"/>
          <w:numId w:val="3"/>
        </w:numPr>
        <w:spacing w:after="160" w:line="259" w:lineRule="auto"/>
        <w:contextualSpacing/>
        <w:jc w:val="both"/>
        <w:rPr>
          <w:rFonts w:ascii="Montserrat" w:hAnsi="Montserrat" w:cstheme="minorHAnsi"/>
          <w:bCs/>
          <w:sz w:val="22"/>
          <w:szCs w:val="22"/>
        </w:rPr>
      </w:pPr>
      <w:r w:rsidRPr="003427E5">
        <w:rPr>
          <w:rFonts w:ascii="Montserrat" w:hAnsi="Montserrat" w:cstheme="minorHAnsi"/>
          <w:bCs/>
          <w:sz w:val="22"/>
          <w:szCs w:val="22"/>
        </w:rPr>
        <w:t>El Consejo viene desarrollando todas las actividades y tareas asignadas por la CRE</w:t>
      </w:r>
      <w:r w:rsidR="00A84CB3" w:rsidRPr="003427E5">
        <w:rPr>
          <w:rFonts w:ascii="Montserrat" w:hAnsi="Montserrat" w:cstheme="minorHAnsi"/>
          <w:bCs/>
          <w:sz w:val="22"/>
          <w:szCs w:val="22"/>
        </w:rPr>
        <w:t>G</w:t>
      </w:r>
      <w:r w:rsidRPr="003427E5">
        <w:rPr>
          <w:rFonts w:ascii="Montserrat" w:hAnsi="Montserrat" w:cstheme="minorHAnsi"/>
          <w:bCs/>
          <w:sz w:val="22"/>
          <w:szCs w:val="22"/>
        </w:rPr>
        <w:t xml:space="preserve"> en su resolución 148 del 2021, la cual estableció los requisitos de conexión, operación, supervisión y otras disposiciones para las plantas eólicas y solares fotovoltaicas conectadas en los sistemas de distribución local y cuya capacidad es mayor o igual a 5 MW.</w:t>
      </w:r>
      <w:r w:rsidR="00842C72" w:rsidRPr="003427E5">
        <w:rPr>
          <w:rFonts w:ascii="Montserrat" w:hAnsi="Montserrat" w:cstheme="minorHAnsi"/>
          <w:bCs/>
          <w:sz w:val="22"/>
          <w:szCs w:val="22"/>
        </w:rPr>
        <w:t xml:space="preserve"> </w:t>
      </w:r>
      <w:r w:rsidR="006509B5" w:rsidRPr="003427E5">
        <w:rPr>
          <w:rFonts w:ascii="Montserrat" w:hAnsi="Montserrat" w:cstheme="minorHAnsi"/>
          <w:bCs/>
          <w:sz w:val="22"/>
          <w:szCs w:val="22"/>
        </w:rPr>
        <w:t xml:space="preserve"> </w:t>
      </w:r>
      <w:r w:rsidR="006D0754" w:rsidRPr="003427E5">
        <w:rPr>
          <w:rFonts w:ascii="Montserrat" w:hAnsi="Montserrat" w:cstheme="minorHAnsi"/>
          <w:bCs/>
          <w:sz w:val="22"/>
          <w:szCs w:val="22"/>
        </w:rPr>
        <w:t>L</w:t>
      </w:r>
      <w:r w:rsidR="00842C72" w:rsidRPr="003427E5">
        <w:rPr>
          <w:rFonts w:ascii="Montserrat" w:hAnsi="Montserrat" w:cstheme="minorHAnsi"/>
          <w:bCs/>
          <w:sz w:val="22"/>
          <w:szCs w:val="22"/>
        </w:rPr>
        <w:t>os productos</w:t>
      </w:r>
      <w:r w:rsidRPr="003427E5">
        <w:rPr>
          <w:rFonts w:ascii="Montserrat" w:hAnsi="Montserrat" w:cstheme="minorHAnsi"/>
          <w:bCs/>
          <w:sz w:val="22"/>
          <w:szCs w:val="22"/>
        </w:rPr>
        <w:t xml:space="preserve"> </w:t>
      </w:r>
      <w:r w:rsidR="00E41341" w:rsidRPr="003427E5">
        <w:rPr>
          <w:rFonts w:ascii="Montserrat" w:hAnsi="Montserrat" w:cstheme="minorHAnsi"/>
          <w:bCs/>
          <w:sz w:val="22"/>
          <w:szCs w:val="22"/>
        </w:rPr>
        <w:t>se publicaron desde el pasado</w:t>
      </w:r>
      <w:r w:rsidRPr="003427E5">
        <w:rPr>
          <w:rFonts w:ascii="Montserrat" w:hAnsi="Montserrat" w:cstheme="minorHAnsi"/>
          <w:bCs/>
          <w:sz w:val="22"/>
          <w:szCs w:val="22"/>
        </w:rPr>
        <w:t xml:space="preserve"> 20 de enero</w:t>
      </w:r>
      <w:r w:rsidR="00096D83" w:rsidRPr="003427E5">
        <w:rPr>
          <w:rFonts w:ascii="Montserrat" w:hAnsi="Montserrat" w:cstheme="minorHAnsi"/>
          <w:bCs/>
          <w:sz w:val="22"/>
          <w:szCs w:val="22"/>
        </w:rPr>
        <w:t xml:space="preserve"> y hasta el 9 de febrero</w:t>
      </w:r>
      <w:r w:rsidRPr="003427E5">
        <w:rPr>
          <w:rFonts w:ascii="Montserrat" w:hAnsi="Montserrat" w:cstheme="minorHAnsi"/>
          <w:bCs/>
          <w:sz w:val="22"/>
          <w:szCs w:val="22"/>
        </w:rPr>
        <w:t xml:space="preserve">, cumpliendo con los lineamientos de publicidad definidos por la </w:t>
      </w:r>
      <w:r w:rsidR="00DF1147" w:rsidRPr="003427E5">
        <w:rPr>
          <w:rFonts w:ascii="Montserrat" w:hAnsi="Montserrat" w:cstheme="minorHAnsi"/>
          <w:bCs/>
          <w:sz w:val="22"/>
          <w:szCs w:val="22"/>
        </w:rPr>
        <w:t>C</w:t>
      </w:r>
      <w:r w:rsidRPr="003427E5">
        <w:rPr>
          <w:rFonts w:ascii="Montserrat" w:hAnsi="Montserrat" w:cstheme="minorHAnsi"/>
          <w:bCs/>
          <w:sz w:val="22"/>
          <w:szCs w:val="22"/>
        </w:rPr>
        <w:t>omisión.</w:t>
      </w:r>
      <w:r w:rsidR="006509B5" w:rsidRPr="003427E5">
        <w:rPr>
          <w:rFonts w:ascii="Montserrat" w:hAnsi="Montserrat" w:cstheme="minorHAnsi"/>
          <w:bCs/>
          <w:sz w:val="22"/>
          <w:szCs w:val="22"/>
        </w:rPr>
        <w:t xml:space="preserve"> Se propone reunión extraordinaria del CNO para el 15 de febrero con el fin de aprobar </w:t>
      </w:r>
      <w:r w:rsidR="00DF1147" w:rsidRPr="003427E5">
        <w:rPr>
          <w:rFonts w:ascii="Montserrat" w:hAnsi="Montserrat" w:cstheme="minorHAnsi"/>
          <w:bCs/>
          <w:sz w:val="22"/>
          <w:szCs w:val="22"/>
        </w:rPr>
        <w:t xml:space="preserve">todos </w:t>
      </w:r>
      <w:r w:rsidR="006509B5" w:rsidRPr="003427E5">
        <w:rPr>
          <w:rFonts w:ascii="Montserrat" w:hAnsi="Montserrat" w:cstheme="minorHAnsi"/>
          <w:bCs/>
          <w:sz w:val="22"/>
          <w:szCs w:val="22"/>
        </w:rPr>
        <w:t>los acuerdos</w:t>
      </w:r>
      <w:r w:rsidR="00DF1147" w:rsidRPr="003427E5">
        <w:rPr>
          <w:rFonts w:ascii="Montserrat" w:hAnsi="Montserrat" w:cstheme="minorHAnsi"/>
          <w:bCs/>
          <w:sz w:val="22"/>
          <w:szCs w:val="22"/>
        </w:rPr>
        <w:t xml:space="preserve"> que desarrollan e instrumentan la Resolución</w:t>
      </w:r>
      <w:r w:rsidR="006509B5" w:rsidRPr="003427E5">
        <w:rPr>
          <w:rFonts w:ascii="Montserrat" w:hAnsi="Montserrat" w:cstheme="minorHAnsi"/>
          <w:bCs/>
          <w:sz w:val="22"/>
          <w:szCs w:val="22"/>
        </w:rPr>
        <w:t xml:space="preserve">. </w:t>
      </w:r>
    </w:p>
    <w:p w14:paraId="668D9428" w14:textId="77777777" w:rsidR="003E145F" w:rsidRPr="003427E5" w:rsidRDefault="003E145F" w:rsidP="00A84CB3">
      <w:pPr>
        <w:pStyle w:val="Prrafodelista"/>
        <w:rPr>
          <w:rFonts w:ascii="Montserrat" w:hAnsi="Montserrat" w:cstheme="minorHAnsi"/>
          <w:bCs/>
          <w:sz w:val="22"/>
          <w:szCs w:val="22"/>
        </w:rPr>
      </w:pPr>
    </w:p>
    <w:p w14:paraId="29CC8BA8" w14:textId="4C60A6A5" w:rsidR="00096D83" w:rsidRPr="003427E5" w:rsidRDefault="00096D83" w:rsidP="00096D83">
      <w:pPr>
        <w:pStyle w:val="Prrafodelista"/>
        <w:numPr>
          <w:ilvl w:val="0"/>
          <w:numId w:val="3"/>
        </w:numPr>
        <w:jc w:val="both"/>
        <w:rPr>
          <w:rFonts w:ascii="Montserrat" w:hAnsi="Montserrat" w:cstheme="minorHAnsi"/>
          <w:bCs/>
          <w:sz w:val="22"/>
          <w:szCs w:val="22"/>
        </w:rPr>
      </w:pPr>
      <w:r w:rsidRPr="003427E5">
        <w:rPr>
          <w:rFonts w:ascii="Montserrat" w:hAnsi="Montserrat" w:cstheme="minorHAnsi"/>
          <w:bCs/>
          <w:sz w:val="22"/>
          <w:szCs w:val="22"/>
        </w:rPr>
        <w:t xml:space="preserve">En el </w:t>
      </w:r>
      <w:r w:rsidR="00352A2F" w:rsidRPr="003427E5">
        <w:rPr>
          <w:rFonts w:ascii="Montserrat" w:hAnsi="Montserrat" w:cstheme="minorHAnsi"/>
          <w:bCs/>
          <w:sz w:val="22"/>
          <w:szCs w:val="22"/>
        </w:rPr>
        <w:t>Comité de</w:t>
      </w:r>
      <w:r w:rsidRPr="003427E5">
        <w:rPr>
          <w:rFonts w:ascii="Montserrat" w:hAnsi="Montserrat" w:cstheme="minorHAnsi"/>
          <w:bCs/>
          <w:sz w:val="22"/>
          <w:szCs w:val="22"/>
        </w:rPr>
        <w:t xml:space="preserve"> </w:t>
      </w:r>
      <w:r w:rsidR="00352A2F" w:rsidRPr="003427E5">
        <w:rPr>
          <w:rFonts w:ascii="Montserrat" w:hAnsi="Montserrat" w:cstheme="minorHAnsi"/>
          <w:bCs/>
          <w:sz w:val="22"/>
          <w:szCs w:val="22"/>
        </w:rPr>
        <w:t>Distribución se</w:t>
      </w:r>
      <w:r w:rsidRPr="003427E5">
        <w:rPr>
          <w:rFonts w:ascii="Montserrat" w:hAnsi="Montserrat" w:cstheme="minorHAnsi"/>
          <w:bCs/>
          <w:sz w:val="22"/>
          <w:szCs w:val="22"/>
        </w:rPr>
        <w:t xml:space="preserve"> llevó a cabo el seguimiento a la entrada en operación del circuito 2 Chinú Boston 110 kV. A continuación, se presentan las acciones y conclusiones de dicho seguimiento:</w:t>
      </w:r>
    </w:p>
    <w:p w14:paraId="43B3266D" w14:textId="77777777" w:rsidR="00096D83" w:rsidRPr="003427E5" w:rsidRDefault="00096D83" w:rsidP="00292E02">
      <w:pPr>
        <w:pStyle w:val="Prrafodelista"/>
        <w:ind w:left="720"/>
        <w:jc w:val="both"/>
        <w:rPr>
          <w:rFonts w:ascii="Montserrat" w:hAnsi="Montserrat" w:cstheme="minorHAnsi"/>
          <w:bCs/>
          <w:sz w:val="22"/>
          <w:szCs w:val="22"/>
        </w:rPr>
      </w:pPr>
    </w:p>
    <w:p w14:paraId="378EAA6A" w14:textId="77777777" w:rsidR="008D7590" w:rsidRPr="003427E5" w:rsidRDefault="008D7590" w:rsidP="008D7590">
      <w:pPr>
        <w:spacing w:before="60" w:after="60"/>
        <w:ind w:left="360"/>
        <w:contextualSpacing/>
        <w:jc w:val="both"/>
        <w:rPr>
          <w:rFonts w:ascii="Montserrat" w:hAnsi="Montserrat" w:cs="Arial"/>
          <w:b/>
          <w:bCs/>
          <w:sz w:val="22"/>
          <w:szCs w:val="22"/>
          <w:lang w:val="es-ES"/>
        </w:rPr>
      </w:pPr>
      <w:r w:rsidRPr="003427E5">
        <w:rPr>
          <w:rFonts w:ascii="Montserrat" w:hAnsi="Montserrat" w:cs="Arial"/>
          <w:b/>
          <w:bCs/>
          <w:sz w:val="22"/>
          <w:szCs w:val="22"/>
          <w:lang w:val="es-ES"/>
        </w:rPr>
        <w:t>Acciones:</w:t>
      </w:r>
    </w:p>
    <w:p w14:paraId="772C653E" w14:textId="6F3719C9" w:rsidR="008D7590" w:rsidRPr="003427E5" w:rsidRDefault="00096D83" w:rsidP="008D7590">
      <w:pPr>
        <w:pStyle w:val="Prrafodelista"/>
        <w:numPr>
          <w:ilvl w:val="0"/>
          <w:numId w:val="6"/>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t>Se realizó r</w:t>
      </w:r>
      <w:r w:rsidR="008D7590" w:rsidRPr="003427E5">
        <w:rPr>
          <w:rFonts w:ascii="Montserrat" w:hAnsi="Montserrat" w:cs="Arial"/>
          <w:sz w:val="22"/>
          <w:szCs w:val="22"/>
          <w:lang w:val="es-ES"/>
        </w:rPr>
        <w:t>eunión entre</w:t>
      </w:r>
      <w:r w:rsidRPr="003427E5">
        <w:rPr>
          <w:rFonts w:ascii="Montserrat" w:hAnsi="Montserrat" w:cs="Arial"/>
          <w:sz w:val="22"/>
          <w:szCs w:val="22"/>
          <w:lang w:val="es-ES"/>
        </w:rPr>
        <w:t xml:space="preserve"> la c</w:t>
      </w:r>
      <w:r w:rsidR="008D7590" w:rsidRPr="003427E5">
        <w:rPr>
          <w:rFonts w:ascii="Montserrat" w:hAnsi="Montserrat" w:cs="Arial"/>
          <w:sz w:val="22"/>
          <w:szCs w:val="22"/>
          <w:lang w:val="es-ES"/>
        </w:rPr>
        <w:t xml:space="preserve">omunidad, Personería de Sincelejo y </w:t>
      </w:r>
      <w:r w:rsidR="006A7D71" w:rsidRPr="003427E5">
        <w:rPr>
          <w:rFonts w:ascii="Montserrat" w:hAnsi="Montserrat" w:cs="Arial"/>
          <w:sz w:val="22"/>
          <w:szCs w:val="22"/>
          <w:lang w:val="es-ES"/>
        </w:rPr>
        <w:t>AFINIA</w:t>
      </w:r>
      <w:r w:rsidRPr="003427E5">
        <w:rPr>
          <w:rFonts w:ascii="Montserrat" w:hAnsi="Montserrat" w:cs="Arial"/>
          <w:sz w:val="22"/>
          <w:szCs w:val="22"/>
          <w:lang w:val="es-ES"/>
        </w:rPr>
        <w:t xml:space="preserve"> el </w:t>
      </w:r>
      <w:r w:rsidR="008D7590" w:rsidRPr="003427E5">
        <w:rPr>
          <w:rFonts w:ascii="Montserrat" w:hAnsi="Montserrat" w:cs="Arial"/>
          <w:sz w:val="22"/>
          <w:szCs w:val="22"/>
          <w:lang w:val="es-ES"/>
        </w:rPr>
        <w:t>9 de dic</w:t>
      </w:r>
      <w:r w:rsidRPr="003427E5">
        <w:rPr>
          <w:rFonts w:ascii="Montserrat" w:hAnsi="Montserrat" w:cs="Arial"/>
          <w:sz w:val="22"/>
          <w:szCs w:val="22"/>
          <w:lang w:val="es-ES"/>
        </w:rPr>
        <w:t>iembre de</w:t>
      </w:r>
      <w:r w:rsidR="008D7590" w:rsidRPr="003427E5">
        <w:rPr>
          <w:rFonts w:ascii="Montserrat" w:hAnsi="Montserrat" w:cs="Arial"/>
          <w:sz w:val="22"/>
          <w:szCs w:val="22"/>
          <w:lang w:val="es-ES"/>
        </w:rPr>
        <w:t xml:space="preserve"> 2021, </w:t>
      </w:r>
      <w:r w:rsidRPr="003427E5">
        <w:rPr>
          <w:rFonts w:ascii="Montserrat" w:hAnsi="Montserrat" w:cs="Arial"/>
          <w:sz w:val="22"/>
          <w:szCs w:val="22"/>
          <w:lang w:val="es-ES"/>
        </w:rPr>
        <w:t xml:space="preserve">para verificar estado del </w:t>
      </w:r>
      <w:r w:rsidR="008D7590" w:rsidRPr="003427E5">
        <w:rPr>
          <w:rFonts w:ascii="Montserrat" w:hAnsi="Montserrat" w:cs="Arial"/>
          <w:sz w:val="22"/>
          <w:szCs w:val="22"/>
          <w:lang w:val="es-ES"/>
        </w:rPr>
        <w:t>sector Santa Cecilia</w:t>
      </w:r>
      <w:r w:rsidRPr="003427E5">
        <w:rPr>
          <w:rFonts w:ascii="Montserrat" w:hAnsi="Montserrat" w:cs="Arial"/>
          <w:sz w:val="22"/>
          <w:szCs w:val="22"/>
          <w:lang w:val="es-ES"/>
        </w:rPr>
        <w:t>, zona por donde pasaría la línea</w:t>
      </w:r>
      <w:r w:rsidR="008D7590" w:rsidRPr="003427E5">
        <w:rPr>
          <w:rFonts w:ascii="Montserrat" w:hAnsi="Montserrat" w:cs="Arial"/>
          <w:sz w:val="22"/>
          <w:szCs w:val="22"/>
          <w:lang w:val="es-ES"/>
        </w:rPr>
        <w:t xml:space="preserve">. </w:t>
      </w:r>
    </w:p>
    <w:p w14:paraId="7D34F953" w14:textId="569DE515" w:rsidR="008D7590" w:rsidRPr="003427E5" w:rsidRDefault="00096D83" w:rsidP="008D7590">
      <w:pPr>
        <w:pStyle w:val="Prrafodelista"/>
        <w:numPr>
          <w:ilvl w:val="0"/>
          <w:numId w:val="6"/>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t>Se realizó la r</w:t>
      </w:r>
      <w:r w:rsidR="008D7590" w:rsidRPr="003427E5">
        <w:rPr>
          <w:rFonts w:ascii="Montserrat" w:hAnsi="Montserrat" w:cs="Arial"/>
          <w:sz w:val="22"/>
          <w:szCs w:val="22"/>
          <w:lang w:val="es-ES"/>
        </w:rPr>
        <w:t xml:space="preserve">eunión entre </w:t>
      </w:r>
      <w:r w:rsidRPr="003427E5">
        <w:rPr>
          <w:rFonts w:ascii="Montserrat" w:hAnsi="Montserrat" w:cs="Arial"/>
          <w:sz w:val="22"/>
          <w:szCs w:val="22"/>
          <w:lang w:val="es-ES"/>
        </w:rPr>
        <w:t xml:space="preserve">la </w:t>
      </w:r>
      <w:r w:rsidR="008D7590" w:rsidRPr="003427E5">
        <w:rPr>
          <w:rFonts w:ascii="Montserrat" w:hAnsi="Montserrat" w:cs="Arial"/>
          <w:sz w:val="22"/>
          <w:szCs w:val="22"/>
          <w:lang w:val="es-ES"/>
        </w:rPr>
        <w:t xml:space="preserve">Alcaldía y </w:t>
      </w:r>
      <w:r w:rsidR="006A7D71" w:rsidRPr="003427E5">
        <w:rPr>
          <w:rFonts w:ascii="Montserrat" w:hAnsi="Montserrat" w:cs="Arial"/>
          <w:sz w:val="22"/>
          <w:szCs w:val="22"/>
          <w:lang w:val="es-ES"/>
        </w:rPr>
        <w:t>AFINIA</w:t>
      </w:r>
      <w:r w:rsidRPr="003427E5">
        <w:rPr>
          <w:rFonts w:ascii="Montserrat" w:hAnsi="Montserrat" w:cs="Arial"/>
          <w:sz w:val="22"/>
          <w:szCs w:val="22"/>
          <w:lang w:val="es-ES"/>
        </w:rPr>
        <w:t xml:space="preserve"> el </w:t>
      </w:r>
      <w:r w:rsidR="008D7590" w:rsidRPr="003427E5">
        <w:rPr>
          <w:rFonts w:ascii="Montserrat" w:hAnsi="Montserrat" w:cs="Arial"/>
          <w:sz w:val="22"/>
          <w:szCs w:val="22"/>
          <w:lang w:val="es-ES"/>
        </w:rPr>
        <w:t xml:space="preserve">15 </w:t>
      </w:r>
      <w:r w:rsidRPr="003427E5">
        <w:rPr>
          <w:rFonts w:ascii="Montserrat" w:hAnsi="Montserrat" w:cs="Arial"/>
          <w:sz w:val="22"/>
          <w:szCs w:val="22"/>
          <w:lang w:val="es-ES"/>
        </w:rPr>
        <w:t xml:space="preserve">de diciembre </w:t>
      </w:r>
      <w:r w:rsidR="008D7590" w:rsidRPr="003427E5">
        <w:rPr>
          <w:rFonts w:ascii="Montserrat" w:hAnsi="Montserrat" w:cs="Arial"/>
          <w:sz w:val="22"/>
          <w:szCs w:val="22"/>
          <w:lang w:val="es-ES"/>
        </w:rPr>
        <w:t>de 2021</w:t>
      </w:r>
      <w:r w:rsidR="00AE065E" w:rsidRPr="003427E5">
        <w:rPr>
          <w:rFonts w:ascii="Montserrat" w:hAnsi="Montserrat" w:cs="Arial"/>
          <w:sz w:val="22"/>
          <w:szCs w:val="22"/>
          <w:lang w:val="es-ES"/>
        </w:rPr>
        <w:t xml:space="preserve"> para visitar e</w:t>
      </w:r>
      <w:r w:rsidR="008D7590" w:rsidRPr="003427E5">
        <w:rPr>
          <w:rFonts w:ascii="Montserrat" w:hAnsi="Montserrat" w:cs="Arial"/>
          <w:sz w:val="22"/>
          <w:szCs w:val="22"/>
          <w:lang w:val="es-ES"/>
        </w:rPr>
        <w:t xml:space="preserve">l barrio el </w:t>
      </w:r>
      <w:r w:rsidR="006A7D71" w:rsidRPr="003427E5">
        <w:rPr>
          <w:rFonts w:ascii="Montserrat" w:hAnsi="Montserrat" w:cs="Arial"/>
          <w:sz w:val="22"/>
          <w:szCs w:val="22"/>
          <w:lang w:val="es-ES"/>
        </w:rPr>
        <w:t>Edén</w:t>
      </w:r>
      <w:r w:rsidR="008D7590" w:rsidRPr="003427E5">
        <w:rPr>
          <w:rFonts w:ascii="Montserrat" w:hAnsi="Montserrat" w:cs="Arial"/>
          <w:sz w:val="22"/>
          <w:szCs w:val="22"/>
          <w:lang w:val="es-ES"/>
        </w:rPr>
        <w:t xml:space="preserve"> </w:t>
      </w:r>
      <w:r w:rsidR="00AE065E" w:rsidRPr="003427E5">
        <w:rPr>
          <w:rFonts w:ascii="Montserrat" w:hAnsi="Montserrat" w:cs="Arial"/>
          <w:sz w:val="22"/>
          <w:szCs w:val="22"/>
          <w:lang w:val="es-ES"/>
        </w:rPr>
        <w:t>y</w:t>
      </w:r>
      <w:r w:rsidR="008D7590" w:rsidRPr="003427E5">
        <w:rPr>
          <w:rFonts w:ascii="Montserrat" w:hAnsi="Montserrat" w:cs="Arial"/>
          <w:sz w:val="22"/>
          <w:szCs w:val="22"/>
          <w:lang w:val="es-ES"/>
        </w:rPr>
        <w:t xml:space="preserve"> verificar condiciones del sitio.</w:t>
      </w:r>
    </w:p>
    <w:p w14:paraId="6974DCE6" w14:textId="6692D3E2" w:rsidR="00AE065E" w:rsidRPr="003427E5" w:rsidRDefault="00AE065E" w:rsidP="00AE065E">
      <w:pPr>
        <w:pStyle w:val="Prrafodelista"/>
        <w:numPr>
          <w:ilvl w:val="0"/>
          <w:numId w:val="6"/>
        </w:numPr>
        <w:spacing w:before="60" w:after="60"/>
        <w:ind w:left="1080"/>
        <w:contextualSpacing/>
        <w:jc w:val="both"/>
        <w:rPr>
          <w:rFonts w:ascii="Montserrat" w:hAnsi="Montserrat" w:cs="Arial"/>
          <w:bCs/>
          <w:sz w:val="22"/>
          <w:szCs w:val="22"/>
        </w:rPr>
      </w:pPr>
      <w:r w:rsidRPr="003427E5">
        <w:rPr>
          <w:rFonts w:ascii="Montserrat" w:hAnsi="Montserrat" w:cs="Arial"/>
          <w:sz w:val="22"/>
          <w:szCs w:val="22"/>
          <w:lang w:val="es-ES"/>
        </w:rPr>
        <w:t>Se realizó la r</w:t>
      </w:r>
      <w:r w:rsidR="008D7590" w:rsidRPr="003427E5">
        <w:rPr>
          <w:rFonts w:ascii="Montserrat" w:hAnsi="Montserrat" w:cs="Arial"/>
          <w:sz w:val="22"/>
          <w:szCs w:val="22"/>
          <w:lang w:val="es-ES"/>
        </w:rPr>
        <w:t xml:space="preserve">eunión </w:t>
      </w:r>
      <w:r w:rsidRPr="003427E5">
        <w:rPr>
          <w:rFonts w:ascii="Montserrat" w:hAnsi="Montserrat" w:cs="Arial"/>
          <w:bCs/>
          <w:sz w:val="22"/>
          <w:szCs w:val="22"/>
        </w:rPr>
        <w:t>entre AFINIA, la Gobernación de Sucre y reuniones internas, para buscar una salida a la situación.</w:t>
      </w:r>
    </w:p>
    <w:p w14:paraId="0B9855C9" w14:textId="77777777" w:rsidR="008D7590" w:rsidRPr="003427E5" w:rsidRDefault="008D7590" w:rsidP="008D7590">
      <w:pPr>
        <w:pStyle w:val="Prrafodelista"/>
        <w:spacing w:before="60" w:after="60"/>
        <w:ind w:left="1080"/>
        <w:contextualSpacing/>
        <w:jc w:val="both"/>
        <w:rPr>
          <w:rFonts w:ascii="Montserrat" w:hAnsi="Montserrat" w:cs="Arial"/>
          <w:sz w:val="22"/>
          <w:szCs w:val="22"/>
          <w:lang w:val="es-ES"/>
        </w:rPr>
      </w:pPr>
    </w:p>
    <w:p w14:paraId="6E1FAC86" w14:textId="77777777" w:rsidR="008D7590" w:rsidRPr="003427E5" w:rsidRDefault="008D7590" w:rsidP="008D7590">
      <w:pPr>
        <w:spacing w:before="60" w:after="60"/>
        <w:ind w:left="360"/>
        <w:contextualSpacing/>
        <w:jc w:val="both"/>
        <w:rPr>
          <w:rFonts w:ascii="Montserrat" w:hAnsi="Montserrat" w:cs="Arial"/>
          <w:b/>
          <w:bCs/>
          <w:sz w:val="22"/>
          <w:szCs w:val="22"/>
          <w:lang w:val="es-ES"/>
        </w:rPr>
      </w:pPr>
      <w:r w:rsidRPr="003427E5">
        <w:rPr>
          <w:rFonts w:ascii="Montserrat" w:hAnsi="Montserrat" w:cs="Arial"/>
          <w:b/>
          <w:bCs/>
          <w:sz w:val="22"/>
          <w:szCs w:val="22"/>
          <w:lang w:val="es-ES"/>
        </w:rPr>
        <w:t>Conclusiones:</w:t>
      </w:r>
    </w:p>
    <w:p w14:paraId="502A8CD6" w14:textId="77777777" w:rsidR="008D7590" w:rsidRPr="003427E5" w:rsidRDefault="008D7590" w:rsidP="008D7590">
      <w:pPr>
        <w:spacing w:before="60" w:after="60"/>
        <w:ind w:left="360"/>
        <w:contextualSpacing/>
        <w:jc w:val="both"/>
        <w:rPr>
          <w:rFonts w:ascii="Montserrat" w:hAnsi="Montserrat" w:cs="Arial"/>
          <w:b/>
          <w:bCs/>
          <w:sz w:val="22"/>
          <w:szCs w:val="22"/>
          <w:lang w:val="es-ES"/>
        </w:rPr>
      </w:pPr>
    </w:p>
    <w:p w14:paraId="0B69C6D6" w14:textId="5466BA1B" w:rsidR="008D7590" w:rsidRPr="003427E5" w:rsidRDefault="008D7590" w:rsidP="008D7590">
      <w:pPr>
        <w:pStyle w:val="Prrafodelista"/>
        <w:numPr>
          <w:ilvl w:val="0"/>
          <w:numId w:val="7"/>
        </w:numPr>
        <w:spacing w:before="60" w:after="60"/>
        <w:ind w:left="1080"/>
        <w:contextualSpacing/>
        <w:rPr>
          <w:rFonts w:ascii="Montserrat" w:hAnsi="Montserrat" w:cs="Arial"/>
          <w:sz w:val="22"/>
          <w:szCs w:val="22"/>
          <w:lang w:val="es-ES"/>
        </w:rPr>
      </w:pPr>
      <w:r w:rsidRPr="003427E5">
        <w:rPr>
          <w:rFonts w:ascii="Montserrat" w:hAnsi="Montserrat" w:cs="Arial"/>
          <w:sz w:val="22"/>
          <w:szCs w:val="22"/>
          <w:lang w:val="es-ES"/>
        </w:rPr>
        <w:t>La comunidad solicita reubicación o indemnización, manifiestan estar dispuestos a recurrir a vías legales o a “meterse en las excavaciones”, si es del caso para impedir la ejecución</w:t>
      </w:r>
      <w:r w:rsidR="00AE065E" w:rsidRPr="003427E5">
        <w:rPr>
          <w:rFonts w:ascii="Montserrat" w:hAnsi="Montserrat" w:cs="Arial"/>
          <w:sz w:val="22"/>
          <w:szCs w:val="22"/>
          <w:lang w:val="es-ES"/>
        </w:rPr>
        <w:t xml:space="preserve"> del proyecto</w:t>
      </w:r>
      <w:r w:rsidRPr="003427E5">
        <w:rPr>
          <w:rFonts w:ascii="Montserrat" w:hAnsi="Montserrat" w:cs="Arial"/>
          <w:sz w:val="22"/>
          <w:szCs w:val="22"/>
          <w:lang w:val="es-ES"/>
        </w:rPr>
        <w:t>.</w:t>
      </w:r>
    </w:p>
    <w:p w14:paraId="73FDB217" w14:textId="026A31C0" w:rsidR="008D7590" w:rsidRPr="003427E5" w:rsidRDefault="008D7590" w:rsidP="008D7590">
      <w:pPr>
        <w:pStyle w:val="Prrafodelista"/>
        <w:numPr>
          <w:ilvl w:val="0"/>
          <w:numId w:val="7"/>
        </w:numPr>
        <w:spacing w:before="60" w:after="60"/>
        <w:ind w:left="1080"/>
        <w:contextualSpacing/>
        <w:rPr>
          <w:rFonts w:ascii="Montserrat" w:hAnsi="Montserrat" w:cs="Arial"/>
          <w:sz w:val="22"/>
          <w:szCs w:val="22"/>
          <w:lang w:val="es-ES"/>
        </w:rPr>
      </w:pPr>
      <w:r w:rsidRPr="003427E5">
        <w:rPr>
          <w:rFonts w:ascii="Montserrat" w:hAnsi="Montserrat" w:cs="Arial"/>
          <w:sz w:val="22"/>
          <w:szCs w:val="22"/>
          <w:lang w:val="es-ES"/>
        </w:rPr>
        <w:t>La empresa realizará gestiones internas y con autoridades locales para revisar posibles articulaciones</w:t>
      </w:r>
      <w:r w:rsidR="00AE065E" w:rsidRPr="003427E5">
        <w:rPr>
          <w:rFonts w:ascii="Montserrat" w:hAnsi="Montserrat" w:cs="Arial"/>
          <w:sz w:val="22"/>
          <w:szCs w:val="22"/>
          <w:lang w:val="es-ES"/>
        </w:rPr>
        <w:t>,</w:t>
      </w:r>
      <w:r w:rsidRPr="003427E5">
        <w:rPr>
          <w:rFonts w:ascii="Montserrat" w:hAnsi="Montserrat" w:cs="Arial"/>
          <w:sz w:val="22"/>
          <w:szCs w:val="22"/>
          <w:lang w:val="es-ES"/>
        </w:rPr>
        <w:t xml:space="preserve"> para sumar esfuerzos </w:t>
      </w:r>
      <w:r w:rsidR="00AE065E" w:rsidRPr="003427E5">
        <w:rPr>
          <w:rFonts w:ascii="Montserrat" w:hAnsi="Montserrat" w:cs="Arial"/>
          <w:sz w:val="22"/>
          <w:szCs w:val="22"/>
          <w:lang w:val="es-ES"/>
        </w:rPr>
        <w:t>y</w:t>
      </w:r>
      <w:r w:rsidRPr="003427E5">
        <w:rPr>
          <w:rFonts w:ascii="Montserrat" w:hAnsi="Montserrat" w:cs="Arial"/>
          <w:sz w:val="22"/>
          <w:szCs w:val="22"/>
          <w:lang w:val="es-ES"/>
        </w:rPr>
        <w:t xml:space="preserve"> encontrar una salida que atienda los intereses de las partes.</w:t>
      </w:r>
    </w:p>
    <w:p w14:paraId="66A61EF4" w14:textId="78A4B388" w:rsidR="008D7590" w:rsidRPr="003427E5" w:rsidRDefault="00AE065E" w:rsidP="00292E02">
      <w:pPr>
        <w:pStyle w:val="Prrafodelista"/>
        <w:numPr>
          <w:ilvl w:val="0"/>
          <w:numId w:val="7"/>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lastRenderedPageBreak/>
        <w:t xml:space="preserve">AFINIA </w:t>
      </w:r>
      <w:r w:rsidR="008D7590" w:rsidRPr="003427E5">
        <w:rPr>
          <w:rFonts w:ascii="Montserrat" w:hAnsi="Montserrat" w:cs="Arial"/>
          <w:sz w:val="22"/>
          <w:szCs w:val="22"/>
          <w:lang w:val="es-ES"/>
        </w:rPr>
        <w:t xml:space="preserve">ofrece: </w:t>
      </w:r>
      <w:r w:rsidRPr="003427E5">
        <w:rPr>
          <w:rFonts w:ascii="Montserrat" w:hAnsi="Montserrat" w:cs="Arial"/>
          <w:sz w:val="22"/>
          <w:szCs w:val="22"/>
          <w:lang w:val="es-ES"/>
        </w:rPr>
        <w:t>a</w:t>
      </w:r>
      <w:r w:rsidR="008D7590" w:rsidRPr="003427E5">
        <w:rPr>
          <w:rFonts w:ascii="Montserrat" w:hAnsi="Montserrat" w:cs="Arial"/>
          <w:sz w:val="22"/>
          <w:szCs w:val="22"/>
          <w:lang w:val="es-ES"/>
        </w:rPr>
        <w:t xml:space="preserve">ctividades de ornato bajo la servidumbre, bancas en el límite de servidumbre y priorización de mejoras de las instalaciones eléctricas, cuando el barrio </w:t>
      </w:r>
      <w:r w:rsidRPr="003427E5">
        <w:rPr>
          <w:rFonts w:ascii="Montserrat" w:hAnsi="Montserrat" w:cs="Arial"/>
          <w:sz w:val="22"/>
          <w:szCs w:val="22"/>
          <w:lang w:val="es-ES"/>
        </w:rPr>
        <w:t xml:space="preserve">(sector Santa Cecilia) </w:t>
      </w:r>
      <w:r w:rsidR="008D7590" w:rsidRPr="003427E5">
        <w:rPr>
          <w:rFonts w:ascii="Montserrat" w:hAnsi="Montserrat" w:cs="Arial"/>
          <w:sz w:val="22"/>
          <w:szCs w:val="22"/>
          <w:lang w:val="es-ES"/>
        </w:rPr>
        <w:t>est</w:t>
      </w:r>
      <w:r w:rsidRPr="003427E5">
        <w:rPr>
          <w:rFonts w:ascii="Montserrat" w:hAnsi="Montserrat" w:cs="Arial"/>
          <w:sz w:val="22"/>
          <w:szCs w:val="22"/>
          <w:lang w:val="es-ES"/>
        </w:rPr>
        <w:t>é</w:t>
      </w:r>
      <w:r w:rsidR="008D7590" w:rsidRPr="003427E5">
        <w:rPr>
          <w:rFonts w:ascii="Montserrat" w:hAnsi="Montserrat" w:cs="Arial"/>
          <w:sz w:val="22"/>
          <w:szCs w:val="22"/>
          <w:lang w:val="es-ES"/>
        </w:rPr>
        <w:t xml:space="preserve"> autorizado por planeación municipal.</w:t>
      </w:r>
    </w:p>
    <w:p w14:paraId="0DFE6790" w14:textId="02A90F17" w:rsidR="008D7590" w:rsidRPr="003427E5" w:rsidRDefault="00352A2F" w:rsidP="00292E02">
      <w:pPr>
        <w:pStyle w:val="Prrafodelista"/>
        <w:numPr>
          <w:ilvl w:val="0"/>
          <w:numId w:val="7"/>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t>La Personería</w:t>
      </w:r>
      <w:r w:rsidR="008D7590" w:rsidRPr="003427E5">
        <w:rPr>
          <w:rFonts w:ascii="Montserrat" w:hAnsi="Montserrat" w:cs="Arial"/>
          <w:sz w:val="22"/>
          <w:szCs w:val="22"/>
          <w:lang w:val="es-ES"/>
        </w:rPr>
        <w:t xml:space="preserve"> </w:t>
      </w:r>
      <w:r w:rsidRPr="003427E5">
        <w:rPr>
          <w:rFonts w:ascii="Montserrat" w:hAnsi="Montserrat" w:cs="Arial"/>
          <w:sz w:val="22"/>
          <w:szCs w:val="22"/>
          <w:lang w:val="es-ES"/>
        </w:rPr>
        <w:t>manifestó apoyo</w:t>
      </w:r>
      <w:r w:rsidR="008D7590" w:rsidRPr="003427E5">
        <w:rPr>
          <w:rFonts w:ascii="Montserrat" w:hAnsi="Montserrat" w:cs="Arial"/>
          <w:sz w:val="22"/>
          <w:szCs w:val="22"/>
          <w:lang w:val="es-ES"/>
        </w:rPr>
        <w:t xml:space="preserve"> a la protección de los derechos de la comunidad asentada.</w:t>
      </w:r>
    </w:p>
    <w:p w14:paraId="73D7A885" w14:textId="77777777" w:rsidR="008D7590" w:rsidRPr="003427E5" w:rsidRDefault="008D7590" w:rsidP="008D7590">
      <w:pPr>
        <w:pStyle w:val="Prrafodelista"/>
        <w:numPr>
          <w:ilvl w:val="0"/>
          <w:numId w:val="7"/>
        </w:numPr>
        <w:spacing w:before="60" w:after="60"/>
        <w:ind w:left="1080"/>
        <w:contextualSpacing/>
        <w:rPr>
          <w:rFonts w:ascii="Montserrat" w:hAnsi="Montserrat" w:cs="Arial"/>
          <w:sz w:val="22"/>
          <w:szCs w:val="22"/>
          <w:lang w:val="es-ES"/>
        </w:rPr>
      </w:pPr>
      <w:r w:rsidRPr="003427E5">
        <w:rPr>
          <w:rFonts w:ascii="Montserrat" w:hAnsi="Montserrat" w:cs="Arial"/>
          <w:sz w:val="22"/>
          <w:szCs w:val="22"/>
          <w:lang w:val="es-ES"/>
        </w:rPr>
        <w:t>Se define continuar conversaciones para continuar construyendo opciones.</w:t>
      </w:r>
    </w:p>
    <w:p w14:paraId="5C366487" w14:textId="462B1C90" w:rsidR="008D7590" w:rsidRPr="003427E5" w:rsidRDefault="008D7590" w:rsidP="00AE065E">
      <w:pPr>
        <w:pStyle w:val="Prrafodelista"/>
        <w:numPr>
          <w:ilvl w:val="0"/>
          <w:numId w:val="7"/>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t>La alcaldía considera que es un problema regional y solicita vincular a la Gobernación de Sucre.</w:t>
      </w:r>
      <w:r w:rsidR="00AE065E" w:rsidRPr="003427E5">
        <w:rPr>
          <w:rFonts w:ascii="Montserrat" w:hAnsi="Montserrat" w:cs="Arial"/>
          <w:sz w:val="22"/>
          <w:szCs w:val="22"/>
          <w:lang w:val="es-ES"/>
        </w:rPr>
        <w:t xml:space="preserve"> </w:t>
      </w:r>
      <w:r w:rsidRPr="003427E5">
        <w:rPr>
          <w:rFonts w:ascii="Montserrat" w:hAnsi="Montserrat" w:cs="Arial"/>
          <w:sz w:val="22"/>
          <w:szCs w:val="22"/>
          <w:lang w:val="es-ES"/>
        </w:rPr>
        <w:t xml:space="preserve">Ante la retransmisión de la solicitud de la comunidad, </w:t>
      </w:r>
      <w:r w:rsidR="00AE065E" w:rsidRPr="003427E5">
        <w:rPr>
          <w:rFonts w:ascii="Montserrat" w:hAnsi="Montserrat" w:cs="Arial"/>
          <w:sz w:val="22"/>
          <w:szCs w:val="22"/>
          <w:lang w:val="es-ES"/>
        </w:rPr>
        <w:t xml:space="preserve">la Alcaldía </w:t>
      </w:r>
      <w:r w:rsidRPr="003427E5">
        <w:rPr>
          <w:rFonts w:ascii="Montserrat" w:hAnsi="Montserrat" w:cs="Arial"/>
          <w:sz w:val="22"/>
          <w:szCs w:val="22"/>
          <w:lang w:val="es-ES"/>
        </w:rPr>
        <w:t xml:space="preserve">manifiesta no tener posibilidades de ubicarles vivienda a los habitantes del sector de interés. La empresa realizará gestiones con </w:t>
      </w:r>
      <w:r w:rsidR="00AE065E" w:rsidRPr="003427E5">
        <w:rPr>
          <w:rFonts w:ascii="Montserrat" w:hAnsi="Montserrat" w:cs="Arial"/>
          <w:sz w:val="22"/>
          <w:szCs w:val="22"/>
          <w:lang w:val="es-ES"/>
        </w:rPr>
        <w:t xml:space="preserve">la </w:t>
      </w:r>
      <w:r w:rsidRPr="003427E5">
        <w:rPr>
          <w:rFonts w:ascii="Montserrat" w:hAnsi="Montserrat" w:cs="Arial"/>
          <w:sz w:val="22"/>
          <w:szCs w:val="22"/>
          <w:lang w:val="es-ES"/>
        </w:rPr>
        <w:t>Gobernación, entre ellas</w:t>
      </w:r>
      <w:r w:rsidR="00AE065E" w:rsidRPr="003427E5">
        <w:rPr>
          <w:rFonts w:ascii="Montserrat" w:hAnsi="Montserrat" w:cs="Arial"/>
          <w:sz w:val="22"/>
          <w:szCs w:val="22"/>
          <w:lang w:val="es-ES"/>
        </w:rPr>
        <w:t>,</w:t>
      </w:r>
      <w:r w:rsidRPr="003427E5">
        <w:rPr>
          <w:rFonts w:ascii="Montserrat" w:hAnsi="Montserrat" w:cs="Arial"/>
          <w:sz w:val="22"/>
          <w:szCs w:val="22"/>
          <w:lang w:val="es-ES"/>
        </w:rPr>
        <w:t xml:space="preserve"> la solicitud de apoyo en la restitución de la servidumbre.</w:t>
      </w:r>
    </w:p>
    <w:p w14:paraId="2DBB7DA3" w14:textId="7EF38817" w:rsidR="008D7590" w:rsidRPr="003427E5" w:rsidRDefault="00DE1E16" w:rsidP="008D7590">
      <w:pPr>
        <w:pStyle w:val="Prrafodelista"/>
        <w:numPr>
          <w:ilvl w:val="0"/>
          <w:numId w:val="7"/>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t>Hay una o</w:t>
      </w:r>
      <w:r w:rsidR="008D7590" w:rsidRPr="003427E5">
        <w:rPr>
          <w:rFonts w:ascii="Montserrat" w:hAnsi="Montserrat" w:cs="Arial"/>
          <w:sz w:val="22"/>
          <w:szCs w:val="22"/>
          <w:lang w:val="es-ES"/>
        </w:rPr>
        <w:t xml:space="preserve">ferta de parte de </w:t>
      </w:r>
      <w:r w:rsidR="006A7D71" w:rsidRPr="003427E5">
        <w:rPr>
          <w:rFonts w:ascii="Montserrat" w:hAnsi="Montserrat" w:cs="Arial"/>
          <w:sz w:val="22"/>
          <w:szCs w:val="22"/>
          <w:lang w:val="es-ES"/>
        </w:rPr>
        <w:t>AFINIA</w:t>
      </w:r>
      <w:r w:rsidR="008D7590" w:rsidRPr="003427E5">
        <w:rPr>
          <w:rFonts w:ascii="Montserrat" w:hAnsi="Montserrat" w:cs="Arial"/>
          <w:sz w:val="22"/>
          <w:szCs w:val="22"/>
          <w:lang w:val="es-ES"/>
        </w:rPr>
        <w:t xml:space="preserve"> de pago de mejoras bajo la servidumbre, adecuación paisajística, priorización de normalización eléctrica del sector</w:t>
      </w:r>
      <w:r w:rsidRPr="003427E5">
        <w:rPr>
          <w:rFonts w:ascii="Montserrat" w:hAnsi="Montserrat" w:cs="Arial"/>
          <w:sz w:val="22"/>
          <w:szCs w:val="22"/>
          <w:lang w:val="es-ES"/>
        </w:rPr>
        <w:t>,</w:t>
      </w:r>
      <w:r w:rsidR="008D7590" w:rsidRPr="003427E5">
        <w:rPr>
          <w:rFonts w:ascii="Montserrat" w:hAnsi="Montserrat" w:cs="Arial"/>
          <w:sz w:val="22"/>
          <w:szCs w:val="22"/>
          <w:lang w:val="es-ES"/>
        </w:rPr>
        <w:t xml:space="preserve"> previ</w:t>
      </w:r>
      <w:r w:rsidRPr="003427E5">
        <w:rPr>
          <w:rFonts w:ascii="Montserrat" w:hAnsi="Montserrat" w:cs="Arial"/>
          <w:sz w:val="22"/>
          <w:szCs w:val="22"/>
          <w:lang w:val="es-ES"/>
        </w:rPr>
        <w:t>a aprobación del</w:t>
      </w:r>
      <w:r w:rsidR="008D7590" w:rsidRPr="003427E5">
        <w:rPr>
          <w:rFonts w:ascii="Montserrat" w:hAnsi="Montserrat" w:cs="Arial"/>
          <w:sz w:val="22"/>
          <w:szCs w:val="22"/>
          <w:lang w:val="es-ES"/>
        </w:rPr>
        <w:t xml:space="preserve"> municipio de Sincelejo.</w:t>
      </w:r>
    </w:p>
    <w:p w14:paraId="0CCFB3F4" w14:textId="6E85C779" w:rsidR="008D7590" w:rsidRPr="003427E5" w:rsidRDefault="00DE1E16" w:rsidP="008D7590">
      <w:pPr>
        <w:pStyle w:val="Prrafodelista"/>
        <w:numPr>
          <w:ilvl w:val="0"/>
          <w:numId w:val="7"/>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t xml:space="preserve">Hubo </w:t>
      </w:r>
      <w:r w:rsidR="00364458" w:rsidRPr="003427E5">
        <w:rPr>
          <w:rFonts w:ascii="Montserrat" w:hAnsi="Montserrat" w:cs="Arial"/>
          <w:sz w:val="22"/>
          <w:szCs w:val="22"/>
          <w:lang w:val="es-ES"/>
        </w:rPr>
        <w:t xml:space="preserve">una </w:t>
      </w:r>
      <w:r w:rsidRPr="003427E5">
        <w:rPr>
          <w:rFonts w:ascii="Montserrat" w:hAnsi="Montserrat" w:cs="Arial"/>
          <w:sz w:val="22"/>
          <w:szCs w:val="22"/>
          <w:lang w:val="es-ES"/>
        </w:rPr>
        <w:t>r</w:t>
      </w:r>
      <w:r w:rsidR="008D7590" w:rsidRPr="003427E5">
        <w:rPr>
          <w:rFonts w:ascii="Montserrat" w:hAnsi="Montserrat" w:cs="Arial"/>
          <w:sz w:val="22"/>
          <w:szCs w:val="22"/>
          <w:lang w:val="es-ES"/>
        </w:rPr>
        <w:t xml:space="preserve">eunión atendida por </w:t>
      </w:r>
      <w:r w:rsidRPr="003427E5">
        <w:rPr>
          <w:rFonts w:ascii="Montserrat" w:hAnsi="Montserrat" w:cs="Arial"/>
          <w:sz w:val="22"/>
          <w:szCs w:val="22"/>
          <w:lang w:val="es-ES"/>
        </w:rPr>
        <w:t xml:space="preserve">el </w:t>
      </w:r>
      <w:r w:rsidR="00352A2F" w:rsidRPr="003427E5">
        <w:rPr>
          <w:rFonts w:ascii="Montserrat" w:hAnsi="Montserrat" w:cs="Arial"/>
          <w:sz w:val="22"/>
          <w:szCs w:val="22"/>
          <w:lang w:val="es-ES"/>
        </w:rPr>
        <w:t>secretario</w:t>
      </w:r>
      <w:r w:rsidR="008D7590" w:rsidRPr="003427E5">
        <w:rPr>
          <w:rFonts w:ascii="Montserrat" w:hAnsi="Montserrat" w:cs="Arial"/>
          <w:sz w:val="22"/>
          <w:szCs w:val="22"/>
          <w:lang w:val="es-ES"/>
        </w:rPr>
        <w:t xml:space="preserve"> de Minas, liderada por la Gerente Territorial de Sucre, Soffi Santis. El funcionario manifiesta conocer el problema y el apoyo en </w:t>
      </w:r>
      <w:r w:rsidR="006A7D71" w:rsidRPr="003427E5">
        <w:rPr>
          <w:rFonts w:ascii="Montserrat" w:hAnsi="Montserrat" w:cs="Arial"/>
          <w:sz w:val="22"/>
          <w:szCs w:val="22"/>
          <w:lang w:val="es-ES"/>
        </w:rPr>
        <w:t>las gestiones</w:t>
      </w:r>
      <w:r w:rsidR="008D7590" w:rsidRPr="003427E5">
        <w:rPr>
          <w:rFonts w:ascii="Montserrat" w:hAnsi="Montserrat" w:cs="Arial"/>
          <w:sz w:val="22"/>
          <w:szCs w:val="22"/>
          <w:lang w:val="es-ES"/>
        </w:rPr>
        <w:t xml:space="preserve"> que se adelanten.</w:t>
      </w:r>
    </w:p>
    <w:p w14:paraId="17375409" w14:textId="77777777" w:rsidR="008D7590" w:rsidRPr="003427E5" w:rsidRDefault="008D7590" w:rsidP="008D7590">
      <w:pPr>
        <w:pStyle w:val="Prrafodelista"/>
        <w:numPr>
          <w:ilvl w:val="0"/>
          <w:numId w:val="7"/>
        </w:numPr>
        <w:spacing w:before="60" w:after="60"/>
        <w:ind w:left="1080"/>
        <w:contextualSpacing/>
        <w:jc w:val="both"/>
        <w:rPr>
          <w:rFonts w:ascii="Montserrat" w:hAnsi="Montserrat" w:cs="Arial"/>
          <w:sz w:val="22"/>
          <w:szCs w:val="22"/>
          <w:lang w:val="es-ES"/>
        </w:rPr>
      </w:pPr>
      <w:r w:rsidRPr="003427E5">
        <w:rPr>
          <w:rFonts w:ascii="Montserrat" w:hAnsi="Montserrat" w:cs="Arial"/>
          <w:sz w:val="22"/>
          <w:szCs w:val="22"/>
          <w:lang w:val="es-ES"/>
        </w:rPr>
        <w:t>Se debe buscar una salida concertada que facilite a ejecución de las obras sin descartar el amparo policial debido a la saturación de la capacidad de las redes que atiende al sector.</w:t>
      </w:r>
    </w:p>
    <w:p w14:paraId="409FA02E" w14:textId="77777777" w:rsidR="008D7590" w:rsidRPr="003427E5" w:rsidRDefault="008D7590" w:rsidP="008D7590">
      <w:pPr>
        <w:pStyle w:val="Prrafodelista"/>
        <w:spacing w:before="60" w:after="60"/>
        <w:ind w:left="1080"/>
        <w:contextualSpacing/>
        <w:jc w:val="both"/>
        <w:rPr>
          <w:rFonts w:ascii="Montserrat" w:hAnsi="Montserrat" w:cs="Arial"/>
          <w:sz w:val="22"/>
          <w:szCs w:val="22"/>
          <w:lang w:val="es-ES"/>
        </w:rPr>
      </w:pPr>
    </w:p>
    <w:p w14:paraId="1D9817EE" w14:textId="77777777" w:rsidR="00DE1E16" w:rsidRPr="003427E5" w:rsidRDefault="00DE1E16" w:rsidP="008D7590">
      <w:pPr>
        <w:spacing w:before="60" w:after="60"/>
        <w:ind w:left="720"/>
        <w:contextualSpacing/>
        <w:jc w:val="both"/>
        <w:rPr>
          <w:rFonts w:ascii="Montserrat" w:hAnsi="Montserrat" w:cs="Arial"/>
          <w:sz w:val="22"/>
          <w:szCs w:val="22"/>
          <w:lang w:val="es-ES"/>
        </w:rPr>
      </w:pPr>
      <w:r w:rsidRPr="003427E5">
        <w:rPr>
          <w:rFonts w:ascii="Montserrat" w:hAnsi="Montserrat" w:cs="Arial"/>
          <w:sz w:val="22"/>
          <w:szCs w:val="22"/>
          <w:lang w:val="es-ES"/>
        </w:rPr>
        <w:t xml:space="preserve">Con este panorama, se espera que las obras civiles se realicen durante los meses de febrero y marzo de 2022, y se lleven a cabo las consignaciones requeridas para tener el circuito en explotación comercial a finales de abril del año en curso. AFINIA también menciona que se estudió la alternativa de instalar un mecanismo DLR en el circuito 1 Chinú Boston 110 kV, pero los tiempos de implementación (medición de la temperatura) son demasiado extensos. En este punto el CNO recomendó analizar la posibilidad de reducir dicho periodo, ya que según lo informado por AFINIA, ya se tiene identificado el tramo de circuito que limita el transporte de corriente.  </w:t>
      </w:r>
    </w:p>
    <w:p w14:paraId="5730EEF1" w14:textId="77777777" w:rsidR="00DE1E16" w:rsidRPr="003427E5" w:rsidRDefault="00DE1E16" w:rsidP="008D7590">
      <w:pPr>
        <w:spacing w:before="60" w:after="60"/>
        <w:ind w:left="720"/>
        <w:contextualSpacing/>
        <w:jc w:val="both"/>
        <w:rPr>
          <w:rFonts w:ascii="Montserrat" w:hAnsi="Montserrat" w:cs="Arial"/>
          <w:sz w:val="22"/>
          <w:szCs w:val="22"/>
          <w:lang w:val="es-ES"/>
        </w:rPr>
      </w:pPr>
    </w:p>
    <w:p w14:paraId="12F0FAB8" w14:textId="7976837F" w:rsidR="008D7590" w:rsidRPr="003427E5" w:rsidRDefault="00DE1E16" w:rsidP="006A7D71">
      <w:pPr>
        <w:spacing w:before="60" w:after="60"/>
        <w:ind w:left="720"/>
        <w:contextualSpacing/>
        <w:jc w:val="both"/>
        <w:rPr>
          <w:rFonts w:ascii="Montserrat" w:hAnsi="Montserrat" w:cs="Arial"/>
          <w:sz w:val="22"/>
          <w:szCs w:val="22"/>
          <w:bdr w:val="none" w:sz="0" w:space="0" w:color="auto" w:frame="1"/>
          <w:lang w:val="es-ES"/>
        </w:rPr>
      </w:pPr>
      <w:r w:rsidRPr="003427E5">
        <w:rPr>
          <w:rFonts w:ascii="Montserrat" w:hAnsi="Montserrat" w:cs="Arial"/>
          <w:sz w:val="22"/>
          <w:szCs w:val="22"/>
          <w:lang w:val="es-ES"/>
        </w:rPr>
        <w:t>Finalmente, l</w:t>
      </w:r>
      <w:r w:rsidR="008D7590" w:rsidRPr="003427E5">
        <w:rPr>
          <w:rFonts w:ascii="Montserrat" w:hAnsi="Montserrat" w:cs="Arial"/>
          <w:sz w:val="22"/>
          <w:szCs w:val="22"/>
          <w:lang w:val="es-ES"/>
        </w:rPr>
        <w:t xml:space="preserve">a SSPD reiteró la solicitud a AFINIA de buscar otras alternativas de corto plazo. </w:t>
      </w:r>
      <w:r w:rsidR="008D7590" w:rsidRPr="003427E5">
        <w:rPr>
          <w:rFonts w:ascii="Montserrat" w:hAnsi="Montserrat" w:cs="Arial"/>
          <w:sz w:val="22"/>
          <w:szCs w:val="22"/>
          <w:bdr w:val="none" w:sz="0" w:space="0" w:color="auto" w:frame="1"/>
          <w:lang w:val="es-ES"/>
        </w:rPr>
        <w:t>El Comité de Distribución continuar</w:t>
      </w:r>
      <w:r w:rsidR="00364458" w:rsidRPr="003427E5">
        <w:rPr>
          <w:rFonts w:ascii="Montserrat" w:hAnsi="Montserrat" w:cs="Arial"/>
          <w:sz w:val="22"/>
          <w:szCs w:val="22"/>
          <w:bdr w:val="none" w:sz="0" w:space="0" w:color="auto" w:frame="1"/>
          <w:lang w:val="es-ES"/>
        </w:rPr>
        <w:t xml:space="preserve">á </w:t>
      </w:r>
      <w:r w:rsidR="008D7590" w:rsidRPr="003427E5">
        <w:rPr>
          <w:rFonts w:ascii="Montserrat" w:hAnsi="Montserrat" w:cs="Arial"/>
          <w:sz w:val="22"/>
          <w:szCs w:val="22"/>
          <w:bdr w:val="none" w:sz="0" w:space="0" w:color="auto" w:frame="1"/>
          <w:lang w:val="es-ES"/>
        </w:rPr>
        <w:t>realizando el seguimiento al cronograma de ejecución de este proyecto en las próximas reuniones.</w:t>
      </w:r>
    </w:p>
    <w:p w14:paraId="26F01A8F" w14:textId="6437B717" w:rsidR="008D7590" w:rsidRPr="003427E5" w:rsidRDefault="008D7590" w:rsidP="008D7590">
      <w:pPr>
        <w:spacing w:after="160" w:line="259" w:lineRule="auto"/>
        <w:ind w:left="720"/>
        <w:contextualSpacing/>
        <w:jc w:val="both"/>
        <w:rPr>
          <w:rFonts w:ascii="Montserrat" w:hAnsi="Montserrat" w:cstheme="minorHAnsi"/>
          <w:bCs/>
          <w:sz w:val="22"/>
          <w:szCs w:val="22"/>
          <w:lang w:val="es-ES"/>
        </w:rPr>
      </w:pPr>
    </w:p>
    <w:p w14:paraId="689A9129" w14:textId="61A813C9" w:rsidR="008D7590" w:rsidRPr="003427E5" w:rsidRDefault="008D7590" w:rsidP="00292E02">
      <w:pPr>
        <w:pStyle w:val="Prrafodelista"/>
        <w:numPr>
          <w:ilvl w:val="0"/>
          <w:numId w:val="3"/>
        </w:numPr>
        <w:jc w:val="both"/>
        <w:rPr>
          <w:rFonts w:ascii="Montserrat" w:hAnsi="Montserrat" w:cstheme="minorHAnsi"/>
          <w:bCs/>
          <w:sz w:val="22"/>
          <w:szCs w:val="22"/>
        </w:rPr>
      </w:pPr>
      <w:r w:rsidRPr="003427E5">
        <w:rPr>
          <w:rFonts w:ascii="Montserrat" w:hAnsi="Montserrat" w:cstheme="minorHAnsi"/>
          <w:bCs/>
          <w:sz w:val="22"/>
          <w:szCs w:val="22"/>
        </w:rPr>
        <w:t>El Comité de Distribución realizó el seguimiento a la implementación de los planes de acción definidos por los Operadores de Red DISPAC, CELSIA, EMSA, EBSA, CEDENAR y ELECTROHUILA para solucionar las acciones pendientes derivadas de los análisis de los eventos del SIN, según lo establecido en el Acuerdo CNO 787.</w:t>
      </w:r>
    </w:p>
    <w:p w14:paraId="0CBFAE5C" w14:textId="77777777" w:rsidR="008D7590" w:rsidRPr="003427E5" w:rsidRDefault="008D7590" w:rsidP="008D7590">
      <w:pPr>
        <w:ind w:left="720" w:right="-57"/>
        <w:contextualSpacing/>
        <w:jc w:val="both"/>
        <w:textAlignment w:val="baseline"/>
        <w:rPr>
          <w:rFonts w:ascii="Montserrat" w:hAnsi="Montserrat" w:cs="Arial"/>
          <w:sz w:val="22"/>
          <w:szCs w:val="22"/>
          <w:bdr w:val="none" w:sz="0" w:space="0" w:color="auto" w:frame="1"/>
          <w:lang w:val="es-ES"/>
        </w:rPr>
      </w:pPr>
    </w:p>
    <w:p w14:paraId="76D0B476" w14:textId="6753293E" w:rsidR="00DE1E16" w:rsidRPr="003427E5" w:rsidRDefault="00DE1E16" w:rsidP="00DE1E16">
      <w:pPr>
        <w:ind w:left="720"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 xml:space="preserve">Con relación a DISPAC, se advirtió por parte del CNO la preocupación por la situación de su red del STR, debido a las recomendaciones del CND contenidas en el Informe de Planeamiento Operativo de Mediano Plazo, donde se identifican posibles desatenciones de demanda por la falta de soporte de potencia reactiva para el control de tensión. Teniendo en cuenta esta situación, se acordó en el Comité de Distribución realizar seguimiento a las medidas de corto plazo que el Operador de Red deberá implementar para evitar </w:t>
      </w:r>
      <w:r w:rsidRPr="003427E5">
        <w:rPr>
          <w:rFonts w:ascii="Montserrat" w:hAnsi="Montserrat" w:cs="Arial"/>
          <w:bCs/>
          <w:sz w:val="22"/>
          <w:szCs w:val="22"/>
          <w:bdr w:val="none" w:sz="0" w:space="0" w:color="auto" w:frame="1"/>
        </w:rPr>
        <w:lastRenderedPageBreak/>
        <w:t>racionamientos de carga bajo condiciones normales de operación y ante contingencia sencilla.</w:t>
      </w:r>
    </w:p>
    <w:p w14:paraId="1D00C1C4" w14:textId="74F802CE" w:rsidR="00DE1E16" w:rsidRPr="003427E5" w:rsidRDefault="00DE1E16" w:rsidP="00DE1E16">
      <w:pPr>
        <w:ind w:left="720" w:right="-57"/>
        <w:contextualSpacing/>
        <w:jc w:val="both"/>
        <w:textAlignment w:val="baseline"/>
        <w:rPr>
          <w:rFonts w:ascii="Montserrat" w:hAnsi="Montserrat" w:cs="Arial"/>
          <w:bCs/>
          <w:sz w:val="22"/>
          <w:szCs w:val="22"/>
          <w:bdr w:val="none" w:sz="0" w:space="0" w:color="auto" w:frame="1"/>
        </w:rPr>
      </w:pPr>
    </w:p>
    <w:p w14:paraId="2B67419D" w14:textId="1ACEF9A5" w:rsidR="00DE1E16" w:rsidRPr="003427E5" w:rsidRDefault="00DE1E16" w:rsidP="00DE1E16">
      <w:pPr>
        <w:ind w:left="720"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 xml:space="preserve">Finalmente, es importante mencionar que EBSA y EMSA no asistieron a la </w:t>
      </w:r>
      <w:r w:rsidR="00352A2F" w:rsidRPr="003427E5">
        <w:rPr>
          <w:rFonts w:ascii="Montserrat" w:hAnsi="Montserrat" w:cs="Arial"/>
          <w:bCs/>
          <w:sz w:val="22"/>
          <w:szCs w:val="22"/>
          <w:bdr w:val="none" w:sz="0" w:space="0" w:color="auto" w:frame="1"/>
        </w:rPr>
        <w:t xml:space="preserve">reunión </w:t>
      </w:r>
      <w:r w:rsidR="00352A2F">
        <w:rPr>
          <w:rFonts w:ascii="Montserrat" w:hAnsi="Montserrat" w:cs="Arial"/>
          <w:bCs/>
          <w:sz w:val="22"/>
          <w:szCs w:val="22"/>
          <w:bdr w:val="none" w:sz="0" w:space="0" w:color="auto" w:frame="1"/>
        </w:rPr>
        <w:t>para informar acerca de</w:t>
      </w:r>
      <w:r w:rsidRPr="003427E5">
        <w:rPr>
          <w:rFonts w:ascii="Montserrat" w:hAnsi="Montserrat" w:cs="Arial"/>
          <w:bCs/>
          <w:sz w:val="22"/>
          <w:szCs w:val="22"/>
          <w:bdr w:val="none" w:sz="0" w:space="0" w:color="auto" w:frame="1"/>
        </w:rPr>
        <w:t xml:space="preserve"> las acciones pendientes por gestionar.</w:t>
      </w:r>
    </w:p>
    <w:p w14:paraId="2AF32690" w14:textId="1419034A" w:rsidR="00364458" w:rsidRPr="003427E5" w:rsidRDefault="00364458" w:rsidP="00DE1E16">
      <w:pPr>
        <w:ind w:left="720" w:right="-57"/>
        <w:contextualSpacing/>
        <w:jc w:val="both"/>
        <w:textAlignment w:val="baseline"/>
        <w:rPr>
          <w:rFonts w:ascii="Montserrat" w:hAnsi="Montserrat" w:cs="Arial"/>
          <w:bCs/>
          <w:sz w:val="22"/>
          <w:szCs w:val="22"/>
          <w:bdr w:val="none" w:sz="0" w:space="0" w:color="auto" w:frame="1"/>
        </w:rPr>
      </w:pPr>
    </w:p>
    <w:p w14:paraId="61251739" w14:textId="688C67E6" w:rsidR="00364458" w:rsidRPr="003427E5" w:rsidRDefault="00364458" w:rsidP="00364458">
      <w:pPr>
        <w:numPr>
          <w:ilvl w:val="0"/>
          <w:numId w:val="3"/>
        </w:numPr>
        <w:ind w:right="-57"/>
        <w:contextualSpacing/>
        <w:jc w:val="both"/>
        <w:textAlignment w:val="baseline"/>
        <w:rPr>
          <w:rFonts w:ascii="Montserrat" w:hAnsi="Montserrat" w:cs="Arial"/>
          <w:b/>
          <w:bCs/>
          <w:sz w:val="22"/>
          <w:szCs w:val="22"/>
          <w:bdr w:val="none" w:sz="0" w:space="0" w:color="auto" w:frame="1"/>
          <w:lang w:val="pt-BR"/>
        </w:rPr>
      </w:pPr>
      <w:r w:rsidRPr="003427E5">
        <w:rPr>
          <w:rFonts w:ascii="Montserrat" w:hAnsi="Montserrat" w:cs="Arial"/>
          <w:bCs/>
          <w:sz w:val="22"/>
          <w:szCs w:val="22"/>
          <w:bdr w:val="none" w:sz="0" w:space="0" w:color="auto" w:frame="1"/>
          <w:lang w:val="es-ES"/>
        </w:rPr>
        <w:t xml:space="preserve">El CND presentó en la reunión conjunta de los Comités de Operación, Transmisión, Distribución y Supervisión, el Informe de Planeamiento Operativo Eléctrico de Mediano Plazo. Al respecto, se observa de manera general que las restricciones actuales en el SIN no han cambiado con relación al último informe. Sin embargo, vale la pena resaltar nuevamente </w:t>
      </w:r>
      <w:r w:rsidR="0046063C">
        <w:rPr>
          <w:rFonts w:ascii="Montserrat" w:hAnsi="Montserrat" w:cs="Arial"/>
          <w:bCs/>
          <w:sz w:val="22"/>
          <w:szCs w:val="22"/>
          <w:bdr w:val="none" w:sz="0" w:space="0" w:color="auto" w:frame="1"/>
          <w:lang w:val="es-ES"/>
        </w:rPr>
        <w:t xml:space="preserve">por parte del </w:t>
      </w:r>
      <w:r w:rsidR="000F7DEB">
        <w:rPr>
          <w:rFonts w:ascii="Montserrat" w:hAnsi="Montserrat" w:cs="Arial"/>
          <w:bCs/>
          <w:sz w:val="22"/>
          <w:szCs w:val="22"/>
          <w:bdr w:val="none" w:sz="0" w:space="0" w:color="auto" w:frame="1"/>
          <w:lang w:val="es-ES"/>
        </w:rPr>
        <w:t>C</w:t>
      </w:r>
      <w:r w:rsidR="0046063C">
        <w:rPr>
          <w:rFonts w:ascii="Montserrat" w:hAnsi="Montserrat" w:cs="Arial"/>
          <w:bCs/>
          <w:sz w:val="22"/>
          <w:szCs w:val="22"/>
          <w:bdr w:val="none" w:sz="0" w:space="0" w:color="auto" w:frame="1"/>
          <w:lang w:val="es-ES"/>
        </w:rPr>
        <w:t xml:space="preserve">onsejo </w:t>
      </w:r>
      <w:r w:rsidRPr="003427E5">
        <w:rPr>
          <w:rFonts w:ascii="Montserrat" w:hAnsi="Montserrat" w:cs="Arial"/>
          <w:bCs/>
          <w:sz w:val="22"/>
          <w:szCs w:val="22"/>
          <w:bdr w:val="none" w:sz="0" w:space="0" w:color="auto" w:frame="1"/>
          <w:lang w:val="es-ES"/>
        </w:rPr>
        <w:t xml:space="preserve">las limitaciones identificadas para la generación de algunos proyectos </w:t>
      </w:r>
      <w:r w:rsidR="0046063C">
        <w:rPr>
          <w:rFonts w:ascii="Montserrat" w:hAnsi="Montserrat" w:cs="Arial"/>
          <w:bCs/>
          <w:sz w:val="22"/>
          <w:szCs w:val="22"/>
          <w:bdr w:val="none" w:sz="0" w:space="0" w:color="auto" w:frame="1"/>
          <w:lang w:val="es-ES"/>
        </w:rPr>
        <w:t>de generación,</w:t>
      </w:r>
      <w:r w:rsidRPr="003427E5">
        <w:rPr>
          <w:rFonts w:ascii="Montserrat" w:hAnsi="Montserrat" w:cs="Arial"/>
          <w:bCs/>
          <w:sz w:val="22"/>
          <w:szCs w:val="22"/>
          <w:bdr w:val="none" w:sz="0" w:space="0" w:color="auto" w:frame="1"/>
          <w:lang w:val="es-ES"/>
        </w:rPr>
        <w:t xml:space="preserve"> los cuales </w:t>
      </w:r>
      <w:r w:rsidR="0046063C">
        <w:rPr>
          <w:rFonts w:ascii="Montserrat" w:hAnsi="Montserrat" w:cs="Arial"/>
          <w:bCs/>
          <w:sz w:val="22"/>
          <w:szCs w:val="22"/>
          <w:bdr w:val="none" w:sz="0" w:space="0" w:color="auto" w:frame="1"/>
          <w:lang w:val="es-ES"/>
        </w:rPr>
        <w:t xml:space="preserve">no </w:t>
      </w:r>
      <w:r w:rsidRPr="003427E5">
        <w:rPr>
          <w:rFonts w:ascii="Montserrat" w:hAnsi="Montserrat" w:cs="Arial"/>
          <w:bCs/>
          <w:sz w:val="22"/>
          <w:szCs w:val="22"/>
          <w:bdr w:val="none" w:sz="0" w:space="0" w:color="auto" w:frame="1"/>
          <w:lang w:val="es-ES"/>
        </w:rPr>
        <w:t xml:space="preserve">tienen una solución de expansión de red definida. </w:t>
      </w:r>
    </w:p>
    <w:p w14:paraId="66F8CE3B" w14:textId="77777777" w:rsidR="00364458" w:rsidRPr="003427E5" w:rsidRDefault="00364458" w:rsidP="00364458">
      <w:pPr>
        <w:ind w:left="720" w:right="-57"/>
        <w:contextualSpacing/>
        <w:jc w:val="both"/>
        <w:textAlignment w:val="baseline"/>
        <w:rPr>
          <w:rFonts w:ascii="Montserrat" w:hAnsi="Montserrat" w:cs="Arial"/>
          <w:b/>
          <w:bCs/>
          <w:sz w:val="22"/>
          <w:szCs w:val="22"/>
          <w:bdr w:val="none" w:sz="0" w:space="0" w:color="auto" w:frame="1"/>
          <w:lang w:val="pt-BR"/>
        </w:rPr>
      </w:pPr>
    </w:p>
    <w:p w14:paraId="720C962E" w14:textId="77777777" w:rsidR="00364458" w:rsidRPr="000F7DEB" w:rsidRDefault="00364458" w:rsidP="00364458">
      <w:pPr>
        <w:numPr>
          <w:ilvl w:val="0"/>
          <w:numId w:val="3"/>
        </w:numPr>
        <w:ind w:right="-57"/>
        <w:contextualSpacing/>
        <w:jc w:val="both"/>
        <w:textAlignment w:val="baseline"/>
        <w:rPr>
          <w:rFonts w:ascii="Montserrat" w:hAnsi="Montserrat" w:cs="Arial"/>
          <w:sz w:val="22"/>
          <w:szCs w:val="22"/>
          <w:bdr w:val="none" w:sz="0" w:space="0" w:color="auto" w:frame="1"/>
          <w:lang w:val="pt-BR"/>
        </w:rPr>
      </w:pPr>
      <w:r w:rsidRPr="003427E5">
        <w:rPr>
          <w:rFonts w:ascii="Montserrat" w:hAnsi="Montserrat" w:cs="Arial"/>
          <w:bCs/>
          <w:sz w:val="22"/>
          <w:szCs w:val="22"/>
          <w:bdr w:val="none" w:sz="0" w:space="0" w:color="auto" w:frame="1"/>
          <w:lang w:val="es-ES"/>
        </w:rPr>
        <w:t xml:space="preserve">En la página web del Consejo se encuentra la solicitud de concepto y ampliación del plazo para instrumentar y desarrollar la Resolución CREG 229 de 2021. Se está a la espera de la aclaración sobre cómo interpretar la </w:t>
      </w:r>
      <w:r w:rsidRPr="000F7DEB">
        <w:rPr>
          <w:rFonts w:ascii="Montserrat" w:hAnsi="Montserrat" w:cs="Arial"/>
          <w:sz w:val="22"/>
          <w:szCs w:val="22"/>
          <w:bdr w:val="none" w:sz="0" w:space="0" w:color="auto" w:frame="1"/>
          <w:lang w:val="es-ES"/>
        </w:rPr>
        <w:t>Curva PQ ajustada:</w:t>
      </w:r>
    </w:p>
    <w:p w14:paraId="67EA605D" w14:textId="77777777" w:rsidR="00364458" w:rsidRPr="003427E5" w:rsidRDefault="00364458" w:rsidP="00364458">
      <w:pPr>
        <w:ind w:left="720" w:right="-57"/>
        <w:contextualSpacing/>
        <w:jc w:val="both"/>
        <w:textAlignment w:val="baseline"/>
        <w:rPr>
          <w:rFonts w:ascii="Montserrat" w:hAnsi="Montserrat" w:cs="Arial"/>
          <w:b/>
          <w:bCs/>
          <w:sz w:val="22"/>
          <w:szCs w:val="22"/>
          <w:bdr w:val="none" w:sz="0" w:space="0" w:color="auto" w:frame="1"/>
          <w:lang w:val="pt-BR"/>
        </w:rPr>
      </w:pPr>
      <w:r w:rsidRPr="003427E5">
        <w:rPr>
          <w:rFonts w:ascii="Montserrat" w:hAnsi="Montserrat" w:cs="Arial"/>
          <w:bCs/>
          <w:sz w:val="22"/>
          <w:szCs w:val="22"/>
          <w:bdr w:val="none" w:sz="0" w:space="0" w:color="auto" w:frame="1"/>
          <w:lang w:val="es-ES"/>
        </w:rPr>
        <w:t xml:space="preserve">    </w:t>
      </w:r>
    </w:p>
    <w:p w14:paraId="257FC127"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Curva de capacidad (Resolución CREG 060 de 2019), complementada con una única curva VQ. Es claro que, para un rango de tensión específico, se exige la totalidad de la curva PQ, no sólo para la potencia nominal.</w:t>
      </w:r>
    </w:p>
    <w:p w14:paraId="3121C831"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rPr>
      </w:pPr>
    </w:p>
    <w:p w14:paraId="7809BD2A"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Curva de carga diferente a la Curva de la Resolución CREG 060 de 2019, que se construiría en función de las necesidades circunstanciales de compensación reactiva para el soporte de tensión en el punto de conexión. Es decir, si la planta de generación se conecta en un nodo robusto del SIN, la curva de capacidad sería menos exigente, caso contrario si la planta se conecta en un nodo débil</w:t>
      </w:r>
    </w:p>
    <w:p w14:paraId="28AAEB65"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p>
    <w:p w14:paraId="40155456" w14:textId="77777777" w:rsidR="00364458" w:rsidRPr="003427E5" w:rsidRDefault="00364458" w:rsidP="00364458">
      <w:pPr>
        <w:numPr>
          <w:ilvl w:val="0"/>
          <w:numId w:val="3"/>
        </w:numPr>
        <w:ind w:right="-57"/>
        <w:contextualSpacing/>
        <w:jc w:val="both"/>
        <w:textAlignment w:val="baseline"/>
        <w:rPr>
          <w:rFonts w:ascii="Montserrat" w:hAnsi="Montserrat" w:cs="Arial"/>
          <w:bCs/>
          <w:sz w:val="22"/>
          <w:szCs w:val="22"/>
          <w:bdr w:val="none" w:sz="0" w:space="0" w:color="auto" w:frame="1"/>
          <w:lang w:val="es-ES"/>
        </w:rPr>
      </w:pPr>
      <w:r w:rsidRPr="003427E5">
        <w:rPr>
          <w:rFonts w:ascii="Montserrat" w:hAnsi="Montserrat" w:cs="Arial"/>
          <w:bCs/>
          <w:sz w:val="22"/>
          <w:szCs w:val="22"/>
          <w:bdr w:val="none" w:sz="0" w:space="0" w:color="auto" w:frame="1"/>
          <w:lang w:val="es-ES"/>
        </w:rPr>
        <w:t xml:space="preserve">La próxima semana se citará al Comité de Distribución-CD para presentar las propuestas de productos que desarrollan la Resolución CREG 174 de 2021: </w:t>
      </w:r>
    </w:p>
    <w:p w14:paraId="0D514E7F"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p>
    <w:p w14:paraId="033D1D28"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Formato Simplificado.</w:t>
      </w:r>
    </w:p>
    <w:p w14:paraId="5A9431CA"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Documento de Lineamientos de Estudios de Conexión Simplificados.</w:t>
      </w:r>
    </w:p>
    <w:p w14:paraId="0246FD50"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Acuerdo de Pruebas previas a la conexión.</w:t>
      </w:r>
    </w:p>
    <w:p w14:paraId="787091E4"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 xml:space="preserve">Acuerdo de requerimiento y pruebas de Supervisión.   </w:t>
      </w:r>
    </w:p>
    <w:p w14:paraId="1199E200"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p>
    <w:p w14:paraId="577FE274"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r w:rsidRPr="003427E5">
        <w:rPr>
          <w:rFonts w:ascii="Montserrat" w:hAnsi="Montserrat" w:cs="Arial"/>
          <w:bCs/>
          <w:sz w:val="22"/>
          <w:szCs w:val="22"/>
          <w:bdr w:val="none" w:sz="0" w:space="0" w:color="auto" w:frame="1"/>
          <w:lang w:val="es-ES"/>
        </w:rPr>
        <w:t>Se debe resaltar que la citada norma derogó la Resolución CREG 030 de 2018, modificando, entre otros, los siguientes aspectos:</w:t>
      </w:r>
    </w:p>
    <w:p w14:paraId="601F6EC7"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p>
    <w:p w14:paraId="30E9C50D"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Límite de la generación Distribuida.</w:t>
      </w:r>
    </w:p>
    <w:p w14:paraId="133947C3"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Condiciones aplicables para la solicitud de los estudios de conexión y formato simplificado.</w:t>
      </w:r>
    </w:p>
    <w:p w14:paraId="1782B49F"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Condiciones de actualización de la Resolución (artículo 4).</w:t>
      </w:r>
    </w:p>
    <w:p w14:paraId="0C57F4C2" w14:textId="77777777" w:rsidR="00364458" w:rsidRPr="003427E5" w:rsidRDefault="00364458" w:rsidP="00364458">
      <w:pPr>
        <w:numPr>
          <w:ilvl w:val="0"/>
          <w:numId w:val="4"/>
        </w:numPr>
        <w:ind w:right="-57"/>
        <w:contextualSpacing/>
        <w:jc w:val="both"/>
        <w:textAlignment w:val="baseline"/>
        <w:rPr>
          <w:rFonts w:ascii="Montserrat" w:hAnsi="Montserrat" w:cs="Arial"/>
          <w:bCs/>
          <w:sz w:val="22"/>
          <w:szCs w:val="22"/>
          <w:bdr w:val="none" w:sz="0" w:space="0" w:color="auto" w:frame="1"/>
        </w:rPr>
      </w:pPr>
      <w:r w:rsidRPr="003427E5">
        <w:rPr>
          <w:rFonts w:ascii="Montserrat" w:hAnsi="Montserrat" w:cs="Arial"/>
          <w:bCs/>
          <w:sz w:val="22"/>
          <w:szCs w:val="22"/>
          <w:bdr w:val="none" w:sz="0" w:space="0" w:color="auto" w:frame="1"/>
        </w:rPr>
        <w:t>Condiciones de pruebas y verificación visual de parámetros declarados.</w:t>
      </w:r>
    </w:p>
    <w:p w14:paraId="25556469"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p>
    <w:p w14:paraId="57F9D0E2"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r w:rsidRPr="003427E5">
        <w:rPr>
          <w:rFonts w:ascii="Montserrat" w:hAnsi="Montserrat" w:cs="Arial"/>
          <w:bCs/>
          <w:sz w:val="22"/>
          <w:szCs w:val="22"/>
          <w:bdr w:val="none" w:sz="0" w:space="0" w:color="auto" w:frame="1"/>
          <w:lang w:val="es-ES"/>
        </w:rPr>
        <w:lastRenderedPageBreak/>
        <w:t xml:space="preserve">Teniendo en cuenta lo anterior, las propuestas que se socializarán en el CD tendrán varios elementos en común respecto a los documentos elaborados en el marco de la Resolución CREG 030 de 2018. </w:t>
      </w:r>
    </w:p>
    <w:p w14:paraId="25CF458B" w14:textId="77777777" w:rsidR="00364458" w:rsidRPr="003427E5" w:rsidRDefault="00364458" w:rsidP="00364458">
      <w:pPr>
        <w:ind w:left="720" w:right="-57"/>
        <w:contextualSpacing/>
        <w:jc w:val="both"/>
        <w:textAlignment w:val="baseline"/>
        <w:rPr>
          <w:rFonts w:ascii="Montserrat" w:hAnsi="Montserrat" w:cs="Arial"/>
          <w:bCs/>
          <w:sz w:val="22"/>
          <w:szCs w:val="22"/>
          <w:bdr w:val="none" w:sz="0" w:space="0" w:color="auto" w:frame="1"/>
          <w:lang w:val="es-ES"/>
        </w:rPr>
      </w:pPr>
    </w:p>
    <w:p w14:paraId="1E9FD932" w14:textId="4CB1DF64" w:rsidR="00364458" w:rsidRPr="006055CC" w:rsidRDefault="00364458" w:rsidP="006055CC">
      <w:pPr>
        <w:numPr>
          <w:ilvl w:val="0"/>
          <w:numId w:val="3"/>
        </w:numPr>
        <w:ind w:right="-57"/>
        <w:contextualSpacing/>
        <w:jc w:val="both"/>
        <w:textAlignment w:val="baseline"/>
        <w:rPr>
          <w:rFonts w:ascii="Montserrat" w:hAnsi="Montserrat" w:cs="Arial"/>
          <w:bCs/>
          <w:sz w:val="22"/>
          <w:szCs w:val="22"/>
          <w:bdr w:val="none" w:sz="0" w:space="0" w:color="auto" w:frame="1"/>
          <w:lang w:val="es-ES"/>
        </w:rPr>
      </w:pPr>
      <w:r w:rsidRPr="006055CC">
        <w:rPr>
          <w:rFonts w:ascii="Montserrat" w:hAnsi="Montserrat" w:cs="Arial"/>
          <w:bCs/>
          <w:sz w:val="22"/>
          <w:szCs w:val="22"/>
          <w:bdr w:val="none" w:sz="0" w:space="0" w:color="auto" w:frame="1"/>
          <w:lang w:val="es-ES"/>
        </w:rPr>
        <w:t xml:space="preserve">El próximo viernes 4 de febrero de 2022 </w:t>
      </w:r>
      <w:r w:rsidR="000F7DEB">
        <w:rPr>
          <w:rFonts w:ascii="Montserrat" w:hAnsi="Montserrat" w:cs="Arial"/>
          <w:bCs/>
          <w:sz w:val="22"/>
          <w:szCs w:val="22"/>
          <w:bdr w:val="none" w:sz="0" w:space="0" w:color="auto" w:frame="1"/>
          <w:lang w:val="es-ES"/>
        </w:rPr>
        <w:t xml:space="preserve">la CREG nos citó junto con </w:t>
      </w:r>
      <w:r w:rsidRPr="006055CC">
        <w:rPr>
          <w:rFonts w:ascii="Montserrat" w:hAnsi="Montserrat" w:cs="Arial"/>
          <w:bCs/>
          <w:sz w:val="22"/>
          <w:szCs w:val="22"/>
          <w:bdr w:val="none" w:sz="0" w:space="0" w:color="auto" w:frame="1"/>
          <w:lang w:val="es-ES"/>
        </w:rPr>
        <w:t>l</w:t>
      </w:r>
      <w:r w:rsidRPr="006055CC">
        <w:rPr>
          <w:rFonts w:ascii="Montserrat" w:hAnsi="Montserrat" w:cs="Arial"/>
          <w:bCs/>
          <w:sz w:val="22"/>
          <w:szCs w:val="22"/>
          <w:bdr w:val="none" w:sz="0" w:space="0" w:color="auto" w:frame="1"/>
        </w:rPr>
        <w:t>a Universidad de los Andes</w:t>
      </w:r>
      <w:r w:rsidRPr="006055CC">
        <w:rPr>
          <w:rFonts w:ascii="Montserrat" w:hAnsi="Montserrat" w:cs="Arial"/>
          <w:bCs/>
          <w:sz w:val="22"/>
          <w:szCs w:val="22"/>
          <w:bdr w:val="none" w:sz="0" w:space="0" w:color="auto" w:frame="1"/>
          <w:lang w:val="es-ES"/>
        </w:rPr>
        <w:t>, p</w:t>
      </w:r>
      <w:r w:rsidRPr="006055CC">
        <w:rPr>
          <w:rFonts w:ascii="Montserrat" w:hAnsi="Montserrat" w:cs="Arial"/>
          <w:bCs/>
          <w:sz w:val="22"/>
          <w:szCs w:val="22"/>
          <w:bdr w:val="none" w:sz="0" w:space="0" w:color="auto" w:frame="1"/>
        </w:rPr>
        <w:t xml:space="preserve">ara analizar las ventajas y desventajas que tiene el modelo CNO para simular la producción de una planta eólica Off Shore y calcular su energía en firme. </w:t>
      </w:r>
    </w:p>
    <w:p w14:paraId="69909AC2" w14:textId="77777777" w:rsidR="00DE1E16" w:rsidRPr="003427E5" w:rsidRDefault="00DE1E16" w:rsidP="00DE1E16">
      <w:pPr>
        <w:ind w:left="720" w:right="-57"/>
        <w:contextualSpacing/>
        <w:jc w:val="both"/>
        <w:textAlignment w:val="baseline"/>
        <w:rPr>
          <w:rFonts w:ascii="Montserrat" w:hAnsi="Montserrat" w:cs="Arial"/>
          <w:bCs/>
          <w:sz w:val="22"/>
          <w:szCs w:val="22"/>
          <w:bdr w:val="none" w:sz="0" w:space="0" w:color="auto" w:frame="1"/>
        </w:rPr>
      </w:pPr>
    </w:p>
    <w:p w14:paraId="2182EB96" w14:textId="15D9349F" w:rsidR="00A015DA" w:rsidRPr="003427E5" w:rsidRDefault="00A015DA" w:rsidP="00292E02">
      <w:pPr>
        <w:pStyle w:val="Prrafodelista"/>
        <w:ind w:left="720"/>
        <w:rPr>
          <w:rFonts w:ascii="Montserrat" w:hAnsi="Montserrat" w:cstheme="minorHAnsi"/>
          <w:bCs/>
          <w:sz w:val="22"/>
          <w:szCs w:val="22"/>
        </w:rPr>
      </w:pPr>
    </w:p>
    <w:sectPr w:rsidR="00A015DA" w:rsidRPr="003427E5">
      <w:headerReference w:type="even" r:id="rId9"/>
      <w:headerReference w:type="default" r:id="rId10"/>
      <w:footerReference w:type="even" r:id="rId11"/>
      <w:footerReference w:type="default" r:id="rId12"/>
      <w:headerReference w:type="first" r:id="rId13"/>
      <w:footerReference w:type="first" r:id="rId14"/>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15B1" w14:textId="77777777" w:rsidR="00FA167E" w:rsidRDefault="00FA167E">
      <w:r>
        <w:separator/>
      </w:r>
    </w:p>
  </w:endnote>
  <w:endnote w:type="continuationSeparator" w:id="0">
    <w:p w14:paraId="333D335D" w14:textId="77777777" w:rsidR="00FA167E" w:rsidRDefault="00FA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C288" w14:textId="77777777" w:rsidR="006055CC" w:rsidRDefault="006055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5F70F47E" w:rsidR="00C84C6F" w:rsidRPr="00F71BE8" w:rsidRDefault="00AC07F4">
    <w:pPr>
      <w:pBdr>
        <w:top w:val="nil"/>
        <w:left w:val="nil"/>
        <w:bottom w:val="nil"/>
        <w:right w:val="nil"/>
        <w:between w:val="nil"/>
      </w:pBdr>
      <w:tabs>
        <w:tab w:val="center" w:pos="4252"/>
        <w:tab w:val="right" w:pos="8504"/>
      </w:tabs>
      <w:rPr>
        <w:rFonts w:ascii="Verdana" w:hAnsi="Verdana"/>
        <w:color w:val="000000"/>
        <w:sz w:val="16"/>
        <w:szCs w:val="16"/>
      </w:rPr>
    </w:pPr>
    <w:r w:rsidRPr="00F71BE8">
      <w:rPr>
        <w:rFonts w:ascii="Verdana" w:hAnsi="Verdana"/>
        <w:color w:val="000000"/>
        <w:sz w:val="16"/>
        <w:szCs w:val="16"/>
      </w:rPr>
      <w:t>Informe CNO 6</w:t>
    </w:r>
    <w:r w:rsidR="002824B0">
      <w:rPr>
        <w:rFonts w:ascii="Verdana" w:hAnsi="Verdana"/>
        <w:color w:val="000000"/>
        <w:sz w:val="16"/>
        <w:szCs w:val="16"/>
      </w:rPr>
      <w:t>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65D5" w14:textId="77777777" w:rsidR="006055CC" w:rsidRDefault="006055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70A0" w14:textId="77777777" w:rsidR="00FA167E" w:rsidRDefault="00FA167E">
      <w:r>
        <w:separator/>
      </w:r>
    </w:p>
  </w:footnote>
  <w:footnote w:type="continuationSeparator" w:id="0">
    <w:p w14:paraId="72C8B4D2" w14:textId="77777777" w:rsidR="00FA167E" w:rsidRDefault="00FA1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1019" w14:textId="77777777" w:rsidR="006055CC" w:rsidRDefault="006055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2BE57278"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B6C5" w14:textId="77777777" w:rsidR="006055CC" w:rsidRDefault="006055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4A6"/>
    <w:multiLevelType w:val="hybridMultilevel"/>
    <w:tmpl w:val="5FA84352"/>
    <w:lvl w:ilvl="0" w:tplc="040A0019">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0D2E99"/>
    <w:multiLevelType w:val="hybridMultilevel"/>
    <w:tmpl w:val="A9BE911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FF95D13"/>
    <w:multiLevelType w:val="hybridMultilevel"/>
    <w:tmpl w:val="BF04A3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CAC6DF1"/>
    <w:multiLevelType w:val="hybridMultilevel"/>
    <w:tmpl w:val="2FF66AD4"/>
    <w:lvl w:ilvl="0" w:tplc="A8AA251E">
      <w:start w:val="1"/>
      <w:numFmt w:val="decimal"/>
      <w:lvlText w:val="%1."/>
      <w:lvlJc w:val="left"/>
      <w:pPr>
        <w:tabs>
          <w:tab w:val="num" w:pos="720"/>
        </w:tabs>
        <w:ind w:left="720" w:hanging="360"/>
      </w:pPr>
    </w:lvl>
    <w:lvl w:ilvl="1" w:tplc="3F7AADC4" w:tentative="1">
      <w:start w:val="1"/>
      <w:numFmt w:val="decimal"/>
      <w:lvlText w:val="%2."/>
      <w:lvlJc w:val="left"/>
      <w:pPr>
        <w:tabs>
          <w:tab w:val="num" w:pos="1440"/>
        </w:tabs>
        <w:ind w:left="1440" w:hanging="360"/>
      </w:pPr>
    </w:lvl>
    <w:lvl w:ilvl="2" w:tplc="BED4576E" w:tentative="1">
      <w:start w:val="1"/>
      <w:numFmt w:val="decimal"/>
      <w:lvlText w:val="%3."/>
      <w:lvlJc w:val="left"/>
      <w:pPr>
        <w:tabs>
          <w:tab w:val="num" w:pos="2160"/>
        </w:tabs>
        <w:ind w:left="2160" w:hanging="360"/>
      </w:pPr>
    </w:lvl>
    <w:lvl w:ilvl="3" w:tplc="AA120890" w:tentative="1">
      <w:start w:val="1"/>
      <w:numFmt w:val="decimal"/>
      <w:lvlText w:val="%4."/>
      <w:lvlJc w:val="left"/>
      <w:pPr>
        <w:tabs>
          <w:tab w:val="num" w:pos="2880"/>
        </w:tabs>
        <w:ind w:left="2880" w:hanging="360"/>
      </w:pPr>
    </w:lvl>
    <w:lvl w:ilvl="4" w:tplc="E4542C90" w:tentative="1">
      <w:start w:val="1"/>
      <w:numFmt w:val="decimal"/>
      <w:lvlText w:val="%5."/>
      <w:lvlJc w:val="left"/>
      <w:pPr>
        <w:tabs>
          <w:tab w:val="num" w:pos="3600"/>
        </w:tabs>
        <w:ind w:left="3600" w:hanging="360"/>
      </w:pPr>
    </w:lvl>
    <w:lvl w:ilvl="5" w:tplc="0FBA98C4" w:tentative="1">
      <w:start w:val="1"/>
      <w:numFmt w:val="decimal"/>
      <w:lvlText w:val="%6."/>
      <w:lvlJc w:val="left"/>
      <w:pPr>
        <w:tabs>
          <w:tab w:val="num" w:pos="4320"/>
        </w:tabs>
        <w:ind w:left="4320" w:hanging="360"/>
      </w:pPr>
    </w:lvl>
    <w:lvl w:ilvl="6" w:tplc="1AD82892" w:tentative="1">
      <w:start w:val="1"/>
      <w:numFmt w:val="decimal"/>
      <w:lvlText w:val="%7."/>
      <w:lvlJc w:val="left"/>
      <w:pPr>
        <w:tabs>
          <w:tab w:val="num" w:pos="5040"/>
        </w:tabs>
        <w:ind w:left="5040" w:hanging="360"/>
      </w:pPr>
    </w:lvl>
    <w:lvl w:ilvl="7" w:tplc="CCBE1280" w:tentative="1">
      <w:start w:val="1"/>
      <w:numFmt w:val="decimal"/>
      <w:lvlText w:val="%8."/>
      <w:lvlJc w:val="left"/>
      <w:pPr>
        <w:tabs>
          <w:tab w:val="num" w:pos="5760"/>
        </w:tabs>
        <w:ind w:left="5760" w:hanging="360"/>
      </w:pPr>
    </w:lvl>
    <w:lvl w:ilvl="8" w:tplc="0B2E5EFC" w:tentative="1">
      <w:start w:val="1"/>
      <w:numFmt w:val="decimal"/>
      <w:lvlText w:val="%9."/>
      <w:lvlJc w:val="left"/>
      <w:pPr>
        <w:tabs>
          <w:tab w:val="num" w:pos="6480"/>
        </w:tabs>
        <w:ind w:left="6480" w:hanging="360"/>
      </w:pPr>
    </w:lvl>
  </w:abstractNum>
  <w:abstractNum w:abstractNumId="4" w15:restartNumberingAfterBreak="0">
    <w:nsid w:val="37310DE5"/>
    <w:multiLevelType w:val="multilevel"/>
    <w:tmpl w:val="AC826438"/>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E861BA"/>
    <w:multiLevelType w:val="hybridMultilevel"/>
    <w:tmpl w:val="AC9438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AA31BAA"/>
    <w:multiLevelType w:val="hybridMultilevel"/>
    <w:tmpl w:val="44BAE6CC"/>
    <w:lvl w:ilvl="0" w:tplc="66240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3161D97"/>
    <w:multiLevelType w:val="hybridMultilevel"/>
    <w:tmpl w:val="8F9E05D2"/>
    <w:lvl w:ilvl="0" w:tplc="AC7C9376">
      <w:start w:val="1"/>
      <w:numFmt w:val="decimal"/>
      <w:lvlText w:val="%1."/>
      <w:lvlJc w:val="left"/>
      <w:pPr>
        <w:ind w:left="720" w:hanging="360"/>
      </w:pPr>
      <w:rPr>
        <w:rFonts w:hint="default"/>
        <w:b w:val="0"/>
        <w:bCs w:val="0"/>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5F41392"/>
    <w:multiLevelType w:val="hybridMultilevel"/>
    <w:tmpl w:val="1AD272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6"/>
  </w:num>
  <w:num w:numId="3">
    <w:abstractNumId w:val="7"/>
  </w:num>
  <w:num w:numId="4">
    <w:abstractNumId w:val="8"/>
  </w:num>
  <w:num w:numId="5">
    <w:abstractNumId w:val="1"/>
  </w:num>
  <w:num w:numId="6">
    <w:abstractNumId w:val="5"/>
  </w:num>
  <w:num w:numId="7">
    <w:abstractNumId w:val="2"/>
  </w:num>
  <w:num w:numId="8">
    <w:abstractNumId w:val="4"/>
  </w:num>
  <w:num w:numId="9">
    <w:abstractNumId w:val="3"/>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00F95"/>
    <w:rsid w:val="00002299"/>
    <w:rsid w:val="000042E3"/>
    <w:rsid w:val="00005B5E"/>
    <w:rsid w:val="00020619"/>
    <w:rsid w:val="00030A24"/>
    <w:rsid w:val="000469EA"/>
    <w:rsid w:val="00047EC7"/>
    <w:rsid w:val="00053296"/>
    <w:rsid w:val="00053450"/>
    <w:rsid w:val="00054712"/>
    <w:rsid w:val="000558D8"/>
    <w:rsid w:val="00067FB6"/>
    <w:rsid w:val="000709AB"/>
    <w:rsid w:val="00074021"/>
    <w:rsid w:val="000774D1"/>
    <w:rsid w:val="00077939"/>
    <w:rsid w:val="00080977"/>
    <w:rsid w:val="00080E4F"/>
    <w:rsid w:val="00091B7E"/>
    <w:rsid w:val="00094EE2"/>
    <w:rsid w:val="0009618C"/>
    <w:rsid w:val="00096D83"/>
    <w:rsid w:val="000B41B4"/>
    <w:rsid w:val="000B4BF9"/>
    <w:rsid w:val="000B7A05"/>
    <w:rsid w:val="000C3505"/>
    <w:rsid w:val="000D3089"/>
    <w:rsid w:val="000D33E9"/>
    <w:rsid w:val="000D58E4"/>
    <w:rsid w:val="000F1333"/>
    <w:rsid w:val="000F146E"/>
    <w:rsid w:val="000F7DEB"/>
    <w:rsid w:val="00102869"/>
    <w:rsid w:val="00105069"/>
    <w:rsid w:val="00116585"/>
    <w:rsid w:val="00117806"/>
    <w:rsid w:val="00121190"/>
    <w:rsid w:val="001230C5"/>
    <w:rsid w:val="001371FB"/>
    <w:rsid w:val="00150DA1"/>
    <w:rsid w:val="00152C27"/>
    <w:rsid w:val="00154AF1"/>
    <w:rsid w:val="0015597A"/>
    <w:rsid w:val="001647E3"/>
    <w:rsid w:val="00164E4B"/>
    <w:rsid w:val="00174115"/>
    <w:rsid w:val="001753E8"/>
    <w:rsid w:val="0019277B"/>
    <w:rsid w:val="0019686A"/>
    <w:rsid w:val="001B255A"/>
    <w:rsid w:val="001B6C51"/>
    <w:rsid w:val="001B6DAD"/>
    <w:rsid w:val="001C7862"/>
    <w:rsid w:val="001D59A6"/>
    <w:rsid w:val="001E2AE7"/>
    <w:rsid w:val="001F6C65"/>
    <w:rsid w:val="001F7F65"/>
    <w:rsid w:val="00210055"/>
    <w:rsid w:val="002109BC"/>
    <w:rsid w:val="00217C8D"/>
    <w:rsid w:val="00221D3F"/>
    <w:rsid w:val="00222F98"/>
    <w:rsid w:val="00223851"/>
    <w:rsid w:val="00241798"/>
    <w:rsid w:val="002512F2"/>
    <w:rsid w:val="00251F3C"/>
    <w:rsid w:val="0025741A"/>
    <w:rsid w:val="00260108"/>
    <w:rsid w:val="002606A3"/>
    <w:rsid w:val="00261A52"/>
    <w:rsid w:val="0026240E"/>
    <w:rsid w:val="00262FA2"/>
    <w:rsid w:val="00270545"/>
    <w:rsid w:val="00275781"/>
    <w:rsid w:val="0028190D"/>
    <w:rsid w:val="002824B0"/>
    <w:rsid w:val="00282C8A"/>
    <w:rsid w:val="0028457D"/>
    <w:rsid w:val="00292E02"/>
    <w:rsid w:val="0029356E"/>
    <w:rsid w:val="002971AC"/>
    <w:rsid w:val="002B0F90"/>
    <w:rsid w:val="002C0109"/>
    <w:rsid w:val="002D06DA"/>
    <w:rsid w:val="002D1E1C"/>
    <w:rsid w:val="002D5917"/>
    <w:rsid w:val="002E310D"/>
    <w:rsid w:val="002E3AC9"/>
    <w:rsid w:val="002E6DA1"/>
    <w:rsid w:val="002F0B4D"/>
    <w:rsid w:val="002F244A"/>
    <w:rsid w:val="002F67E8"/>
    <w:rsid w:val="002F7B9D"/>
    <w:rsid w:val="003002EC"/>
    <w:rsid w:val="00310EC7"/>
    <w:rsid w:val="00311FD1"/>
    <w:rsid w:val="00315E5D"/>
    <w:rsid w:val="00317458"/>
    <w:rsid w:val="00321E5A"/>
    <w:rsid w:val="00326499"/>
    <w:rsid w:val="0033724B"/>
    <w:rsid w:val="003427E5"/>
    <w:rsid w:val="00352A2F"/>
    <w:rsid w:val="00364458"/>
    <w:rsid w:val="00391E2D"/>
    <w:rsid w:val="00397569"/>
    <w:rsid w:val="003B0BA2"/>
    <w:rsid w:val="003B36FA"/>
    <w:rsid w:val="003C2857"/>
    <w:rsid w:val="003D1052"/>
    <w:rsid w:val="003D189A"/>
    <w:rsid w:val="003D2A49"/>
    <w:rsid w:val="003D3E26"/>
    <w:rsid w:val="003D4FCD"/>
    <w:rsid w:val="003E145F"/>
    <w:rsid w:val="003E2B7B"/>
    <w:rsid w:val="003E6380"/>
    <w:rsid w:val="00404EEC"/>
    <w:rsid w:val="00427F75"/>
    <w:rsid w:val="00434F99"/>
    <w:rsid w:val="004436B6"/>
    <w:rsid w:val="0045597B"/>
    <w:rsid w:val="0046063C"/>
    <w:rsid w:val="00462965"/>
    <w:rsid w:val="00466D05"/>
    <w:rsid w:val="00471792"/>
    <w:rsid w:val="00473924"/>
    <w:rsid w:val="00473D12"/>
    <w:rsid w:val="00474360"/>
    <w:rsid w:val="00475360"/>
    <w:rsid w:val="00483B69"/>
    <w:rsid w:val="0048786A"/>
    <w:rsid w:val="00493365"/>
    <w:rsid w:val="00494716"/>
    <w:rsid w:val="00495D3B"/>
    <w:rsid w:val="004972FA"/>
    <w:rsid w:val="00497335"/>
    <w:rsid w:val="004A0FC4"/>
    <w:rsid w:val="004A3663"/>
    <w:rsid w:val="004A7C44"/>
    <w:rsid w:val="004B0398"/>
    <w:rsid w:val="004B7853"/>
    <w:rsid w:val="004D01D5"/>
    <w:rsid w:val="004E3592"/>
    <w:rsid w:val="004E5D30"/>
    <w:rsid w:val="004F1ACD"/>
    <w:rsid w:val="005032A6"/>
    <w:rsid w:val="00516BFA"/>
    <w:rsid w:val="00520DF8"/>
    <w:rsid w:val="005216E6"/>
    <w:rsid w:val="005271F7"/>
    <w:rsid w:val="00527339"/>
    <w:rsid w:val="00527922"/>
    <w:rsid w:val="00536F87"/>
    <w:rsid w:val="00556531"/>
    <w:rsid w:val="00571506"/>
    <w:rsid w:val="0057246C"/>
    <w:rsid w:val="00574331"/>
    <w:rsid w:val="00584549"/>
    <w:rsid w:val="005855B8"/>
    <w:rsid w:val="005914A1"/>
    <w:rsid w:val="00594739"/>
    <w:rsid w:val="005A22D2"/>
    <w:rsid w:val="005A54E6"/>
    <w:rsid w:val="005A79F0"/>
    <w:rsid w:val="005B0B97"/>
    <w:rsid w:val="005B244B"/>
    <w:rsid w:val="005B56A3"/>
    <w:rsid w:val="005B6A44"/>
    <w:rsid w:val="005C61EF"/>
    <w:rsid w:val="005D5810"/>
    <w:rsid w:val="005E085D"/>
    <w:rsid w:val="005E1FD1"/>
    <w:rsid w:val="00600C67"/>
    <w:rsid w:val="00603481"/>
    <w:rsid w:val="006055CC"/>
    <w:rsid w:val="006056C0"/>
    <w:rsid w:val="006102A3"/>
    <w:rsid w:val="00614621"/>
    <w:rsid w:val="0062716F"/>
    <w:rsid w:val="006326BF"/>
    <w:rsid w:val="00635EE5"/>
    <w:rsid w:val="00637077"/>
    <w:rsid w:val="006509B5"/>
    <w:rsid w:val="0065115F"/>
    <w:rsid w:val="006553FE"/>
    <w:rsid w:val="00661497"/>
    <w:rsid w:val="00664665"/>
    <w:rsid w:val="00671552"/>
    <w:rsid w:val="0068252E"/>
    <w:rsid w:val="00684A20"/>
    <w:rsid w:val="00692C72"/>
    <w:rsid w:val="00693BD9"/>
    <w:rsid w:val="006A233F"/>
    <w:rsid w:val="006A7D71"/>
    <w:rsid w:val="006B1E44"/>
    <w:rsid w:val="006D0754"/>
    <w:rsid w:val="006D1192"/>
    <w:rsid w:val="006D5510"/>
    <w:rsid w:val="006E242F"/>
    <w:rsid w:val="006E477A"/>
    <w:rsid w:val="006F466F"/>
    <w:rsid w:val="006F5404"/>
    <w:rsid w:val="00703F63"/>
    <w:rsid w:val="007066CA"/>
    <w:rsid w:val="0071693A"/>
    <w:rsid w:val="00726944"/>
    <w:rsid w:val="0073176E"/>
    <w:rsid w:val="00735A35"/>
    <w:rsid w:val="00746B0E"/>
    <w:rsid w:val="00751014"/>
    <w:rsid w:val="00751E6A"/>
    <w:rsid w:val="00752275"/>
    <w:rsid w:val="00752A47"/>
    <w:rsid w:val="007619AE"/>
    <w:rsid w:val="0078177E"/>
    <w:rsid w:val="0078262C"/>
    <w:rsid w:val="00785068"/>
    <w:rsid w:val="007953A7"/>
    <w:rsid w:val="00796609"/>
    <w:rsid w:val="007A43CB"/>
    <w:rsid w:val="007A48A4"/>
    <w:rsid w:val="007B28E0"/>
    <w:rsid w:val="007B3640"/>
    <w:rsid w:val="007B6A42"/>
    <w:rsid w:val="007C3C49"/>
    <w:rsid w:val="007C4CD7"/>
    <w:rsid w:val="007C6A60"/>
    <w:rsid w:val="007C7E65"/>
    <w:rsid w:val="007D0DA6"/>
    <w:rsid w:val="007D1A41"/>
    <w:rsid w:val="007D38CA"/>
    <w:rsid w:val="007D7B7B"/>
    <w:rsid w:val="007E3B14"/>
    <w:rsid w:val="007E5719"/>
    <w:rsid w:val="007F0BEE"/>
    <w:rsid w:val="007F5D10"/>
    <w:rsid w:val="00805939"/>
    <w:rsid w:val="00805B3F"/>
    <w:rsid w:val="008345A2"/>
    <w:rsid w:val="00834E2F"/>
    <w:rsid w:val="00840BC2"/>
    <w:rsid w:val="00842C72"/>
    <w:rsid w:val="0084507C"/>
    <w:rsid w:val="0085329A"/>
    <w:rsid w:val="00860827"/>
    <w:rsid w:val="00860837"/>
    <w:rsid w:val="00861739"/>
    <w:rsid w:val="00863548"/>
    <w:rsid w:val="00865CEB"/>
    <w:rsid w:val="008703C6"/>
    <w:rsid w:val="008768E7"/>
    <w:rsid w:val="008839BE"/>
    <w:rsid w:val="008847E0"/>
    <w:rsid w:val="00885D13"/>
    <w:rsid w:val="00885ECA"/>
    <w:rsid w:val="00895679"/>
    <w:rsid w:val="008A4449"/>
    <w:rsid w:val="008A5214"/>
    <w:rsid w:val="008B0C36"/>
    <w:rsid w:val="008B2730"/>
    <w:rsid w:val="008C3F61"/>
    <w:rsid w:val="008D46E7"/>
    <w:rsid w:val="008D6375"/>
    <w:rsid w:val="008D7590"/>
    <w:rsid w:val="008E7399"/>
    <w:rsid w:val="008F2551"/>
    <w:rsid w:val="00910301"/>
    <w:rsid w:val="00911A58"/>
    <w:rsid w:val="00916931"/>
    <w:rsid w:val="0092343D"/>
    <w:rsid w:val="00927562"/>
    <w:rsid w:val="009434F9"/>
    <w:rsid w:val="0094474E"/>
    <w:rsid w:val="00944B53"/>
    <w:rsid w:val="00953D38"/>
    <w:rsid w:val="009562D6"/>
    <w:rsid w:val="009760CE"/>
    <w:rsid w:val="00997E28"/>
    <w:rsid w:val="009B1359"/>
    <w:rsid w:val="009C1846"/>
    <w:rsid w:val="009C1C4C"/>
    <w:rsid w:val="009C62ED"/>
    <w:rsid w:val="009D77B3"/>
    <w:rsid w:val="009F376C"/>
    <w:rsid w:val="009F7BFD"/>
    <w:rsid w:val="00A01514"/>
    <w:rsid w:val="00A015DA"/>
    <w:rsid w:val="00A04CF5"/>
    <w:rsid w:val="00A1017F"/>
    <w:rsid w:val="00A108FF"/>
    <w:rsid w:val="00A179F2"/>
    <w:rsid w:val="00A20C05"/>
    <w:rsid w:val="00A2582F"/>
    <w:rsid w:val="00A26B8C"/>
    <w:rsid w:val="00A357D3"/>
    <w:rsid w:val="00A35B48"/>
    <w:rsid w:val="00A5428B"/>
    <w:rsid w:val="00A61ECA"/>
    <w:rsid w:val="00A718CE"/>
    <w:rsid w:val="00A77005"/>
    <w:rsid w:val="00A838C6"/>
    <w:rsid w:val="00A84CB3"/>
    <w:rsid w:val="00A8551E"/>
    <w:rsid w:val="00AB25B1"/>
    <w:rsid w:val="00AB6755"/>
    <w:rsid w:val="00AC07F4"/>
    <w:rsid w:val="00AC5883"/>
    <w:rsid w:val="00AE065E"/>
    <w:rsid w:val="00AE0A52"/>
    <w:rsid w:val="00AF18DF"/>
    <w:rsid w:val="00AF4220"/>
    <w:rsid w:val="00AF6BA1"/>
    <w:rsid w:val="00B01166"/>
    <w:rsid w:val="00B02634"/>
    <w:rsid w:val="00B0296C"/>
    <w:rsid w:val="00B1213D"/>
    <w:rsid w:val="00B14F72"/>
    <w:rsid w:val="00B2678B"/>
    <w:rsid w:val="00B43646"/>
    <w:rsid w:val="00B46447"/>
    <w:rsid w:val="00B47F6D"/>
    <w:rsid w:val="00B570AD"/>
    <w:rsid w:val="00B57364"/>
    <w:rsid w:val="00B575F5"/>
    <w:rsid w:val="00B80E13"/>
    <w:rsid w:val="00B8775B"/>
    <w:rsid w:val="00B92132"/>
    <w:rsid w:val="00B92585"/>
    <w:rsid w:val="00B96FE6"/>
    <w:rsid w:val="00BA2B93"/>
    <w:rsid w:val="00BA720A"/>
    <w:rsid w:val="00BB7477"/>
    <w:rsid w:val="00BB7EC6"/>
    <w:rsid w:val="00BC24FE"/>
    <w:rsid w:val="00BD1DD8"/>
    <w:rsid w:val="00BD45B9"/>
    <w:rsid w:val="00BE0681"/>
    <w:rsid w:val="00BE0BFD"/>
    <w:rsid w:val="00BE1308"/>
    <w:rsid w:val="00BE36B9"/>
    <w:rsid w:val="00BF2509"/>
    <w:rsid w:val="00C015D3"/>
    <w:rsid w:val="00C07C68"/>
    <w:rsid w:val="00C17A35"/>
    <w:rsid w:val="00C26270"/>
    <w:rsid w:val="00C31E1D"/>
    <w:rsid w:val="00C326C2"/>
    <w:rsid w:val="00C33E09"/>
    <w:rsid w:val="00C33F6F"/>
    <w:rsid w:val="00C54864"/>
    <w:rsid w:val="00C668C2"/>
    <w:rsid w:val="00C707DF"/>
    <w:rsid w:val="00C80433"/>
    <w:rsid w:val="00C8337C"/>
    <w:rsid w:val="00C84C6F"/>
    <w:rsid w:val="00C928F2"/>
    <w:rsid w:val="00C93CD4"/>
    <w:rsid w:val="00C940B6"/>
    <w:rsid w:val="00C971FC"/>
    <w:rsid w:val="00CA4FCE"/>
    <w:rsid w:val="00CA6C9D"/>
    <w:rsid w:val="00CB2756"/>
    <w:rsid w:val="00CB52D2"/>
    <w:rsid w:val="00CD4BE1"/>
    <w:rsid w:val="00CD5AE2"/>
    <w:rsid w:val="00CD6047"/>
    <w:rsid w:val="00D06451"/>
    <w:rsid w:val="00D20D84"/>
    <w:rsid w:val="00D214AD"/>
    <w:rsid w:val="00D22230"/>
    <w:rsid w:val="00D23E66"/>
    <w:rsid w:val="00D2786D"/>
    <w:rsid w:val="00D32BA8"/>
    <w:rsid w:val="00D354A8"/>
    <w:rsid w:val="00D42B22"/>
    <w:rsid w:val="00D439AA"/>
    <w:rsid w:val="00D45094"/>
    <w:rsid w:val="00D46ECF"/>
    <w:rsid w:val="00D5272E"/>
    <w:rsid w:val="00D549C1"/>
    <w:rsid w:val="00D6195A"/>
    <w:rsid w:val="00D657AB"/>
    <w:rsid w:val="00D6766B"/>
    <w:rsid w:val="00D76B85"/>
    <w:rsid w:val="00D81070"/>
    <w:rsid w:val="00D945DF"/>
    <w:rsid w:val="00DA1CA8"/>
    <w:rsid w:val="00DA4952"/>
    <w:rsid w:val="00DA7E94"/>
    <w:rsid w:val="00DB154E"/>
    <w:rsid w:val="00DB2044"/>
    <w:rsid w:val="00DC7246"/>
    <w:rsid w:val="00DC797F"/>
    <w:rsid w:val="00DD00C6"/>
    <w:rsid w:val="00DD096C"/>
    <w:rsid w:val="00DD110C"/>
    <w:rsid w:val="00DD369E"/>
    <w:rsid w:val="00DD7E19"/>
    <w:rsid w:val="00DE116B"/>
    <w:rsid w:val="00DE15B7"/>
    <w:rsid w:val="00DE1E16"/>
    <w:rsid w:val="00DE32D7"/>
    <w:rsid w:val="00DE36E1"/>
    <w:rsid w:val="00DF1147"/>
    <w:rsid w:val="00DF72DA"/>
    <w:rsid w:val="00E0171E"/>
    <w:rsid w:val="00E1251E"/>
    <w:rsid w:val="00E24C57"/>
    <w:rsid w:val="00E26342"/>
    <w:rsid w:val="00E32608"/>
    <w:rsid w:val="00E33AA0"/>
    <w:rsid w:val="00E3406D"/>
    <w:rsid w:val="00E41341"/>
    <w:rsid w:val="00E66DD5"/>
    <w:rsid w:val="00E75A75"/>
    <w:rsid w:val="00E930C3"/>
    <w:rsid w:val="00EA3487"/>
    <w:rsid w:val="00EA467D"/>
    <w:rsid w:val="00EA5AB2"/>
    <w:rsid w:val="00EB19FB"/>
    <w:rsid w:val="00EB3C12"/>
    <w:rsid w:val="00EB6074"/>
    <w:rsid w:val="00ED7AED"/>
    <w:rsid w:val="00EE03CD"/>
    <w:rsid w:val="00EE7E3F"/>
    <w:rsid w:val="00EF1FED"/>
    <w:rsid w:val="00EF5C10"/>
    <w:rsid w:val="00F13279"/>
    <w:rsid w:val="00F15C24"/>
    <w:rsid w:val="00F24302"/>
    <w:rsid w:val="00F30A4A"/>
    <w:rsid w:val="00F3265D"/>
    <w:rsid w:val="00F5131D"/>
    <w:rsid w:val="00F53155"/>
    <w:rsid w:val="00F538C9"/>
    <w:rsid w:val="00F53FCC"/>
    <w:rsid w:val="00F5613F"/>
    <w:rsid w:val="00F60E47"/>
    <w:rsid w:val="00F65426"/>
    <w:rsid w:val="00F71BE8"/>
    <w:rsid w:val="00F76C97"/>
    <w:rsid w:val="00F819A6"/>
    <w:rsid w:val="00F85FF6"/>
    <w:rsid w:val="00F94D1C"/>
    <w:rsid w:val="00F97942"/>
    <w:rsid w:val="00FA167E"/>
    <w:rsid w:val="00FB435D"/>
    <w:rsid w:val="00FB581D"/>
    <w:rsid w:val="00FC0524"/>
    <w:rsid w:val="00FC1282"/>
    <w:rsid w:val="00FC2DEC"/>
    <w:rsid w:val="00FD1E7D"/>
    <w:rsid w:val="00FD40A6"/>
    <w:rsid w:val="00FD4191"/>
    <w:rsid w:val="00FE11A5"/>
    <w:rsid w:val="00FF3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numbering" w:customStyle="1" w:styleId="Listaactual1">
    <w:name w:val="Lista actual1"/>
    <w:uiPriority w:val="99"/>
    <w:rsid w:val="0036445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9443">
      <w:bodyDiv w:val="1"/>
      <w:marLeft w:val="0"/>
      <w:marRight w:val="0"/>
      <w:marTop w:val="0"/>
      <w:marBottom w:val="0"/>
      <w:divBdr>
        <w:top w:val="none" w:sz="0" w:space="0" w:color="auto"/>
        <w:left w:val="none" w:sz="0" w:space="0" w:color="auto"/>
        <w:bottom w:val="none" w:sz="0" w:space="0" w:color="auto"/>
        <w:right w:val="none" w:sz="0" w:space="0" w:color="auto"/>
      </w:divBdr>
    </w:div>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514655642">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829252830">
      <w:bodyDiv w:val="1"/>
      <w:marLeft w:val="0"/>
      <w:marRight w:val="0"/>
      <w:marTop w:val="0"/>
      <w:marBottom w:val="0"/>
      <w:divBdr>
        <w:top w:val="none" w:sz="0" w:space="0" w:color="auto"/>
        <w:left w:val="none" w:sz="0" w:space="0" w:color="auto"/>
        <w:bottom w:val="none" w:sz="0" w:space="0" w:color="auto"/>
        <w:right w:val="none" w:sz="0" w:space="0" w:color="auto"/>
      </w:divBdr>
    </w:div>
    <w:div w:id="849367591">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017655257">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261253854">
      <w:bodyDiv w:val="1"/>
      <w:marLeft w:val="0"/>
      <w:marRight w:val="0"/>
      <w:marTop w:val="0"/>
      <w:marBottom w:val="0"/>
      <w:divBdr>
        <w:top w:val="none" w:sz="0" w:space="0" w:color="auto"/>
        <w:left w:val="none" w:sz="0" w:space="0" w:color="auto"/>
        <w:bottom w:val="none" w:sz="0" w:space="0" w:color="auto"/>
        <w:right w:val="none" w:sz="0" w:space="0" w:color="auto"/>
      </w:divBdr>
    </w:div>
    <w:div w:id="1410498303">
      <w:bodyDiv w:val="1"/>
      <w:marLeft w:val="0"/>
      <w:marRight w:val="0"/>
      <w:marTop w:val="0"/>
      <w:marBottom w:val="0"/>
      <w:divBdr>
        <w:top w:val="none" w:sz="0" w:space="0" w:color="auto"/>
        <w:left w:val="none" w:sz="0" w:space="0" w:color="auto"/>
        <w:bottom w:val="none" w:sz="0" w:space="0" w:color="auto"/>
        <w:right w:val="none" w:sz="0" w:space="0" w:color="auto"/>
      </w:divBdr>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1838694441">
      <w:bodyDiv w:val="1"/>
      <w:marLeft w:val="0"/>
      <w:marRight w:val="0"/>
      <w:marTop w:val="0"/>
      <w:marBottom w:val="0"/>
      <w:divBdr>
        <w:top w:val="none" w:sz="0" w:space="0" w:color="auto"/>
        <w:left w:val="none" w:sz="0" w:space="0" w:color="auto"/>
        <w:bottom w:val="none" w:sz="0" w:space="0" w:color="auto"/>
        <w:right w:val="none" w:sz="0" w:space="0" w:color="auto"/>
      </w:divBdr>
    </w:div>
    <w:div w:id="1975330693">
      <w:bodyDiv w:val="1"/>
      <w:marLeft w:val="0"/>
      <w:marRight w:val="0"/>
      <w:marTop w:val="0"/>
      <w:marBottom w:val="0"/>
      <w:divBdr>
        <w:top w:val="none" w:sz="0" w:space="0" w:color="auto"/>
        <w:left w:val="none" w:sz="0" w:space="0" w:color="auto"/>
        <w:bottom w:val="none" w:sz="0" w:space="0" w:color="auto"/>
        <w:right w:val="none" w:sz="0" w:space="0" w:color="auto"/>
      </w:divBdr>
      <w:divsChild>
        <w:div w:id="1774935043">
          <w:marLeft w:val="547"/>
          <w:marRight w:val="0"/>
          <w:marTop w:val="0"/>
          <w:marBottom w:val="200"/>
          <w:divBdr>
            <w:top w:val="none" w:sz="0" w:space="0" w:color="auto"/>
            <w:left w:val="none" w:sz="0" w:space="0" w:color="auto"/>
            <w:bottom w:val="none" w:sz="0" w:space="0" w:color="auto"/>
            <w:right w:val="none" w:sz="0" w:space="0" w:color="auto"/>
          </w:divBdr>
        </w:div>
        <w:div w:id="682633463">
          <w:marLeft w:val="547"/>
          <w:marRight w:val="0"/>
          <w:marTop w:val="0"/>
          <w:marBottom w:val="200"/>
          <w:divBdr>
            <w:top w:val="none" w:sz="0" w:space="0" w:color="auto"/>
            <w:left w:val="none" w:sz="0" w:space="0" w:color="auto"/>
            <w:bottom w:val="none" w:sz="0" w:space="0" w:color="auto"/>
            <w:right w:val="none" w:sz="0" w:space="0" w:color="auto"/>
          </w:divBdr>
        </w:div>
        <w:div w:id="999232160">
          <w:marLeft w:val="547"/>
          <w:marRight w:val="0"/>
          <w:marTop w:val="0"/>
          <w:marBottom w:val="200"/>
          <w:divBdr>
            <w:top w:val="none" w:sz="0" w:space="0" w:color="auto"/>
            <w:left w:val="none" w:sz="0" w:space="0" w:color="auto"/>
            <w:bottom w:val="none" w:sz="0" w:space="0" w:color="auto"/>
            <w:right w:val="none" w:sz="0" w:space="0" w:color="auto"/>
          </w:divBdr>
        </w:div>
        <w:div w:id="683019416">
          <w:marLeft w:val="547"/>
          <w:marRight w:val="0"/>
          <w:marTop w:val="0"/>
          <w:marBottom w:val="200"/>
          <w:divBdr>
            <w:top w:val="none" w:sz="0" w:space="0" w:color="auto"/>
            <w:left w:val="none" w:sz="0" w:space="0" w:color="auto"/>
            <w:bottom w:val="none" w:sz="0" w:space="0" w:color="auto"/>
            <w:right w:val="none" w:sz="0" w:space="0" w:color="auto"/>
          </w:divBdr>
        </w:div>
        <w:div w:id="1654680088">
          <w:marLeft w:val="547"/>
          <w:marRight w:val="0"/>
          <w:marTop w:val="0"/>
          <w:marBottom w:val="200"/>
          <w:divBdr>
            <w:top w:val="none" w:sz="0" w:space="0" w:color="auto"/>
            <w:left w:val="none" w:sz="0" w:space="0" w:color="auto"/>
            <w:bottom w:val="none" w:sz="0" w:space="0" w:color="auto"/>
            <w:right w:val="none" w:sz="0" w:space="0" w:color="auto"/>
          </w:divBdr>
        </w:div>
        <w:div w:id="1251740719">
          <w:marLeft w:val="547"/>
          <w:marRight w:val="0"/>
          <w:marTop w:val="0"/>
          <w:marBottom w:val="200"/>
          <w:divBdr>
            <w:top w:val="none" w:sz="0" w:space="0" w:color="auto"/>
            <w:left w:val="none" w:sz="0" w:space="0" w:color="auto"/>
            <w:bottom w:val="none" w:sz="0" w:space="0" w:color="auto"/>
            <w:right w:val="none" w:sz="0" w:space="0" w:color="auto"/>
          </w:divBdr>
        </w:div>
        <w:div w:id="249972180">
          <w:marLeft w:val="547"/>
          <w:marRight w:val="0"/>
          <w:marTop w:val="0"/>
          <w:marBottom w:val="200"/>
          <w:divBdr>
            <w:top w:val="none" w:sz="0" w:space="0" w:color="auto"/>
            <w:left w:val="none" w:sz="0" w:space="0" w:color="auto"/>
            <w:bottom w:val="none" w:sz="0" w:space="0" w:color="auto"/>
            <w:right w:val="none" w:sz="0" w:space="0" w:color="auto"/>
          </w:divBdr>
        </w:div>
        <w:div w:id="534924223">
          <w:marLeft w:val="547"/>
          <w:marRight w:val="0"/>
          <w:marTop w:val="0"/>
          <w:marBottom w:val="200"/>
          <w:divBdr>
            <w:top w:val="none" w:sz="0" w:space="0" w:color="auto"/>
            <w:left w:val="none" w:sz="0" w:space="0" w:color="auto"/>
            <w:bottom w:val="none" w:sz="0" w:space="0" w:color="auto"/>
            <w:right w:val="none" w:sz="0" w:space="0" w:color="auto"/>
          </w:divBdr>
        </w:div>
      </w:divsChild>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2611FFF4-FEC4-4E98-BC51-303EA23F56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1572</Words>
  <Characters>8651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2022-02-03T12:52:00Z</dcterms:created>
  <dcterms:modified xsi:type="dcterms:W3CDTF">2022-02-03T12:52:00Z</dcterms:modified>
</cp:coreProperties>
</file>