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A202C" w14:textId="6B7D5819" w:rsidR="00112C06" w:rsidRPr="00D3052A" w:rsidRDefault="00112C06" w:rsidP="00556094">
      <w:pPr>
        <w:pStyle w:val="Ttulo"/>
        <w:jc w:val="center"/>
        <w:rPr>
          <w:rFonts w:ascii="Verdana" w:eastAsia="Verdana" w:hAnsi="Verdana" w:cs="Verdana"/>
          <w:b/>
          <w:sz w:val="32"/>
          <w:szCs w:val="32"/>
        </w:rPr>
      </w:pPr>
      <w:r w:rsidRPr="00D3052A">
        <w:rPr>
          <w:rFonts w:ascii="Verdana" w:eastAsia="Verdana" w:hAnsi="Verdana" w:cs="Verdana"/>
          <w:b/>
          <w:sz w:val="32"/>
          <w:szCs w:val="32"/>
        </w:rPr>
        <w:t xml:space="preserve">INFORME CNO </w:t>
      </w:r>
      <w:r w:rsidR="00D435B7">
        <w:rPr>
          <w:rFonts w:ascii="Verdana" w:eastAsia="Verdana" w:hAnsi="Verdana" w:cs="Verdana"/>
          <w:b/>
          <w:sz w:val="32"/>
          <w:szCs w:val="32"/>
        </w:rPr>
        <w:t>629</w:t>
      </w:r>
    </w:p>
    <w:p w14:paraId="2938B4BE" w14:textId="77777777" w:rsidR="0078364C" w:rsidRPr="00D3052A" w:rsidRDefault="0078364C" w:rsidP="00556094">
      <w:pPr>
        <w:jc w:val="both"/>
        <w:rPr>
          <w:rFonts w:ascii="Verdana" w:eastAsia="Verdana" w:hAnsi="Verdana" w:cs="Verdana"/>
          <w:sz w:val="22"/>
          <w:szCs w:val="22"/>
        </w:rPr>
      </w:pPr>
    </w:p>
    <w:p w14:paraId="457FA286" w14:textId="0079A4D8" w:rsidR="00D3052A" w:rsidRDefault="00112C06" w:rsidP="00303520">
      <w:pPr>
        <w:jc w:val="both"/>
        <w:rPr>
          <w:rFonts w:ascii="Verdana" w:eastAsia="Verdana" w:hAnsi="Verdana" w:cs="Verdana"/>
          <w:sz w:val="22"/>
          <w:szCs w:val="22"/>
        </w:rPr>
      </w:pPr>
      <w:r w:rsidRPr="00D3052A">
        <w:rPr>
          <w:rFonts w:ascii="Verdana" w:eastAsia="Verdana" w:hAnsi="Verdana" w:cs="Verdana"/>
          <w:sz w:val="22"/>
          <w:szCs w:val="22"/>
        </w:rPr>
        <w:t xml:space="preserve">Fecha: </w:t>
      </w:r>
      <w:r w:rsidR="0057254E">
        <w:rPr>
          <w:rFonts w:ascii="Verdana" w:eastAsia="Verdana" w:hAnsi="Verdana" w:cs="Verdana"/>
          <w:sz w:val="22"/>
          <w:szCs w:val="22"/>
        </w:rPr>
        <w:t xml:space="preserve"> </w:t>
      </w:r>
      <w:r w:rsidR="00D435B7">
        <w:rPr>
          <w:rFonts w:ascii="Verdana" w:eastAsia="Verdana" w:hAnsi="Verdana" w:cs="Verdana"/>
          <w:sz w:val="22"/>
          <w:szCs w:val="22"/>
        </w:rPr>
        <w:t xml:space="preserve">febrero </w:t>
      </w:r>
      <w:r w:rsidR="0057254E">
        <w:rPr>
          <w:rFonts w:ascii="Verdana" w:eastAsia="Verdana" w:hAnsi="Verdana" w:cs="Verdana"/>
          <w:sz w:val="22"/>
          <w:szCs w:val="22"/>
        </w:rPr>
        <w:t>4 de 2021</w:t>
      </w:r>
      <w:r w:rsidRPr="00D3052A">
        <w:rPr>
          <w:rFonts w:ascii="Verdana" w:eastAsia="Verdana" w:hAnsi="Verdana" w:cs="Verdana"/>
          <w:sz w:val="22"/>
          <w:szCs w:val="22"/>
        </w:rPr>
        <w:t>.</w:t>
      </w:r>
    </w:p>
    <w:p w14:paraId="40A9B7ED" w14:textId="53C72D21" w:rsidR="00303520" w:rsidRDefault="00303520" w:rsidP="00303520">
      <w:pPr>
        <w:jc w:val="both"/>
        <w:rPr>
          <w:rFonts w:ascii="Verdana" w:eastAsia="Verdana" w:hAnsi="Verdana" w:cs="Verdana"/>
          <w:sz w:val="22"/>
          <w:szCs w:val="22"/>
        </w:rPr>
      </w:pPr>
    </w:p>
    <w:p w14:paraId="1B1B2A26" w14:textId="57B70CAD" w:rsidR="009D2922" w:rsidRPr="00E801AF" w:rsidRDefault="009D2922" w:rsidP="00E801AF">
      <w:pPr>
        <w:jc w:val="both"/>
        <w:rPr>
          <w:rFonts w:ascii="Verdana" w:eastAsia="Verdana" w:hAnsi="Verdana" w:cs="Verdana"/>
          <w:b/>
          <w:bCs/>
          <w:sz w:val="22"/>
          <w:szCs w:val="22"/>
          <w:u w:val="single"/>
        </w:rPr>
      </w:pPr>
      <w:r w:rsidRPr="00E801AF">
        <w:rPr>
          <w:rFonts w:ascii="Verdana" w:eastAsia="Verdana" w:hAnsi="Verdana" w:cs="Verdana"/>
          <w:b/>
          <w:bCs/>
          <w:sz w:val="22"/>
          <w:szCs w:val="22"/>
          <w:u w:val="single"/>
        </w:rPr>
        <w:t>Aspectos Administrativos:</w:t>
      </w:r>
    </w:p>
    <w:p w14:paraId="3E5B0EE9" w14:textId="4657C4AE" w:rsidR="00B9267A" w:rsidRDefault="00B9267A" w:rsidP="006B6E22">
      <w:pPr>
        <w:pStyle w:val="Prrafodelista"/>
        <w:ind w:left="360"/>
        <w:jc w:val="both"/>
        <w:rPr>
          <w:rFonts w:ascii="Verdana" w:hAnsi="Verdana"/>
          <w:bCs/>
          <w:sz w:val="22"/>
          <w:szCs w:val="22"/>
        </w:rPr>
      </w:pPr>
    </w:p>
    <w:p w14:paraId="131FE629" w14:textId="16266F58" w:rsidR="00397EB1" w:rsidRDefault="00397EB1" w:rsidP="00397EB1">
      <w:pPr>
        <w:pStyle w:val="Prrafodelista"/>
        <w:numPr>
          <w:ilvl w:val="0"/>
          <w:numId w:val="4"/>
        </w:numPr>
        <w:jc w:val="both"/>
        <w:rPr>
          <w:rFonts w:ascii="Verdana" w:hAnsi="Verdana"/>
          <w:bCs/>
          <w:sz w:val="22"/>
          <w:szCs w:val="22"/>
        </w:rPr>
      </w:pPr>
      <w:r w:rsidRPr="00397EB1">
        <w:rPr>
          <w:rFonts w:ascii="Verdana" w:hAnsi="Verdana"/>
          <w:bCs/>
          <w:sz w:val="22"/>
          <w:szCs w:val="22"/>
        </w:rPr>
        <w:t xml:space="preserve">Se presenta la propuesta de priorización de los temas que resultaron del Taller del CNO con Governance Consultants. Se propone la conformación de grupos de trabajo del </w:t>
      </w:r>
      <w:r>
        <w:rPr>
          <w:rFonts w:ascii="Verdana" w:hAnsi="Verdana"/>
          <w:bCs/>
          <w:sz w:val="22"/>
          <w:szCs w:val="22"/>
        </w:rPr>
        <w:t>Consejo,</w:t>
      </w:r>
      <w:r w:rsidRPr="00397EB1">
        <w:rPr>
          <w:rFonts w:ascii="Verdana" w:hAnsi="Verdana"/>
          <w:bCs/>
          <w:sz w:val="22"/>
          <w:szCs w:val="22"/>
        </w:rPr>
        <w:t xml:space="preserve"> que trabajen y desarrollen l</w:t>
      </w:r>
      <w:r w:rsidR="001D6412">
        <w:rPr>
          <w:rFonts w:ascii="Verdana" w:hAnsi="Verdana"/>
          <w:bCs/>
          <w:sz w:val="22"/>
          <w:szCs w:val="22"/>
        </w:rPr>
        <w:t>as acciones y lo</w:t>
      </w:r>
      <w:r w:rsidRPr="00397EB1">
        <w:rPr>
          <w:rFonts w:ascii="Verdana" w:hAnsi="Verdana"/>
          <w:bCs/>
          <w:sz w:val="22"/>
          <w:szCs w:val="22"/>
        </w:rPr>
        <w:t xml:space="preserve">s documentos de implementación de cada uno de </w:t>
      </w:r>
      <w:r w:rsidR="001D6412">
        <w:rPr>
          <w:rFonts w:ascii="Verdana" w:hAnsi="Verdana"/>
          <w:bCs/>
          <w:sz w:val="22"/>
          <w:szCs w:val="22"/>
        </w:rPr>
        <w:t>l</w:t>
      </w:r>
      <w:r w:rsidRPr="00397EB1">
        <w:rPr>
          <w:rFonts w:ascii="Verdana" w:hAnsi="Verdana"/>
          <w:bCs/>
          <w:sz w:val="22"/>
          <w:szCs w:val="22"/>
        </w:rPr>
        <w:t>os ejes estratégicos.</w:t>
      </w:r>
    </w:p>
    <w:p w14:paraId="55B871F0" w14:textId="77777777" w:rsidR="00397EB1" w:rsidRPr="00397EB1" w:rsidRDefault="00397EB1" w:rsidP="00601C70">
      <w:pPr>
        <w:pStyle w:val="Prrafodelista"/>
        <w:ind w:left="360"/>
        <w:jc w:val="both"/>
        <w:rPr>
          <w:rFonts w:ascii="Verdana" w:hAnsi="Verdana"/>
          <w:bCs/>
          <w:sz w:val="22"/>
          <w:szCs w:val="22"/>
        </w:rPr>
      </w:pPr>
    </w:p>
    <w:p w14:paraId="7AC1346B" w14:textId="55ABAC07" w:rsidR="00397EB1" w:rsidRDefault="00397EB1">
      <w:pPr>
        <w:pStyle w:val="Prrafodelista"/>
        <w:numPr>
          <w:ilvl w:val="0"/>
          <w:numId w:val="4"/>
        </w:numPr>
        <w:jc w:val="both"/>
        <w:rPr>
          <w:rFonts w:ascii="Verdana" w:hAnsi="Verdana"/>
          <w:bCs/>
          <w:sz w:val="22"/>
          <w:szCs w:val="22"/>
        </w:rPr>
      </w:pPr>
      <w:r>
        <w:rPr>
          <w:rFonts w:ascii="Verdana" w:hAnsi="Verdana"/>
          <w:bCs/>
          <w:sz w:val="22"/>
          <w:szCs w:val="22"/>
        </w:rPr>
        <w:t>Se</w:t>
      </w:r>
      <w:r w:rsidRPr="00886CFD">
        <w:rPr>
          <w:rFonts w:ascii="Verdana" w:hAnsi="Verdana"/>
          <w:bCs/>
          <w:sz w:val="22"/>
          <w:szCs w:val="22"/>
        </w:rPr>
        <w:t xml:space="preserve"> </w:t>
      </w:r>
      <w:r w:rsidR="001D6412">
        <w:rPr>
          <w:rFonts w:ascii="Verdana" w:hAnsi="Verdana"/>
          <w:bCs/>
          <w:sz w:val="22"/>
          <w:szCs w:val="22"/>
        </w:rPr>
        <w:t>termin</w:t>
      </w:r>
      <w:r>
        <w:rPr>
          <w:rFonts w:ascii="Verdana" w:hAnsi="Verdana"/>
          <w:bCs/>
          <w:sz w:val="22"/>
          <w:szCs w:val="22"/>
        </w:rPr>
        <w:t>ó</w:t>
      </w:r>
      <w:r w:rsidRPr="00886CFD">
        <w:rPr>
          <w:rFonts w:ascii="Verdana" w:hAnsi="Verdana"/>
          <w:bCs/>
          <w:sz w:val="22"/>
          <w:szCs w:val="22"/>
        </w:rPr>
        <w:t xml:space="preserve"> el proceso de inducción </w:t>
      </w:r>
      <w:r w:rsidR="001D6412">
        <w:rPr>
          <w:rFonts w:ascii="Verdana" w:hAnsi="Verdana"/>
          <w:bCs/>
          <w:sz w:val="22"/>
          <w:szCs w:val="22"/>
        </w:rPr>
        <w:t xml:space="preserve">de los comités y subcomités, </w:t>
      </w:r>
      <w:r w:rsidRPr="00886CFD">
        <w:rPr>
          <w:rFonts w:ascii="Verdana" w:hAnsi="Verdana"/>
          <w:bCs/>
          <w:sz w:val="22"/>
          <w:szCs w:val="22"/>
        </w:rPr>
        <w:t xml:space="preserve">en </w:t>
      </w:r>
      <w:r w:rsidR="001D6412">
        <w:rPr>
          <w:rFonts w:ascii="Verdana" w:hAnsi="Verdana"/>
          <w:bCs/>
          <w:sz w:val="22"/>
          <w:szCs w:val="22"/>
        </w:rPr>
        <w:t xml:space="preserve">los principales aspectos legales y administrativos del CNO. Adicionalmente se hizo un ejercicio de </w:t>
      </w:r>
      <w:r w:rsidRPr="00886CFD">
        <w:rPr>
          <w:rFonts w:ascii="Verdana" w:hAnsi="Verdana"/>
          <w:bCs/>
          <w:sz w:val="22"/>
          <w:szCs w:val="22"/>
        </w:rPr>
        <w:t xml:space="preserve">autoevaluación. Los resultados </w:t>
      </w:r>
      <w:r w:rsidR="00415064">
        <w:rPr>
          <w:rFonts w:ascii="Verdana" w:hAnsi="Verdana"/>
          <w:bCs/>
          <w:sz w:val="22"/>
          <w:szCs w:val="22"/>
        </w:rPr>
        <w:t xml:space="preserve">completos </w:t>
      </w:r>
      <w:r w:rsidRPr="00886CFD">
        <w:rPr>
          <w:rFonts w:ascii="Verdana" w:hAnsi="Verdana"/>
          <w:bCs/>
          <w:sz w:val="22"/>
          <w:szCs w:val="22"/>
        </w:rPr>
        <w:t xml:space="preserve">de esta actividad se presentan </w:t>
      </w:r>
      <w:r w:rsidR="001D6412">
        <w:rPr>
          <w:rFonts w:ascii="Verdana" w:hAnsi="Verdana"/>
          <w:bCs/>
          <w:sz w:val="22"/>
          <w:szCs w:val="22"/>
        </w:rPr>
        <w:t>en documento anexo a este informe.</w:t>
      </w:r>
    </w:p>
    <w:p w14:paraId="5AB11D96" w14:textId="77777777" w:rsidR="00415064" w:rsidRPr="007E2A25" w:rsidRDefault="00415064" w:rsidP="007E2A25">
      <w:pPr>
        <w:pStyle w:val="Prrafodelista"/>
        <w:rPr>
          <w:rFonts w:ascii="Verdana" w:hAnsi="Verdana"/>
          <w:bCs/>
          <w:sz w:val="22"/>
          <w:szCs w:val="22"/>
        </w:rPr>
      </w:pPr>
    </w:p>
    <w:p w14:paraId="4BD8E409" w14:textId="64BD7568" w:rsidR="00415064" w:rsidRDefault="00415064" w:rsidP="00415064">
      <w:pPr>
        <w:pStyle w:val="Prrafodelista"/>
        <w:ind w:left="360"/>
        <w:jc w:val="both"/>
        <w:rPr>
          <w:rFonts w:ascii="Verdana" w:hAnsi="Verdana"/>
          <w:bCs/>
          <w:sz w:val="22"/>
          <w:szCs w:val="22"/>
        </w:rPr>
      </w:pPr>
      <w:r>
        <w:rPr>
          <w:rFonts w:ascii="Verdana" w:hAnsi="Verdana"/>
          <w:bCs/>
          <w:sz w:val="22"/>
          <w:szCs w:val="22"/>
        </w:rPr>
        <w:t>Se resaltan los siguientes aspectos del año 2020:</w:t>
      </w:r>
    </w:p>
    <w:p w14:paraId="6E6FC719" w14:textId="5135FBF9" w:rsidR="00415064" w:rsidRDefault="00415064" w:rsidP="00415064">
      <w:pPr>
        <w:pStyle w:val="Prrafodelista"/>
        <w:ind w:left="360"/>
        <w:jc w:val="both"/>
        <w:rPr>
          <w:rFonts w:ascii="Verdana" w:hAnsi="Verdana"/>
          <w:bCs/>
          <w:sz w:val="22"/>
          <w:szCs w:val="22"/>
        </w:rPr>
      </w:pPr>
    </w:p>
    <w:p w14:paraId="1F105CE5" w14:textId="2695315A" w:rsidR="00415064" w:rsidRDefault="00415064" w:rsidP="00415064">
      <w:pPr>
        <w:pStyle w:val="Prrafodelista"/>
        <w:numPr>
          <w:ilvl w:val="0"/>
          <w:numId w:val="10"/>
        </w:numPr>
        <w:jc w:val="both"/>
        <w:rPr>
          <w:rFonts w:ascii="Verdana" w:hAnsi="Verdana"/>
          <w:bCs/>
          <w:sz w:val="22"/>
          <w:szCs w:val="22"/>
        </w:rPr>
      </w:pPr>
      <w:r>
        <w:rPr>
          <w:rFonts w:ascii="Verdana" w:hAnsi="Verdana"/>
          <w:bCs/>
          <w:sz w:val="22"/>
          <w:szCs w:val="22"/>
        </w:rPr>
        <w:t>La disposición y flexibilidad de los integrantes de los Comités y Subcomités para adaptarse a las nuevas circunstancias laborales debidas a la pandemia COVID19.</w:t>
      </w:r>
    </w:p>
    <w:p w14:paraId="44930470" w14:textId="534E0ED1" w:rsidR="00415064" w:rsidRDefault="00415064" w:rsidP="00415064">
      <w:pPr>
        <w:pStyle w:val="Prrafodelista"/>
        <w:numPr>
          <w:ilvl w:val="0"/>
          <w:numId w:val="10"/>
        </w:numPr>
        <w:jc w:val="both"/>
        <w:rPr>
          <w:rFonts w:ascii="Verdana" w:hAnsi="Verdana"/>
          <w:bCs/>
          <w:sz w:val="22"/>
          <w:szCs w:val="22"/>
        </w:rPr>
      </w:pPr>
      <w:r>
        <w:rPr>
          <w:rFonts w:ascii="Verdana" w:hAnsi="Verdana"/>
          <w:bCs/>
          <w:sz w:val="22"/>
          <w:szCs w:val="22"/>
        </w:rPr>
        <w:t>El compromiso para sacar adelante productos con calidad técnica (Acuerdos, documentos, comunicaciones con comentarios a propuestas regulatorias)</w:t>
      </w:r>
    </w:p>
    <w:p w14:paraId="749B4150" w14:textId="3D056443" w:rsidR="00415064" w:rsidRDefault="00415064" w:rsidP="00415064">
      <w:pPr>
        <w:jc w:val="both"/>
        <w:rPr>
          <w:rFonts w:ascii="Verdana" w:hAnsi="Verdana"/>
          <w:bCs/>
          <w:sz w:val="22"/>
          <w:szCs w:val="22"/>
        </w:rPr>
      </w:pPr>
    </w:p>
    <w:p w14:paraId="12E422AD" w14:textId="3E65AF7B" w:rsidR="00415064" w:rsidRDefault="00415064" w:rsidP="00415064">
      <w:pPr>
        <w:pStyle w:val="Prrafodelista"/>
        <w:ind w:left="360"/>
        <w:jc w:val="both"/>
        <w:rPr>
          <w:rFonts w:ascii="Verdana" w:hAnsi="Verdana"/>
          <w:bCs/>
          <w:sz w:val="22"/>
          <w:szCs w:val="22"/>
        </w:rPr>
      </w:pPr>
      <w:r>
        <w:rPr>
          <w:rFonts w:ascii="Verdana" w:hAnsi="Verdana"/>
          <w:bCs/>
          <w:sz w:val="22"/>
          <w:szCs w:val="22"/>
        </w:rPr>
        <w:t xml:space="preserve">En aspectos por mejorar para el año 2021: </w:t>
      </w:r>
    </w:p>
    <w:p w14:paraId="1DB4F700" w14:textId="4274760B" w:rsidR="00415064" w:rsidRDefault="00415064" w:rsidP="00415064">
      <w:pPr>
        <w:pStyle w:val="Prrafodelista"/>
        <w:ind w:left="360"/>
        <w:jc w:val="both"/>
        <w:rPr>
          <w:rFonts w:ascii="Verdana" w:hAnsi="Verdana"/>
          <w:bCs/>
          <w:sz w:val="22"/>
          <w:szCs w:val="22"/>
        </w:rPr>
      </w:pPr>
    </w:p>
    <w:p w14:paraId="08E162EF" w14:textId="5B5A838A" w:rsidR="00415064" w:rsidRDefault="00415064" w:rsidP="00415064">
      <w:pPr>
        <w:pStyle w:val="Prrafodelista"/>
        <w:numPr>
          <w:ilvl w:val="0"/>
          <w:numId w:val="11"/>
        </w:numPr>
        <w:jc w:val="both"/>
        <w:rPr>
          <w:rFonts w:ascii="Verdana" w:hAnsi="Verdana"/>
          <w:bCs/>
          <w:sz w:val="22"/>
          <w:szCs w:val="22"/>
        </w:rPr>
      </w:pPr>
      <w:r>
        <w:rPr>
          <w:rFonts w:ascii="Verdana" w:hAnsi="Verdana"/>
          <w:bCs/>
          <w:sz w:val="22"/>
          <w:szCs w:val="22"/>
        </w:rPr>
        <w:t>Reuniones más eficientes en el manejo del tiempo (asertividad en la comunicación)</w:t>
      </w:r>
    </w:p>
    <w:p w14:paraId="3A753886" w14:textId="7F3D0EBA" w:rsidR="00415064" w:rsidRDefault="00415064" w:rsidP="00415064">
      <w:pPr>
        <w:pStyle w:val="Prrafodelista"/>
        <w:numPr>
          <w:ilvl w:val="0"/>
          <w:numId w:val="11"/>
        </w:numPr>
        <w:jc w:val="both"/>
        <w:rPr>
          <w:rFonts w:ascii="Verdana" w:hAnsi="Verdana"/>
          <w:bCs/>
          <w:sz w:val="22"/>
          <w:szCs w:val="22"/>
        </w:rPr>
      </w:pPr>
      <w:r>
        <w:rPr>
          <w:rFonts w:ascii="Verdana" w:hAnsi="Verdana"/>
          <w:bCs/>
          <w:sz w:val="22"/>
          <w:szCs w:val="22"/>
        </w:rPr>
        <w:t>Puntualidad y asistencia de los integrantes de los Comités y Subcomites para no perjudicar el logro del quórum para dar inicio.</w:t>
      </w:r>
    </w:p>
    <w:p w14:paraId="646AE1D7" w14:textId="19EBA08A" w:rsidR="00415064" w:rsidRDefault="00415064" w:rsidP="00415064">
      <w:pPr>
        <w:pStyle w:val="Prrafodelista"/>
        <w:numPr>
          <w:ilvl w:val="0"/>
          <w:numId w:val="11"/>
        </w:numPr>
        <w:jc w:val="both"/>
        <w:rPr>
          <w:rFonts w:ascii="Verdana" w:hAnsi="Verdana"/>
          <w:bCs/>
          <w:sz w:val="22"/>
          <w:szCs w:val="22"/>
        </w:rPr>
      </w:pPr>
      <w:r>
        <w:rPr>
          <w:rFonts w:ascii="Verdana" w:hAnsi="Verdana"/>
          <w:bCs/>
          <w:sz w:val="22"/>
          <w:szCs w:val="22"/>
        </w:rPr>
        <w:t>Participación activa de todos los integrantes.</w:t>
      </w:r>
    </w:p>
    <w:p w14:paraId="7F7A89EC" w14:textId="6369B5BE" w:rsidR="00415064" w:rsidRDefault="00415064" w:rsidP="00415064">
      <w:pPr>
        <w:pStyle w:val="Prrafodelista"/>
        <w:numPr>
          <w:ilvl w:val="0"/>
          <w:numId w:val="11"/>
        </w:numPr>
        <w:jc w:val="both"/>
        <w:rPr>
          <w:rFonts w:ascii="Verdana" w:hAnsi="Verdana"/>
          <w:bCs/>
          <w:sz w:val="22"/>
          <w:szCs w:val="22"/>
        </w:rPr>
      </w:pPr>
      <w:r>
        <w:rPr>
          <w:rFonts w:ascii="Verdana" w:hAnsi="Verdana"/>
          <w:bCs/>
          <w:sz w:val="22"/>
          <w:szCs w:val="22"/>
        </w:rPr>
        <w:t>Alineación de los temas CNO al interior de las empresas, que favorezca la continuidad de las discusiones.</w:t>
      </w:r>
    </w:p>
    <w:p w14:paraId="696E2A6A" w14:textId="0CED82C9" w:rsidR="00992A3B" w:rsidRDefault="00992A3B" w:rsidP="00992A3B">
      <w:pPr>
        <w:jc w:val="both"/>
        <w:rPr>
          <w:rFonts w:ascii="Verdana" w:hAnsi="Verdana"/>
          <w:bCs/>
          <w:sz w:val="22"/>
          <w:szCs w:val="22"/>
        </w:rPr>
      </w:pPr>
    </w:p>
    <w:p w14:paraId="0EBF1F9B" w14:textId="6F40F49D" w:rsidR="00992A3B" w:rsidRPr="007E2A25" w:rsidRDefault="00D83A2A" w:rsidP="00992A3B">
      <w:pPr>
        <w:pStyle w:val="Prrafodelista"/>
        <w:numPr>
          <w:ilvl w:val="0"/>
          <w:numId w:val="4"/>
        </w:numPr>
        <w:jc w:val="both"/>
        <w:rPr>
          <w:rFonts w:ascii="Verdana" w:hAnsi="Verdana"/>
          <w:bCs/>
          <w:sz w:val="22"/>
          <w:szCs w:val="22"/>
        </w:rPr>
      </w:pPr>
      <w:r>
        <w:rPr>
          <w:rFonts w:ascii="Verdana" w:hAnsi="Verdana"/>
          <w:bCs/>
          <w:sz w:val="22"/>
          <w:szCs w:val="22"/>
        </w:rPr>
        <w:t>En los comités y subcomités se trabajó en la formulación del plan operativo del 2021. La próxima semana se hará reunión de revisión e integración del plan con los presidentes y coordinadores técnicos de los comités y subcomités.</w:t>
      </w:r>
    </w:p>
    <w:p w14:paraId="5458DEB9" w14:textId="2169489A" w:rsidR="00397EB1" w:rsidRDefault="00397EB1" w:rsidP="00601C70">
      <w:pPr>
        <w:pStyle w:val="Prrafodelista"/>
        <w:ind w:left="360"/>
        <w:jc w:val="both"/>
        <w:rPr>
          <w:rFonts w:ascii="Verdana" w:hAnsi="Verdana"/>
          <w:bCs/>
          <w:sz w:val="22"/>
          <w:szCs w:val="22"/>
        </w:rPr>
      </w:pPr>
    </w:p>
    <w:p w14:paraId="65FAF74D" w14:textId="582E5773" w:rsidR="00490068" w:rsidRPr="00490068" w:rsidRDefault="00397EB1" w:rsidP="00490068">
      <w:pPr>
        <w:pStyle w:val="Prrafodelista"/>
        <w:numPr>
          <w:ilvl w:val="0"/>
          <w:numId w:val="4"/>
        </w:numPr>
        <w:jc w:val="both"/>
        <w:rPr>
          <w:rFonts w:ascii="Verdana" w:hAnsi="Verdana"/>
          <w:bCs/>
          <w:sz w:val="22"/>
          <w:szCs w:val="22"/>
        </w:rPr>
      </w:pPr>
      <w:r>
        <w:rPr>
          <w:rFonts w:ascii="Verdana" w:hAnsi="Verdana"/>
          <w:bCs/>
          <w:sz w:val="22"/>
          <w:szCs w:val="22"/>
        </w:rPr>
        <w:t>MINENERGÍA</w:t>
      </w:r>
      <w:r w:rsidRPr="00DE01ED">
        <w:rPr>
          <w:rFonts w:ascii="Verdana" w:hAnsi="Verdana"/>
          <w:bCs/>
          <w:sz w:val="22"/>
          <w:szCs w:val="22"/>
        </w:rPr>
        <w:t xml:space="preserve"> </w:t>
      </w:r>
      <w:r>
        <w:rPr>
          <w:rFonts w:ascii="Verdana" w:hAnsi="Verdana"/>
          <w:bCs/>
          <w:sz w:val="22"/>
          <w:szCs w:val="22"/>
        </w:rPr>
        <w:t xml:space="preserve">publicó </w:t>
      </w:r>
      <w:r w:rsidRPr="00DE01ED">
        <w:rPr>
          <w:rFonts w:ascii="Verdana" w:hAnsi="Verdana"/>
          <w:bCs/>
          <w:sz w:val="22"/>
          <w:szCs w:val="22"/>
        </w:rPr>
        <w:t>el "</w:t>
      </w:r>
      <w:r w:rsidRPr="00C428C5">
        <w:rPr>
          <w:rFonts w:ascii="Verdana" w:hAnsi="Verdana"/>
          <w:bCs/>
          <w:i/>
          <w:iCs/>
          <w:sz w:val="22"/>
          <w:szCs w:val="22"/>
        </w:rPr>
        <w:t>Informe Segunda Fase Misión de Transformación Energética Hoja de Ruta para la Energía del Futuro</w:t>
      </w:r>
      <w:r w:rsidRPr="00DE01ED">
        <w:rPr>
          <w:rFonts w:ascii="Verdana" w:hAnsi="Verdana"/>
          <w:bCs/>
          <w:sz w:val="22"/>
          <w:szCs w:val="22"/>
        </w:rPr>
        <w:t>", con el objeto de recibir observaciones y comentarios</w:t>
      </w:r>
      <w:r>
        <w:rPr>
          <w:rFonts w:ascii="Verdana" w:hAnsi="Verdana"/>
          <w:bCs/>
          <w:sz w:val="22"/>
          <w:szCs w:val="22"/>
        </w:rPr>
        <w:t xml:space="preserve"> hasta el 27 de febrero del año en curso</w:t>
      </w:r>
      <w:r w:rsidRPr="00DE01ED">
        <w:rPr>
          <w:rFonts w:ascii="Verdana" w:hAnsi="Verdana"/>
          <w:bCs/>
          <w:sz w:val="22"/>
          <w:szCs w:val="22"/>
        </w:rPr>
        <w:t>.</w:t>
      </w:r>
      <w:r>
        <w:rPr>
          <w:rFonts w:ascii="Verdana" w:hAnsi="Verdana"/>
          <w:bCs/>
          <w:sz w:val="22"/>
          <w:szCs w:val="22"/>
        </w:rPr>
        <w:t xml:space="preserve"> Desde el punto de vista </w:t>
      </w:r>
      <w:r w:rsidR="00246A0C">
        <w:rPr>
          <w:rFonts w:ascii="Verdana" w:hAnsi="Verdana"/>
          <w:bCs/>
          <w:sz w:val="22"/>
          <w:szCs w:val="22"/>
        </w:rPr>
        <w:t>del CNO (Foco 5)</w:t>
      </w:r>
      <w:r>
        <w:rPr>
          <w:rFonts w:ascii="Verdana" w:hAnsi="Verdana"/>
          <w:bCs/>
          <w:sz w:val="22"/>
          <w:szCs w:val="22"/>
        </w:rPr>
        <w:t xml:space="preserve">, se plantea </w:t>
      </w:r>
      <w:r w:rsidR="00246A0C">
        <w:rPr>
          <w:rFonts w:ascii="Verdana" w:hAnsi="Verdana"/>
          <w:bCs/>
          <w:sz w:val="22"/>
          <w:szCs w:val="22"/>
        </w:rPr>
        <w:t xml:space="preserve">la </w:t>
      </w:r>
      <w:r>
        <w:rPr>
          <w:rFonts w:ascii="Verdana" w:hAnsi="Verdana"/>
          <w:bCs/>
          <w:sz w:val="22"/>
          <w:szCs w:val="22"/>
        </w:rPr>
        <w:t xml:space="preserve">modificación </w:t>
      </w:r>
      <w:r w:rsidR="00490068">
        <w:rPr>
          <w:rFonts w:ascii="Verdana" w:hAnsi="Verdana"/>
          <w:bCs/>
          <w:sz w:val="22"/>
          <w:szCs w:val="22"/>
        </w:rPr>
        <w:t xml:space="preserve">del artículo 37 </w:t>
      </w:r>
      <w:r>
        <w:rPr>
          <w:rFonts w:ascii="Verdana" w:hAnsi="Verdana"/>
          <w:bCs/>
          <w:sz w:val="22"/>
          <w:szCs w:val="22"/>
        </w:rPr>
        <w:t>de la ley eléctrica</w:t>
      </w:r>
      <w:r w:rsidR="00490068">
        <w:rPr>
          <w:rFonts w:ascii="Verdana" w:hAnsi="Verdana"/>
          <w:bCs/>
          <w:sz w:val="22"/>
          <w:szCs w:val="22"/>
        </w:rPr>
        <w:t xml:space="preserve"> en el mediano plazo (2021-2025)</w:t>
      </w:r>
      <w:r>
        <w:rPr>
          <w:rFonts w:ascii="Verdana" w:hAnsi="Verdana"/>
          <w:bCs/>
          <w:sz w:val="22"/>
          <w:szCs w:val="22"/>
        </w:rPr>
        <w:t>,</w:t>
      </w:r>
      <w:r w:rsidR="00246A0C">
        <w:rPr>
          <w:rFonts w:ascii="Verdana" w:hAnsi="Verdana"/>
          <w:bCs/>
          <w:sz w:val="22"/>
          <w:szCs w:val="22"/>
        </w:rPr>
        <w:t xml:space="preserve"> para </w:t>
      </w:r>
      <w:r w:rsidR="00490068">
        <w:rPr>
          <w:rFonts w:ascii="Verdana" w:hAnsi="Verdana"/>
          <w:bCs/>
          <w:sz w:val="22"/>
          <w:szCs w:val="22"/>
        </w:rPr>
        <w:t xml:space="preserve">asignar al Gobierno Nacional </w:t>
      </w:r>
      <w:r w:rsidR="00490068" w:rsidRPr="00490068">
        <w:rPr>
          <w:rFonts w:ascii="Verdana" w:hAnsi="Verdana"/>
          <w:bCs/>
          <w:sz w:val="22"/>
          <w:szCs w:val="22"/>
        </w:rPr>
        <w:t>la facultad de determinar la composición del CNO con base en</w:t>
      </w:r>
      <w:r w:rsidR="00490068">
        <w:rPr>
          <w:rFonts w:ascii="Verdana" w:hAnsi="Verdana"/>
          <w:bCs/>
          <w:sz w:val="22"/>
          <w:szCs w:val="22"/>
        </w:rPr>
        <w:t xml:space="preserve"> lo siguiente</w:t>
      </w:r>
      <w:r w:rsidR="00490068" w:rsidRPr="00490068">
        <w:rPr>
          <w:rFonts w:ascii="Verdana" w:hAnsi="Verdana"/>
          <w:bCs/>
          <w:sz w:val="22"/>
          <w:szCs w:val="22"/>
        </w:rPr>
        <w:t>:</w:t>
      </w:r>
    </w:p>
    <w:p w14:paraId="67EE3271" w14:textId="77777777" w:rsidR="00490068" w:rsidRPr="00490068" w:rsidRDefault="00490068" w:rsidP="007E2A25">
      <w:pPr>
        <w:pStyle w:val="Prrafodelista"/>
        <w:ind w:left="360"/>
        <w:jc w:val="both"/>
        <w:rPr>
          <w:rFonts w:ascii="Verdana" w:hAnsi="Verdana"/>
          <w:bCs/>
          <w:sz w:val="22"/>
          <w:szCs w:val="22"/>
        </w:rPr>
      </w:pPr>
      <w:r w:rsidRPr="00490068">
        <w:rPr>
          <w:rFonts w:ascii="Verdana" w:hAnsi="Verdana"/>
          <w:bCs/>
          <w:sz w:val="22"/>
          <w:szCs w:val="22"/>
        </w:rPr>
        <w:t>i. Pluralidad de los agentes de mercado y no en función del tamaño de la participación de mercado.</w:t>
      </w:r>
    </w:p>
    <w:p w14:paraId="3812015A" w14:textId="77777777" w:rsidR="00490068" w:rsidRPr="00490068" w:rsidRDefault="00490068" w:rsidP="007E2A25">
      <w:pPr>
        <w:pStyle w:val="Prrafodelista"/>
        <w:ind w:left="360"/>
        <w:jc w:val="both"/>
        <w:rPr>
          <w:rFonts w:ascii="Verdana" w:hAnsi="Verdana"/>
          <w:bCs/>
          <w:sz w:val="22"/>
          <w:szCs w:val="22"/>
        </w:rPr>
      </w:pPr>
      <w:r w:rsidRPr="00490068">
        <w:rPr>
          <w:rFonts w:ascii="Verdana" w:hAnsi="Verdana"/>
          <w:bCs/>
          <w:sz w:val="22"/>
          <w:szCs w:val="22"/>
        </w:rPr>
        <w:t>ii. Evitar duplicidad de participantes por integración vertical de actividades</w:t>
      </w:r>
    </w:p>
    <w:p w14:paraId="25CAAD8B" w14:textId="77777777" w:rsidR="00490068" w:rsidRPr="00490068" w:rsidRDefault="00490068" w:rsidP="007E2A25">
      <w:pPr>
        <w:pStyle w:val="Prrafodelista"/>
        <w:ind w:left="360"/>
        <w:jc w:val="both"/>
        <w:rPr>
          <w:rFonts w:ascii="Verdana" w:hAnsi="Verdana"/>
          <w:bCs/>
          <w:sz w:val="22"/>
          <w:szCs w:val="22"/>
        </w:rPr>
      </w:pPr>
      <w:r w:rsidRPr="00490068">
        <w:rPr>
          <w:rFonts w:ascii="Verdana" w:hAnsi="Verdana"/>
          <w:bCs/>
          <w:sz w:val="22"/>
          <w:szCs w:val="22"/>
        </w:rPr>
        <w:t>iii. Vinculación de nuevas actividades tales como recursos energéticos distribuidos, generadores con fuentes de energía renovables</w:t>
      </w:r>
    </w:p>
    <w:p w14:paraId="099AB178" w14:textId="77777777" w:rsidR="00490068" w:rsidRDefault="00490068" w:rsidP="00490068">
      <w:pPr>
        <w:pStyle w:val="Prrafodelista"/>
        <w:ind w:left="360"/>
        <w:jc w:val="both"/>
        <w:rPr>
          <w:rFonts w:ascii="Verdana" w:hAnsi="Verdana"/>
          <w:bCs/>
          <w:sz w:val="22"/>
          <w:szCs w:val="22"/>
        </w:rPr>
      </w:pPr>
      <w:r w:rsidRPr="00490068">
        <w:rPr>
          <w:rFonts w:ascii="Verdana" w:hAnsi="Verdana"/>
          <w:bCs/>
          <w:sz w:val="22"/>
          <w:szCs w:val="22"/>
        </w:rPr>
        <w:t>iv. Representación de la demanda en el CNO a través del CAC.</w:t>
      </w:r>
    </w:p>
    <w:p w14:paraId="54678CA5" w14:textId="77777777" w:rsidR="00490068" w:rsidRDefault="00490068" w:rsidP="00490068">
      <w:pPr>
        <w:pStyle w:val="Prrafodelista"/>
        <w:ind w:left="360"/>
        <w:jc w:val="both"/>
        <w:rPr>
          <w:rFonts w:ascii="Verdana" w:hAnsi="Verdana"/>
          <w:bCs/>
          <w:sz w:val="22"/>
          <w:szCs w:val="22"/>
        </w:rPr>
      </w:pPr>
    </w:p>
    <w:p w14:paraId="5DF51F5C" w14:textId="13FB63F3" w:rsidR="00397EB1" w:rsidRPr="00C428C5" w:rsidRDefault="00397EB1" w:rsidP="007E2A25">
      <w:pPr>
        <w:pStyle w:val="Prrafodelista"/>
        <w:ind w:left="360"/>
        <w:jc w:val="both"/>
        <w:rPr>
          <w:rFonts w:ascii="Verdana" w:hAnsi="Verdana"/>
          <w:bCs/>
          <w:sz w:val="22"/>
          <w:szCs w:val="22"/>
        </w:rPr>
      </w:pPr>
      <w:r>
        <w:rPr>
          <w:rFonts w:ascii="Verdana" w:hAnsi="Verdana"/>
          <w:bCs/>
          <w:sz w:val="22"/>
          <w:szCs w:val="22"/>
        </w:rPr>
        <w:lastRenderedPageBreak/>
        <w:t>Teniendo este y otros aspectos contenidos en la hoja de ruta, se sugiere coordinar</w:t>
      </w:r>
      <w:r w:rsidRPr="00542E49">
        <w:rPr>
          <w:rFonts w:ascii="Verdana" w:hAnsi="Verdana"/>
          <w:bCs/>
          <w:sz w:val="22"/>
          <w:szCs w:val="22"/>
        </w:rPr>
        <w:t xml:space="preserve"> una reunión extraordinaria para </w:t>
      </w:r>
      <w:r w:rsidR="00C214DC">
        <w:rPr>
          <w:rFonts w:ascii="Verdana" w:hAnsi="Verdana"/>
          <w:bCs/>
          <w:sz w:val="22"/>
          <w:szCs w:val="22"/>
        </w:rPr>
        <w:t xml:space="preserve">que integrantes de la Misión </w:t>
      </w:r>
      <w:r w:rsidRPr="00542E49">
        <w:rPr>
          <w:rFonts w:ascii="Verdana" w:hAnsi="Verdana"/>
          <w:bCs/>
          <w:sz w:val="22"/>
          <w:szCs w:val="22"/>
        </w:rPr>
        <w:t>present</w:t>
      </w:r>
      <w:r w:rsidR="00C214DC">
        <w:rPr>
          <w:rFonts w:ascii="Verdana" w:hAnsi="Verdana"/>
          <w:bCs/>
          <w:sz w:val="22"/>
          <w:szCs w:val="22"/>
        </w:rPr>
        <w:t>en</w:t>
      </w:r>
      <w:r w:rsidRPr="00542E49">
        <w:rPr>
          <w:rFonts w:ascii="Verdana" w:hAnsi="Verdana"/>
          <w:bCs/>
          <w:sz w:val="22"/>
          <w:szCs w:val="22"/>
        </w:rPr>
        <w:t xml:space="preserve"> la hoja de ruta</w:t>
      </w:r>
      <w:r>
        <w:rPr>
          <w:rFonts w:ascii="Verdana" w:hAnsi="Verdana"/>
          <w:bCs/>
          <w:sz w:val="22"/>
          <w:szCs w:val="22"/>
        </w:rPr>
        <w:t>, y conformar un grupo de trabajo del Consejo para formular las observaciones a los documentos publicados.</w:t>
      </w:r>
    </w:p>
    <w:p w14:paraId="44D5ED15" w14:textId="2CADAA14" w:rsidR="00397EB1" w:rsidRDefault="00397EB1" w:rsidP="00601C70">
      <w:pPr>
        <w:pStyle w:val="Prrafodelista"/>
        <w:ind w:left="360"/>
        <w:jc w:val="both"/>
        <w:rPr>
          <w:rFonts w:ascii="Verdana" w:hAnsi="Verdana"/>
          <w:bCs/>
          <w:sz w:val="22"/>
          <w:szCs w:val="22"/>
        </w:rPr>
      </w:pPr>
    </w:p>
    <w:p w14:paraId="57D325E6" w14:textId="6D3CB0F8" w:rsidR="00397EB1" w:rsidRDefault="00C214DC" w:rsidP="00397EB1">
      <w:pPr>
        <w:pStyle w:val="Prrafodelista"/>
        <w:numPr>
          <w:ilvl w:val="0"/>
          <w:numId w:val="4"/>
        </w:numPr>
        <w:jc w:val="both"/>
        <w:rPr>
          <w:rFonts w:ascii="Verdana" w:hAnsi="Verdana"/>
          <w:bCs/>
          <w:sz w:val="22"/>
          <w:szCs w:val="22"/>
        </w:rPr>
      </w:pPr>
      <w:r>
        <w:rPr>
          <w:rFonts w:ascii="Verdana" w:hAnsi="Verdana"/>
          <w:bCs/>
          <w:sz w:val="22"/>
          <w:szCs w:val="22"/>
        </w:rPr>
        <w:t>Para su conocimiento s</w:t>
      </w:r>
      <w:r w:rsidR="00397EB1" w:rsidRPr="00397EB1">
        <w:rPr>
          <w:rFonts w:ascii="Verdana" w:hAnsi="Verdana"/>
          <w:bCs/>
          <w:sz w:val="22"/>
          <w:szCs w:val="22"/>
        </w:rPr>
        <w:t xml:space="preserve">e presenta el </w:t>
      </w:r>
      <w:r>
        <w:rPr>
          <w:rFonts w:ascii="Verdana" w:hAnsi="Verdana"/>
          <w:bCs/>
          <w:sz w:val="22"/>
          <w:szCs w:val="22"/>
        </w:rPr>
        <w:t>enlace</w:t>
      </w:r>
      <w:r w:rsidR="00397EB1" w:rsidRPr="00397EB1">
        <w:rPr>
          <w:rFonts w:ascii="Verdana" w:hAnsi="Verdana"/>
          <w:bCs/>
          <w:sz w:val="22"/>
          <w:szCs w:val="22"/>
        </w:rPr>
        <w:t xml:space="preserve"> donde se encuentra el proyecto de Ley: “</w:t>
      </w:r>
      <w:r w:rsidR="00397EB1">
        <w:rPr>
          <w:rFonts w:ascii="Verdana" w:hAnsi="Verdana"/>
          <w:bCs/>
          <w:i/>
          <w:iCs/>
          <w:sz w:val="22"/>
          <w:szCs w:val="22"/>
        </w:rPr>
        <w:t>P</w:t>
      </w:r>
      <w:r w:rsidR="00397EB1" w:rsidRPr="00397EB1">
        <w:rPr>
          <w:rFonts w:ascii="Verdana" w:hAnsi="Verdana"/>
          <w:bCs/>
          <w:i/>
          <w:iCs/>
          <w:sz w:val="22"/>
          <w:szCs w:val="22"/>
        </w:rPr>
        <w:t xml:space="preserve">or medio de la cual se modifican y se adicionan algunos artículos de las </w:t>
      </w:r>
      <w:r w:rsidR="00397EB1">
        <w:rPr>
          <w:rFonts w:ascii="Verdana" w:hAnsi="Verdana"/>
          <w:bCs/>
          <w:i/>
          <w:iCs/>
          <w:sz w:val="22"/>
          <w:szCs w:val="22"/>
        </w:rPr>
        <w:t>L</w:t>
      </w:r>
      <w:r w:rsidR="00397EB1" w:rsidRPr="00397EB1">
        <w:rPr>
          <w:rFonts w:ascii="Verdana" w:hAnsi="Verdana"/>
          <w:bCs/>
          <w:i/>
          <w:iCs/>
          <w:sz w:val="22"/>
          <w:szCs w:val="22"/>
        </w:rPr>
        <w:t>eyes 56 de 1981, 142 de 1994, 143 de 1994 y 1715 de 2014 y se dictan otras disposiciones para la transición energética, la reactivación económica del país y para el fortalecimiento de los servicios públicos de energía eléctrica y gas combustible</w:t>
      </w:r>
      <w:r w:rsidR="00397EB1" w:rsidRPr="00397EB1">
        <w:rPr>
          <w:rFonts w:ascii="Verdana" w:hAnsi="Verdana"/>
          <w:bCs/>
          <w:sz w:val="22"/>
          <w:szCs w:val="22"/>
        </w:rPr>
        <w:t>”</w:t>
      </w:r>
      <w:r w:rsidR="00397EB1">
        <w:rPr>
          <w:rFonts w:ascii="Verdana" w:hAnsi="Verdana"/>
          <w:bCs/>
          <w:sz w:val="22"/>
          <w:szCs w:val="22"/>
        </w:rPr>
        <w:t>.</w:t>
      </w:r>
    </w:p>
    <w:p w14:paraId="5A61CC35" w14:textId="77777777" w:rsidR="00397EB1" w:rsidRPr="00601C70" w:rsidRDefault="00397EB1" w:rsidP="00601C70">
      <w:pPr>
        <w:pStyle w:val="Prrafodelista"/>
        <w:rPr>
          <w:rFonts w:ascii="Verdana" w:hAnsi="Verdana"/>
          <w:bCs/>
          <w:sz w:val="22"/>
          <w:szCs w:val="22"/>
        </w:rPr>
      </w:pPr>
    </w:p>
    <w:p w14:paraId="05BE6CE7" w14:textId="3959337E" w:rsidR="00397EB1" w:rsidRDefault="00896374" w:rsidP="00397EB1">
      <w:pPr>
        <w:pStyle w:val="Prrafodelista"/>
        <w:ind w:left="360"/>
        <w:jc w:val="both"/>
        <w:rPr>
          <w:rFonts w:ascii="Verdana" w:hAnsi="Verdana"/>
          <w:bCs/>
          <w:sz w:val="22"/>
          <w:szCs w:val="22"/>
        </w:rPr>
      </w:pPr>
      <w:hyperlink r:id="rId8" w:history="1">
        <w:r w:rsidR="00397EB1" w:rsidRPr="00601C70">
          <w:rPr>
            <w:rStyle w:val="Hipervnculo"/>
            <w:rFonts w:ascii="Verdana" w:hAnsi="Verdana"/>
            <w:bCs/>
            <w:sz w:val="22"/>
            <w:szCs w:val="22"/>
          </w:rPr>
          <w:t>http://leyes.senado.gov.co/proyectos/index.php/textos-radicados-senado/p-ley-2020-2021/2128-proyecto-de-ley-365-de-2020</w:t>
        </w:r>
      </w:hyperlink>
    </w:p>
    <w:p w14:paraId="0C847E2C" w14:textId="77777777" w:rsidR="00ED7D07" w:rsidRPr="00ED7D07" w:rsidRDefault="00ED7D07" w:rsidP="00ED7D07">
      <w:pPr>
        <w:jc w:val="both"/>
        <w:rPr>
          <w:rFonts w:ascii="Verdana" w:hAnsi="Verdana"/>
          <w:bCs/>
          <w:sz w:val="22"/>
          <w:szCs w:val="22"/>
        </w:rPr>
      </w:pPr>
    </w:p>
    <w:p w14:paraId="6E1D05AA" w14:textId="49B3E807" w:rsidR="00886CFD" w:rsidRDefault="00886CFD" w:rsidP="00C660E7">
      <w:pPr>
        <w:pStyle w:val="Prrafodelista"/>
        <w:numPr>
          <w:ilvl w:val="0"/>
          <w:numId w:val="4"/>
        </w:numPr>
        <w:jc w:val="both"/>
        <w:rPr>
          <w:rFonts w:ascii="Verdana" w:hAnsi="Verdana"/>
          <w:bCs/>
          <w:sz w:val="22"/>
          <w:szCs w:val="22"/>
        </w:rPr>
      </w:pPr>
      <w:r>
        <w:rPr>
          <w:rFonts w:ascii="Verdana" w:hAnsi="Verdana"/>
          <w:bCs/>
          <w:sz w:val="22"/>
          <w:szCs w:val="22"/>
        </w:rPr>
        <w:t>Se publicó y envió la Circular 6</w:t>
      </w:r>
      <w:r w:rsidR="00D435B7">
        <w:rPr>
          <w:rFonts w:ascii="Verdana" w:hAnsi="Verdana"/>
          <w:bCs/>
          <w:sz w:val="22"/>
          <w:szCs w:val="22"/>
        </w:rPr>
        <w:t>3</w:t>
      </w:r>
      <w:r>
        <w:rPr>
          <w:rFonts w:ascii="Verdana" w:hAnsi="Verdana"/>
          <w:bCs/>
          <w:sz w:val="22"/>
          <w:szCs w:val="22"/>
        </w:rPr>
        <w:t xml:space="preserve"> a los agentes generadores, informándoles </w:t>
      </w:r>
      <w:r w:rsidR="00D435B7">
        <w:rPr>
          <w:rFonts w:ascii="Verdana" w:hAnsi="Verdana"/>
          <w:bCs/>
          <w:sz w:val="22"/>
          <w:szCs w:val="22"/>
        </w:rPr>
        <w:t>la importancia de enviar antes del 11 de febrero de 2021, las f</w:t>
      </w:r>
      <w:r w:rsidR="00D435B7" w:rsidRPr="00D435B7">
        <w:rPr>
          <w:rFonts w:ascii="Verdana" w:hAnsi="Verdana"/>
          <w:bCs/>
          <w:sz w:val="22"/>
          <w:szCs w:val="22"/>
        </w:rPr>
        <w:t>echas de realización de las pruebas de velocidad de toma de carga y de descarga de las unidades de generación</w:t>
      </w:r>
      <w:r w:rsidR="00D435B7">
        <w:rPr>
          <w:rFonts w:ascii="Verdana" w:hAnsi="Verdana"/>
          <w:bCs/>
          <w:sz w:val="22"/>
          <w:szCs w:val="22"/>
        </w:rPr>
        <w:t>.</w:t>
      </w:r>
    </w:p>
    <w:p w14:paraId="15D929F7" w14:textId="77777777" w:rsidR="00C214DC" w:rsidRDefault="00C214DC" w:rsidP="007E2A25">
      <w:pPr>
        <w:pStyle w:val="Prrafodelista"/>
        <w:ind w:left="360"/>
        <w:jc w:val="both"/>
        <w:rPr>
          <w:rFonts w:ascii="Verdana" w:hAnsi="Verdana"/>
          <w:bCs/>
          <w:sz w:val="22"/>
          <w:szCs w:val="22"/>
        </w:rPr>
      </w:pPr>
    </w:p>
    <w:p w14:paraId="2E36A799" w14:textId="38015A57" w:rsidR="00C214DC" w:rsidRDefault="00C214DC" w:rsidP="00C660E7">
      <w:pPr>
        <w:pStyle w:val="Prrafodelista"/>
        <w:numPr>
          <w:ilvl w:val="0"/>
          <w:numId w:val="4"/>
        </w:numPr>
        <w:jc w:val="both"/>
        <w:rPr>
          <w:rFonts w:ascii="Verdana" w:hAnsi="Verdana"/>
          <w:bCs/>
          <w:sz w:val="22"/>
          <w:szCs w:val="22"/>
        </w:rPr>
      </w:pPr>
      <w:r>
        <w:rPr>
          <w:rFonts w:ascii="Verdana" w:hAnsi="Verdana"/>
          <w:bCs/>
          <w:sz w:val="22"/>
          <w:szCs w:val="22"/>
        </w:rPr>
        <w:t>Se publicó y envió la Circular 64 a los agentes generadores, aclarando el procedimiento a seguir en la d</w:t>
      </w:r>
      <w:r w:rsidRPr="00C214DC">
        <w:rPr>
          <w:rFonts w:ascii="Verdana" w:hAnsi="Verdana"/>
          <w:bCs/>
          <w:sz w:val="22"/>
          <w:szCs w:val="22"/>
        </w:rPr>
        <w:t xml:space="preserve">eclaración </w:t>
      </w:r>
      <w:r>
        <w:rPr>
          <w:rFonts w:ascii="Verdana" w:hAnsi="Verdana"/>
          <w:bCs/>
          <w:sz w:val="22"/>
          <w:szCs w:val="22"/>
        </w:rPr>
        <w:t xml:space="preserve">de los </w:t>
      </w:r>
      <w:r w:rsidRPr="00C214DC">
        <w:rPr>
          <w:rFonts w:ascii="Verdana" w:hAnsi="Verdana"/>
          <w:bCs/>
          <w:sz w:val="22"/>
          <w:szCs w:val="22"/>
        </w:rPr>
        <w:t>parámetros velocidad de toma de carga y descarga de las unidades de generación</w:t>
      </w:r>
      <w:r>
        <w:rPr>
          <w:rFonts w:ascii="Verdana" w:hAnsi="Verdana"/>
          <w:bCs/>
          <w:sz w:val="22"/>
          <w:szCs w:val="22"/>
        </w:rPr>
        <w:t xml:space="preserve"> (Acuerdo 1356 de 2020)</w:t>
      </w:r>
      <w:r w:rsidR="00415064">
        <w:rPr>
          <w:rFonts w:ascii="Verdana" w:hAnsi="Verdana"/>
          <w:bCs/>
          <w:sz w:val="22"/>
          <w:szCs w:val="22"/>
        </w:rPr>
        <w:t>.</w:t>
      </w:r>
    </w:p>
    <w:p w14:paraId="680F9B39" w14:textId="77777777" w:rsidR="00415064" w:rsidRPr="007E2A25" w:rsidRDefault="00415064" w:rsidP="007E2A25">
      <w:pPr>
        <w:pStyle w:val="Prrafodelista"/>
        <w:rPr>
          <w:rFonts w:ascii="Verdana" w:hAnsi="Verdana"/>
          <w:bCs/>
          <w:sz w:val="22"/>
          <w:szCs w:val="22"/>
        </w:rPr>
      </w:pPr>
    </w:p>
    <w:p w14:paraId="60056471" w14:textId="77777777" w:rsidR="00186181" w:rsidRPr="00186181" w:rsidRDefault="00415064" w:rsidP="005A1435">
      <w:pPr>
        <w:pStyle w:val="Prrafodelista"/>
        <w:numPr>
          <w:ilvl w:val="0"/>
          <w:numId w:val="4"/>
        </w:numPr>
        <w:jc w:val="both"/>
        <w:rPr>
          <w:rFonts w:cs="Arial"/>
          <w:color w:val="7A7A7A"/>
          <w:sz w:val="26"/>
          <w:szCs w:val="26"/>
          <w:shd w:val="clear" w:color="auto" w:fill="FFFFFF"/>
        </w:rPr>
      </w:pPr>
      <w:r w:rsidRPr="00186181">
        <w:rPr>
          <w:rFonts w:ascii="Verdana" w:hAnsi="Verdana"/>
          <w:bCs/>
          <w:sz w:val="22"/>
          <w:szCs w:val="22"/>
        </w:rPr>
        <w:t xml:space="preserve">Se recomienda al CNO continuar contratando la plataforma Netco Signer de firma digital de las actas de las reuniones del Consejo, de los comités y </w:t>
      </w:r>
      <w:proofErr w:type="spellStart"/>
      <w:r w:rsidRPr="00186181">
        <w:rPr>
          <w:rFonts w:ascii="Verdana" w:hAnsi="Verdana"/>
          <w:bCs/>
          <w:sz w:val="22"/>
          <w:szCs w:val="22"/>
        </w:rPr>
        <w:t>subcomites</w:t>
      </w:r>
      <w:proofErr w:type="spellEnd"/>
      <w:r w:rsidRPr="00186181">
        <w:rPr>
          <w:rFonts w:ascii="Verdana" w:hAnsi="Verdana"/>
          <w:bCs/>
          <w:sz w:val="22"/>
          <w:szCs w:val="22"/>
        </w:rPr>
        <w:t xml:space="preserve"> y los acuerdos.</w:t>
      </w:r>
      <w:r w:rsidR="00186181">
        <w:rPr>
          <w:rFonts w:ascii="Verdana" w:hAnsi="Verdana"/>
          <w:bCs/>
          <w:sz w:val="22"/>
          <w:szCs w:val="22"/>
        </w:rPr>
        <w:t xml:space="preserve"> </w:t>
      </w:r>
    </w:p>
    <w:p w14:paraId="49EB3D69" w14:textId="77777777" w:rsidR="00186181" w:rsidRPr="00186181" w:rsidRDefault="00186181" w:rsidP="00186181">
      <w:pPr>
        <w:pStyle w:val="Prrafodelista"/>
        <w:rPr>
          <w:rFonts w:ascii="Verdana" w:hAnsi="Verdana"/>
          <w:bCs/>
          <w:sz w:val="22"/>
          <w:szCs w:val="22"/>
        </w:rPr>
      </w:pPr>
    </w:p>
    <w:p w14:paraId="0BDD30E6" w14:textId="31723A79" w:rsidR="00186181" w:rsidRDefault="00186181" w:rsidP="005A1435">
      <w:pPr>
        <w:pStyle w:val="Prrafodelista"/>
        <w:numPr>
          <w:ilvl w:val="0"/>
          <w:numId w:val="4"/>
        </w:numPr>
        <w:jc w:val="both"/>
        <w:rPr>
          <w:rFonts w:ascii="Verdana" w:hAnsi="Verdana" w:cs="Arial"/>
          <w:sz w:val="22"/>
          <w:szCs w:val="22"/>
          <w:shd w:val="clear" w:color="auto" w:fill="FFFFFF"/>
        </w:rPr>
      </w:pPr>
      <w:r w:rsidRPr="00186181">
        <w:rPr>
          <w:rFonts w:ascii="Verdana" w:hAnsi="Verdana"/>
          <w:bCs/>
          <w:sz w:val="22"/>
          <w:szCs w:val="22"/>
        </w:rPr>
        <w:t xml:space="preserve">Se recomienda </w:t>
      </w:r>
      <w:r>
        <w:rPr>
          <w:rFonts w:ascii="Verdana" w:hAnsi="Verdana"/>
          <w:bCs/>
          <w:sz w:val="22"/>
          <w:szCs w:val="22"/>
        </w:rPr>
        <w:t xml:space="preserve">que </w:t>
      </w:r>
      <w:r w:rsidRPr="00186181">
        <w:rPr>
          <w:rFonts w:ascii="Verdana" w:hAnsi="Verdana"/>
          <w:bCs/>
          <w:sz w:val="22"/>
          <w:szCs w:val="22"/>
        </w:rPr>
        <w:t xml:space="preserve">la organización del </w:t>
      </w:r>
      <w:r w:rsidRPr="00186181">
        <w:rPr>
          <w:rFonts w:ascii="Verdana" w:hAnsi="Verdana" w:cs="Arial"/>
          <w:sz w:val="22"/>
          <w:szCs w:val="22"/>
          <w:shd w:val="clear" w:color="auto" w:fill="FFFFFF"/>
        </w:rPr>
        <w:t xml:space="preserve">26 Congreso de Energía MEM </w:t>
      </w:r>
      <w:r>
        <w:rPr>
          <w:rFonts w:ascii="Verdana" w:hAnsi="Verdana" w:cs="Arial"/>
          <w:sz w:val="22"/>
          <w:szCs w:val="22"/>
          <w:shd w:val="clear" w:color="auto" w:fill="FFFFFF"/>
        </w:rPr>
        <w:t>se adelante en formato virtual. Se solicita que el Comité Asesor de Estrategia nos apoye en la construcción de la Agenda Académica.</w:t>
      </w:r>
    </w:p>
    <w:p w14:paraId="7BC001D2" w14:textId="77777777" w:rsidR="0034716D" w:rsidRPr="0034716D" w:rsidRDefault="0034716D" w:rsidP="0034716D">
      <w:pPr>
        <w:pStyle w:val="Prrafodelista"/>
        <w:rPr>
          <w:rFonts w:ascii="Verdana" w:hAnsi="Verdana" w:cs="Arial"/>
          <w:sz w:val="22"/>
          <w:szCs w:val="22"/>
          <w:shd w:val="clear" w:color="auto" w:fill="FFFFFF"/>
        </w:rPr>
      </w:pPr>
    </w:p>
    <w:p w14:paraId="063A0AE1" w14:textId="7D102625" w:rsidR="0034716D" w:rsidRDefault="0034716D" w:rsidP="005A1435">
      <w:pPr>
        <w:pStyle w:val="Prrafodelista"/>
        <w:numPr>
          <w:ilvl w:val="0"/>
          <w:numId w:val="4"/>
        </w:numPr>
        <w:jc w:val="both"/>
        <w:rPr>
          <w:rFonts w:ascii="Verdana" w:hAnsi="Verdana" w:cs="Arial"/>
          <w:sz w:val="22"/>
          <w:szCs w:val="22"/>
          <w:shd w:val="clear" w:color="auto" w:fill="FFFFFF"/>
        </w:rPr>
      </w:pPr>
      <w:r>
        <w:rPr>
          <w:rFonts w:ascii="Verdana" w:hAnsi="Verdana" w:cs="Arial"/>
          <w:sz w:val="22"/>
          <w:szCs w:val="22"/>
          <w:shd w:val="clear" w:color="auto" w:fill="FFFFFF"/>
        </w:rPr>
        <w:t>Se solicita la confirmación de la invitación al Consejo en su carácter de invitado a PRIME ENERGY para el año 2021.</w:t>
      </w:r>
    </w:p>
    <w:p w14:paraId="26012624" w14:textId="77777777" w:rsidR="0034716D" w:rsidRPr="0034716D" w:rsidRDefault="0034716D" w:rsidP="0034716D">
      <w:pPr>
        <w:pStyle w:val="Prrafodelista"/>
        <w:rPr>
          <w:rFonts w:ascii="Verdana" w:hAnsi="Verdana" w:cs="Arial"/>
          <w:sz w:val="22"/>
          <w:szCs w:val="22"/>
          <w:shd w:val="clear" w:color="auto" w:fill="FFFFFF"/>
        </w:rPr>
      </w:pPr>
    </w:p>
    <w:p w14:paraId="6F9443FD" w14:textId="40039B24" w:rsidR="0034716D" w:rsidRDefault="0034716D" w:rsidP="005A1435">
      <w:pPr>
        <w:pStyle w:val="Prrafodelista"/>
        <w:numPr>
          <w:ilvl w:val="0"/>
          <w:numId w:val="4"/>
        </w:numPr>
        <w:jc w:val="both"/>
        <w:rPr>
          <w:rFonts w:ascii="Verdana" w:hAnsi="Verdana" w:cs="Arial"/>
          <w:sz w:val="22"/>
          <w:szCs w:val="22"/>
          <w:shd w:val="clear" w:color="auto" w:fill="FFFFFF"/>
        </w:rPr>
      </w:pPr>
      <w:r>
        <w:rPr>
          <w:rFonts w:ascii="Verdana" w:hAnsi="Verdana" w:cs="Arial"/>
          <w:sz w:val="22"/>
          <w:szCs w:val="22"/>
          <w:shd w:val="clear" w:color="auto" w:fill="FFFFFF"/>
        </w:rPr>
        <w:t>El Cuadro de invitados a Comités y Subcomités es el siguiente;</w:t>
      </w:r>
    </w:p>
    <w:p w14:paraId="19B3D3BE" w14:textId="77777777" w:rsidR="0034716D" w:rsidRPr="0034716D" w:rsidRDefault="0034716D" w:rsidP="0034716D">
      <w:pPr>
        <w:pStyle w:val="Prrafodelista"/>
        <w:rPr>
          <w:rFonts w:ascii="Verdana" w:hAnsi="Verdana" w:cs="Arial"/>
          <w:sz w:val="22"/>
          <w:szCs w:val="22"/>
          <w:shd w:val="clear" w:color="auto" w:fill="FFFFFF"/>
        </w:rPr>
      </w:pPr>
    </w:p>
    <w:p w14:paraId="56E8F95D" w14:textId="77777777" w:rsidR="0034716D" w:rsidRDefault="0034716D" w:rsidP="0034716D"/>
    <w:tbl>
      <w:tblPr>
        <w:tblStyle w:val="Tablaconcuadrcula"/>
        <w:tblW w:w="9356" w:type="dxa"/>
        <w:tblInd w:w="-5" w:type="dxa"/>
        <w:tblLook w:val="04A0" w:firstRow="1" w:lastRow="0" w:firstColumn="1" w:lastColumn="0" w:noHBand="0" w:noVBand="1"/>
      </w:tblPr>
      <w:tblGrid>
        <w:gridCol w:w="2977"/>
        <w:gridCol w:w="2126"/>
        <w:gridCol w:w="4253"/>
      </w:tblGrid>
      <w:tr w:rsidR="0034716D" w14:paraId="0A399FBC" w14:textId="77777777" w:rsidTr="0034716D">
        <w:tc>
          <w:tcPr>
            <w:tcW w:w="2977" w:type="dxa"/>
          </w:tcPr>
          <w:p w14:paraId="42B3546E" w14:textId="77777777" w:rsidR="0034716D" w:rsidRPr="00C30D60" w:rsidRDefault="0034716D" w:rsidP="00BA3C16">
            <w:pPr>
              <w:jc w:val="center"/>
              <w:rPr>
                <w:b/>
              </w:rPr>
            </w:pPr>
            <w:r w:rsidRPr="00C30D60">
              <w:rPr>
                <w:b/>
              </w:rPr>
              <w:t>EMPRESA</w:t>
            </w:r>
          </w:p>
        </w:tc>
        <w:tc>
          <w:tcPr>
            <w:tcW w:w="2126" w:type="dxa"/>
          </w:tcPr>
          <w:p w14:paraId="74BACC29" w14:textId="77777777" w:rsidR="0034716D" w:rsidRPr="00C30D60" w:rsidRDefault="0034716D" w:rsidP="00BA3C16">
            <w:pPr>
              <w:jc w:val="center"/>
              <w:rPr>
                <w:b/>
              </w:rPr>
            </w:pPr>
            <w:r w:rsidRPr="00C30D60">
              <w:rPr>
                <w:b/>
              </w:rPr>
              <w:t>COMITÉ</w:t>
            </w:r>
          </w:p>
        </w:tc>
        <w:tc>
          <w:tcPr>
            <w:tcW w:w="4253" w:type="dxa"/>
          </w:tcPr>
          <w:p w14:paraId="3D3736AF" w14:textId="77777777" w:rsidR="0034716D" w:rsidRPr="00C30D60" w:rsidRDefault="0034716D" w:rsidP="00BA3C16">
            <w:pPr>
              <w:jc w:val="center"/>
              <w:rPr>
                <w:b/>
              </w:rPr>
            </w:pPr>
            <w:r w:rsidRPr="00C30D60">
              <w:rPr>
                <w:b/>
              </w:rPr>
              <w:t>SUBCOMITÉ</w:t>
            </w:r>
          </w:p>
        </w:tc>
      </w:tr>
      <w:tr w:rsidR="0034716D" w14:paraId="65C94127" w14:textId="77777777" w:rsidTr="0034716D">
        <w:tc>
          <w:tcPr>
            <w:tcW w:w="2977" w:type="dxa"/>
          </w:tcPr>
          <w:p w14:paraId="5FB19FB3" w14:textId="77777777" w:rsidR="0034716D" w:rsidRPr="0034716D" w:rsidRDefault="0034716D" w:rsidP="00BA3C16">
            <w:pPr>
              <w:rPr>
                <w:sz w:val="18"/>
                <w:szCs w:val="18"/>
              </w:rPr>
            </w:pPr>
            <w:r w:rsidRPr="0034716D">
              <w:rPr>
                <w:sz w:val="18"/>
                <w:szCs w:val="18"/>
              </w:rPr>
              <w:t>ISA TRANSELCA</w:t>
            </w:r>
          </w:p>
        </w:tc>
        <w:tc>
          <w:tcPr>
            <w:tcW w:w="2126" w:type="dxa"/>
          </w:tcPr>
          <w:p w14:paraId="3C487CE8" w14:textId="77777777" w:rsidR="0034716D" w:rsidRPr="0034716D" w:rsidRDefault="0034716D" w:rsidP="00BA3C16">
            <w:pPr>
              <w:rPr>
                <w:sz w:val="18"/>
                <w:szCs w:val="18"/>
              </w:rPr>
            </w:pPr>
            <w:r w:rsidRPr="0034716D">
              <w:rPr>
                <w:sz w:val="18"/>
                <w:szCs w:val="18"/>
              </w:rPr>
              <w:t>CO – CT – CD - CSYC</w:t>
            </w:r>
          </w:p>
        </w:tc>
        <w:tc>
          <w:tcPr>
            <w:tcW w:w="4253" w:type="dxa"/>
          </w:tcPr>
          <w:p w14:paraId="43EC92D1" w14:textId="77777777" w:rsidR="0034716D" w:rsidRPr="0034716D" w:rsidRDefault="0034716D" w:rsidP="00BA3C16">
            <w:pPr>
              <w:rPr>
                <w:sz w:val="18"/>
                <w:szCs w:val="18"/>
              </w:rPr>
            </w:pPr>
            <w:r w:rsidRPr="0034716D">
              <w:rPr>
                <w:sz w:val="18"/>
                <w:szCs w:val="18"/>
              </w:rPr>
              <w:t>SAPE - SPROTECCIONES</w:t>
            </w:r>
          </w:p>
        </w:tc>
      </w:tr>
      <w:tr w:rsidR="0034716D" w14:paraId="183DCFAD" w14:textId="77777777" w:rsidTr="0034716D">
        <w:tc>
          <w:tcPr>
            <w:tcW w:w="2977" w:type="dxa"/>
          </w:tcPr>
          <w:p w14:paraId="74D55E37" w14:textId="77777777" w:rsidR="0034716D" w:rsidRPr="0034716D" w:rsidRDefault="0034716D" w:rsidP="00BA3C16">
            <w:pPr>
              <w:rPr>
                <w:sz w:val="18"/>
                <w:szCs w:val="18"/>
              </w:rPr>
            </w:pPr>
            <w:r w:rsidRPr="0034716D">
              <w:rPr>
                <w:sz w:val="18"/>
                <w:szCs w:val="18"/>
              </w:rPr>
              <w:t>COMPAÑÍA ELECTRICA DE SOCHAGOTA</w:t>
            </w:r>
          </w:p>
        </w:tc>
        <w:tc>
          <w:tcPr>
            <w:tcW w:w="2126" w:type="dxa"/>
          </w:tcPr>
          <w:p w14:paraId="388C5725" w14:textId="77777777" w:rsidR="0034716D" w:rsidRPr="0034716D" w:rsidRDefault="0034716D" w:rsidP="00BA3C16">
            <w:pPr>
              <w:rPr>
                <w:sz w:val="18"/>
                <w:szCs w:val="18"/>
              </w:rPr>
            </w:pPr>
            <w:r w:rsidRPr="0034716D">
              <w:rPr>
                <w:sz w:val="18"/>
                <w:szCs w:val="18"/>
              </w:rPr>
              <w:t>CO</w:t>
            </w:r>
          </w:p>
        </w:tc>
        <w:tc>
          <w:tcPr>
            <w:tcW w:w="4253" w:type="dxa"/>
          </w:tcPr>
          <w:p w14:paraId="7AF80752" w14:textId="77777777" w:rsidR="0034716D" w:rsidRPr="0034716D" w:rsidRDefault="0034716D" w:rsidP="00BA3C16">
            <w:pPr>
              <w:rPr>
                <w:sz w:val="18"/>
                <w:szCs w:val="18"/>
              </w:rPr>
            </w:pPr>
            <w:r w:rsidRPr="0034716D">
              <w:rPr>
                <w:sz w:val="18"/>
                <w:szCs w:val="18"/>
              </w:rPr>
              <w:t>SAPE – SPO – SURER - SCONTROLES</w:t>
            </w:r>
          </w:p>
        </w:tc>
      </w:tr>
      <w:tr w:rsidR="0034716D" w14:paraId="63A5A8DD" w14:textId="77777777" w:rsidTr="0034716D">
        <w:tc>
          <w:tcPr>
            <w:tcW w:w="2977" w:type="dxa"/>
          </w:tcPr>
          <w:p w14:paraId="1654CF21" w14:textId="77777777" w:rsidR="0034716D" w:rsidRPr="0034716D" w:rsidRDefault="0034716D" w:rsidP="00BA3C16">
            <w:pPr>
              <w:rPr>
                <w:sz w:val="18"/>
                <w:szCs w:val="18"/>
              </w:rPr>
            </w:pPr>
            <w:r w:rsidRPr="0034716D">
              <w:rPr>
                <w:sz w:val="18"/>
                <w:szCs w:val="18"/>
              </w:rPr>
              <w:t>EBSA</w:t>
            </w:r>
          </w:p>
        </w:tc>
        <w:tc>
          <w:tcPr>
            <w:tcW w:w="2126" w:type="dxa"/>
          </w:tcPr>
          <w:p w14:paraId="4E9AF011" w14:textId="77777777" w:rsidR="0034716D" w:rsidRPr="0034716D" w:rsidRDefault="0034716D" w:rsidP="00BA3C16">
            <w:pPr>
              <w:rPr>
                <w:sz w:val="18"/>
                <w:szCs w:val="18"/>
              </w:rPr>
            </w:pPr>
            <w:r w:rsidRPr="0034716D">
              <w:rPr>
                <w:sz w:val="18"/>
                <w:szCs w:val="18"/>
              </w:rPr>
              <w:t>CD – CT - CSYC</w:t>
            </w:r>
          </w:p>
        </w:tc>
        <w:tc>
          <w:tcPr>
            <w:tcW w:w="4253" w:type="dxa"/>
          </w:tcPr>
          <w:p w14:paraId="28F8962B" w14:textId="77777777" w:rsidR="0034716D" w:rsidRPr="0034716D" w:rsidRDefault="0034716D" w:rsidP="00BA3C16">
            <w:pPr>
              <w:rPr>
                <w:sz w:val="18"/>
                <w:szCs w:val="18"/>
              </w:rPr>
            </w:pPr>
            <w:r w:rsidRPr="0034716D">
              <w:rPr>
                <w:sz w:val="18"/>
                <w:szCs w:val="18"/>
              </w:rPr>
              <w:t>SURER – SP - SAPE</w:t>
            </w:r>
          </w:p>
        </w:tc>
      </w:tr>
      <w:tr w:rsidR="0034716D" w14:paraId="652E4C85" w14:textId="77777777" w:rsidTr="0034716D">
        <w:tc>
          <w:tcPr>
            <w:tcW w:w="2977" w:type="dxa"/>
          </w:tcPr>
          <w:p w14:paraId="654C1DCB" w14:textId="77777777" w:rsidR="0034716D" w:rsidRPr="0034716D" w:rsidRDefault="0034716D" w:rsidP="00BA3C16">
            <w:pPr>
              <w:rPr>
                <w:sz w:val="18"/>
                <w:szCs w:val="18"/>
              </w:rPr>
            </w:pPr>
            <w:r w:rsidRPr="0034716D">
              <w:rPr>
                <w:sz w:val="18"/>
                <w:szCs w:val="18"/>
              </w:rPr>
              <w:t>ENERGIA DEL SUROESTE</w:t>
            </w:r>
          </w:p>
        </w:tc>
        <w:tc>
          <w:tcPr>
            <w:tcW w:w="2126" w:type="dxa"/>
          </w:tcPr>
          <w:p w14:paraId="341FEA16" w14:textId="77777777" w:rsidR="0034716D" w:rsidRPr="0034716D" w:rsidRDefault="0034716D" w:rsidP="00BA3C16">
            <w:pPr>
              <w:rPr>
                <w:sz w:val="18"/>
                <w:szCs w:val="18"/>
              </w:rPr>
            </w:pPr>
            <w:r w:rsidRPr="0034716D">
              <w:rPr>
                <w:sz w:val="18"/>
                <w:szCs w:val="18"/>
              </w:rPr>
              <w:t>CO - CSYC</w:t>
            </w:r>
          </w:p>
        </w:tc>
        <w:tc>
          <w:tcPr>
            <w:tcW w:w="4253" w:type="dxa"/>
          </w:tcPr>
          <w:p w14:paraId="476412B4" w14:textId="77777777" w:rsidR="0034716D" w:rsidRPr="0034716D" w:rsidRDefault="0034716D" w:rsidP="00BA3C16">
            <w:pPr>
              <w:rPr>
                <w:sz w:val="18"/>
                <w:szCs w:val="18"/>
              </w:rPr>
            </w:pPr>
            <w:r w:rsidRPr="0034716D">
              <w:rPr>
                <w:sz w:val="18"/>
                <w:szCs w:val="18"/>
              </w:rPr>
              <w:t xml:space="preserve">SURER – SP – SPO </w:t>
            </w:r>
          </w:p>
        </w:tc>
      </w:tr>
      <w:tr w:rsidR="0034716D" w14:paraId="69758D94" w14:textId="77777777" w:rsidTr="0034716D">
        <w:tc>
          <w:tcPr>
            <w:tcW w:w="2977" w:type="dxa"/>
          </w:tcPr>
          <w:p w14:paraId="3C3A6EF2" w14:textId="77777777" w:rsidR="0034716D" w:rsidRPr="0034716D" w:rsidRDefault="0034716D" w:rsidP="00BA3C16">
            <w:pPr>
              <w:rPr>
                <w:sz w:val="18"/>
                <w:szCs w:val="18"/>
              </w:rPr>
            </w:pPr>
            <w:r w:rsidRPr="0034716D">
              <w:rPr>
                <w:sz w:val="18"/>
                <w:szCs w:val="18"/>
              </w:rPr>
              <w:t xml:space="preserve">ENERGIA DEL RIO PIEDRAS </w:t>
            </w:r>
          </w:p>
        </w:tc>
        <w:tc>
          <w:tcPr>
            <w:tcW w:w="2126" w:type="dxa"/>
          </w:tcPr>
          <w:p w14:paraId="28BF1195" w14:textId="77777777" w:rsidR="0034716D" w:rsidRPr="0034716D" w:rsidRDefault="0034716D" w:rsidP="00BA3C16">
            <w:pPr>
              <w:rPr>
                <w:sz w:val="18"/>
                <w:szCs w:val="18"/>
              </w:rPr>
            </w:pPr>
            <w:r w:rsidRPr="0034716D">
              <w:rPr>
                <w:sz w:val="18"/>
                <w:szCs w:val="18"/>
              </w:rPr>
              <w:t>CO - CSYC</w:t>
            </w:r>
          </w:p>
        </w:tc>
        <w:tc>
          <w:tcPr>
            <w:tcW w:w="4253" w:type="dxa"/>
          </w:tcPr>
          <w:p w14:paraId="45124889" w14:textId="77777777" w:rsidR="0034716D" w:rsidRPr="0034716D" w:rsidRDefault="0034716D" w:rsidP="00BA3C16">
            <w:pPr>
              <w:rPr>
                <w:sz w:val="18"/>
                <w:szCs w:val="18"/>
              </w:rPr>
            </w:pPr>
            <w:r w:rsidRPr="0034716D">
              <w:rPr>
                <w:sz w:val="18"/>
                <w:szCs w:val="18"/>
              </w:rPr>
              <w:t xml:space="preserve">SURER – SP – SPO </w:t>
            </w:r>
          </w:p>
        </w:tc>
      </w:tr>
      <w:tr w:rsidR="0034716D" w14:paraId="047401B1" w14:textId="77777777" w:rsidTr="0034716D">
        <w:tc>
          <w:tcPr>
            <w:tcW w:w="2977" w:type="dxa"/>
          </w:tcPr>
          <w:p w14:paraId="5DC5507D" w14:textId="77777777" w:rsidR="0034716D" w:rsidRPr="0034716D" w:rsidRDefault="0034716D" w:rsidP="00BA3C16">
            <w:pPr>
              <w:rPr>
                <w:sz w:val="18"/>
                <w:szCs w:val="18"/>
              </w:rPr>
            </w:pPr>
            <w:r w:rsidRPr="0034716D">
              <w:rPr>
                <w:sz w:val="18"/>
                <w:szCs w:val="18"/>
              </w:rPr>
              <w:t>URRA</w:t>
            </w:r>
          </w:p>
        </w:tc>
        <w:tc>
          <w:tcPr>
            <w:tcW w:w="2126" w:type="dxa"/>
          </w:tcPr>
          <w:p w14:paraId="75ADB08F" w14:textId="77777777" w:rsidR="0034716D" w:rsidRPr="0034716D" w:rsidRDefault="0034716D" w:rsidP="00BA3C16">
            <w:pPr>
              <w:rPr>
                <w:sz w:val="18"/>
                <w:szCs w:val="18"/>
              </w:rPr>
            </w:pPr>
            <w:r w:rsidRPr="0034716D">
              <w:rPr>
                <w:sz w:val="18"/>
                <w:szCs w:val="18"/>
              </w:rPr>
              <w:t>CSYC</w:t>
            </w:r>
          </w:p>
        </w:tc>
        <w:tc>
          <w:tcPr>
            <w:tcW w:w="4253" w:type="dxa"/>
          </w:tcPr>
          <w:p w14:paraId="235B6665" w14:textId="77777777" w:rsidR="0034716D" w:rsidRPr="0034716D" w:rsidRDefault="0034716D" w:rsidP="00BA3C16">
            <w:pPr>
              <w:rPr>
                <w:sz w:val="18"/>
                <w:szCs w:val="18"/>
              </w:rPr>
            </w:pPr>
            <w:r w:rsidRPr="0034716D">
              <w:rPr>
                <w:sz w:val="18"/>
                <w:szCs w:val="18"/>
              </w:rPr>
              <w:t>SURER – SP – SCONTROLES - SPROTECCIONES</w:t>
            </w:r>
          </w:p>
        </w:tc>
      </w:tr>
      <w:tr w:rsidR="0034716D" w14:paraId="3A2D3A0F" w14:textId="77777777" w:rsidTr="0034716D">
        <w:tc>
          <w:tcPr>
            <w:tcW w:w="2977" w:type="dxa"/>
          </w:tcPr>
          <w:p w14:paraId="7171A456" w14:textId="77777777" w:rsidR="0034716D" w:rsidRPr="0034716D" w:rsidRDefault="0034716D" w:rsidP="00BA3C16">
            <w:pPr>
              <w:rPr>
                <w:sz w:val="18"/>
                <w:szCs w:val="18"/>
              </w:rPr>
            </w:pPr>
            <w:r w:rsidRPr="0034716D">
              <w:rPr>
                <w:sz w:val="18"/>
                <w:szCs w:val="18"/>
              </w:rPr>
              <w:t>TERMOCANDELARIA</w:t>
            </w:r>
          </w:p>
        </w:tc>
        <w:tc>
          <w:tcPr>
            <w:tcW w:w="2126" w:type="dxa"/>
          </w:tcPr>
          <w:p w14:paraId="2FBA6A8F" w14:textId="77777777" w:rsidR="0034716D" w:rsidRPr="0034716D" w:rsidRDefault="0034716D" w:rsidP="00BA3C16">
            <w:pPr>
              <w:rPr>
                <w:sz w:val="18"/>
                <w:szCs w:val="18"/>
              </w:rPr>
            </w:pPr>
            <w:r w:rsidRPr="0034716D">
              <w:rPr>
                <w:sz w:val="18"/>
                <w:szCs w:val="18"/>
              </w:rPr>
              <w:t>CSYC</w:t>
            </w:r>
          </w:p>
        </w:tc>
        <w:tc>
          <w:tcPr>
            <w:tcW w:w="4253" w:type="dxa"/>
          </w:tcPr>
          <w:p w14:paraId="1D96B868" w14:textId="77777777" w:rsidR="0034716D" w:rsidRPr="0034716D" w:rsidRDefault="0034716D" w:rsidP="00BA3C16">
            <w:pPr>
              <w:rPr>
                <w:sz w:val="18"/>
                <w:szCs w:val="18"/>
              </w:rPr>
            </w:pPr>
            <w:r w:rsidRPr="0034716D">
              <w:rPr>
                <w:sz w:val="18"/>
                <w:szCs w:val="18"/>
              </w:rPr>
              <w:t>N.A.</w:t>
            </w:r>
          </w:p>
        </w:tc>
      </w:tr>
      <w:tr w:rsidR="0034716D" w14:paraId="52C47AB8" w14:textId="77777777" w:rsidTr="0034716D">
        <w:tc>
          <w:tcPr>
            <w:tcW w:w="2977" w:type="dxa"/>
          </w:tcPr>
          <w:p w14:paraId="741927D7" w14:textId="77777777" w:rsidR="0034716D" w:rsidRPr="0034716D" w:rsidRDefault="0034716D" w:rsidP="00BA3C16">
            <w:pPr>
              <w:rPr>
                <w:sz w:val="18"/>
                <w:szCs w:val="18"/>
              </w:rPr>
            </w:pPr>
            <w:r w:rsidRPr="0034716D">
              <w:rPr>
                <w:sz w:val="18"/>
                <w:szCs w:val="18"/>
              </w:rPr>
              <w:t>ENEL GREEN POWER</w:t>
            </w:r>
          </w:p>
        </w:tc>
        <w:tc>
          <w:tcPr>
            <w:tcW w:w="2126" w:type="dxa"/>
          </w:tcPr>
          <w:p w14:paraId="041A4D82" w14:textId="77777777" w:rsidR="0034716D" w:rsidRPr="0034716D" w:rsidRDefault="0034716D" w:rsidP="00BA3C16">
            <w:pPr>
              <w:rPr>
                <w:sz w:val="18"/>
                <w:szCs w:val="18"/>
              </w:rPr>
            </w:pPr>
            <w:r w:rsidRPr="0034716D">
              <w:rPr>
                <w:sz w:val="18"/>
                <w:szCs w:val="18"/>
              </w:rPr>
              <w:t>N.A.</w:t>
            </w:r>
          </w:p>
        </w:tc>
        <w:tc>
          <w:tcPr>
            <w:tcW w:w="4253" w:type="dxa"/>
          </w:tcPr>
          <w:p w14:paraId="001C2502" w14:textId="77777777" w:rsidR="0034716D" w:rsidRPr="0034716D" w:rsidRDefault="0034716D" w:rsidP="00BA3C16">
            <w:pPr>
              <w:rPr>
                <w:sz w:val="18"/>
                <w:szCs w:val="18"/>
              </w:rPr>
            </w:pPr>
            <w:r w:rsidRPr="0034716D">
              <w:rPr>
                <w:sz w:val="18"/>
                <w:szCs w:val="18"/>
              </w:rPr>
              <w:t>SP – SURER – SCONTROLES – SPROTECCIONES - SAPE</w:t>
            </w:r>
          </w:p>
        </w:tc>
      </w:tr>
      <w:tr w:rsidR="0034716D" w14:paraId="5B5AE905" w14:textId="77777777" w:rsidTr="0034716D">
        <w:tc>
          <w:tcPr>
            <w:tcW w:w="2977" w:type="dxa"/>
          </w:tcPr>
          <w:p w14:paraId="56A4B923" w14:textId="77777777" w:rsidR="0034716D" w:rsidRPr="0034716D" w:rsidRDefault="0034716D" w:rsidP="00BA3C16">
            <w:pPr>
              <w:rPr>
                <w:sz w:val="18"/>
                <w:szCs w:val="18"/>
              </w:rPr>
            </w:pPr>
            <w:r w:rsidRPr="0034716D">
              <w:rPr>
                <w:sz w:val="18"/>
                <w:szCs w:val="18"/>
              </w:rPr>
              <w:t>COMPAÑÍA ENERGÉTICA DE OCCIDENTE</w:t>
            </w:r>
          </w:p>
        </w:tc>
        <w:tc>
          <w:tcPr>
            <w:tcW w:w="2126" w:type="dxa"/>
          </w:tcPr>
          <w:p w14:paraId="085F6935" w14:textId="77777777" w:rsidR="0034716D" w:rsidRPr="0034716D" w:rsidRDefault="0034716D" w:rsidP="00BA3C16">
            <w:pPr>
              <w:rPr>
                <w:sz w:val="18"/>
                <w:szCs w:val="18"/>
              </w:rPr>
            </w:pPr>
            <w:r w:rsidRPr="0034716D">
              <w:rPr>
                <w:sz w:val="18"/>
                <w:szCs w:val="18"/>
              </w:rPr>
              <w:t>CO – CD - CLEGAL</w:t>
            </w:r>
          </w:p>
        </w:tc>
        <w:tc>
          <w:tcPr>
            <w:tcW w:w="4253" w:type="dxa"/>
          </w:tcPr>
          <w:p w14:paraId="4F53C289" w14:textId="77777777" w:rsidR="0034716D" w:rsidRPr="0034716D" w:rsidRDefault="0034716D" w:rsidP="00BA3C16">
            <w:pPr>
              <w:rPr>
                <w:sz w:val="18"/>
                <w:szCs w:val="18"/>
              </w:rPr>
            </w:pPr>
            <w:r w:rsidRPr="0034716D">
              <w:rPr>
                <w:sz w:val="18"/>
                <w:szCs w:val="18"/>
              </w:rPr>
              <w:t>N.A.</w:t>
            </w:r>
          </w:p>
        </w:tc>
      </w:tr>
      <w:tr w:rsidR="0034716D" w14:paraId="47D3F41B" w14:textId="77777777" w:rsidTr="0034716D">
        <w:tc>
          <w:tcPr>
            <w:tcW w:w="2977" w:type="dxa"/>
          </w:tcPr>
          <w:p w14:paraId="49AA4A32" w14:textId="77777777" w:rsidR="0034716D" w:rsidRPr="0034716D" w:rsidRDefault="0034716D" w:rsidP="00BA3C16">
            <w:pPr>
              <w:rPr>
                <w:sz w:val="18"/>
                <w:szCs w:val="18"/>
              </w:rPr>
            </w:pPr>
            <w:r w:rsidRPr="0034716D">
              <w:rPr>
                <w:sz w:val="18"/>
                <w:szCs w:val="18"/>
              </w:rPr>
              <w:t>CEDENAR</w:t>
            </w:r>
          </w:p>
        </w:tc>
        <w:tc>
          <w:tcPr>
            <w:tcW w:w="2126" w:type="dxa"/>
          </w:tcPr>
          <w:p w14:paraId="24ED30CA" w14:textId="77777777" w:rsidR="0034716D" w:rsidRPr="0034716D" w:rsidRDefault="0034716D" w:rsidP="00BA3C16">
            <w:pPr>
              <w:rPr>
                <w:sz w:val="18"/>
                <w:szCs w:val="18"/>
              </w:rPr>
            </w:pPr>
            <w:r w:rsidRPr="0034716D">
              <w:rPr>
                <w:sz w:val="18"/>
                <w:szCs w:val="18"/>
              </w:rPr>
              <w:t>CD</w:t>
            </w:r>
          </w:p>
        </w:tc>
        <w:tc>
          <w:tcPr>
            <w:tcW w:w="4253" w:type="dxa"/>
          </w:tcPr>
          <w:p w14:paraId="3A7579F1" w14:textId="77777777" w:rsidR="0034716D" w:rsidRPr="0034716D" w:rsidRDefault="0034716D" w:rsidP="00BA3C16">
            <w:pPr>
              <w:rPr>
                <w:sz w:val="18"/>
                <w:szCs w:val="18"/>
              </w:rPr>
            </w:pPr>
            <w:r w:rsidRPr="0034716D">
              <w:rPr>
                <w:sz w:val="18"/>
                <w:szCs w:val="18"/>
              </w:rPr>
              <w:t>N.A.</w:t>
            </w:r>
          </w:p>
        </w:tc>
      </w:tr>
      <w:tr w:rsidR="0034716D" w14:paraId="51AB2F58" w14:textId="77777777" w:rsidTr="0034716D">
        <w:tc>
          <w:tcPr>
            <w:tcW w:w="2977" w:type="dxa"/>
          </w:tcPr>
          <w:p w14:paraId="29489CAE" w14:textId="77777777" w:rsidR="0034716D" w:rsidRPr="0034716D" w:rsidRDefault="0034716D" w:rsidP="00BA3C16">
            <w:pPr>
              <w:rPr>
                <w:sz w:val="18"/>
                <w:szCs w:val="18"/>
              </w:rPr>
            </w:pPr>
            <w:r w:rsidRPr="0034716D">
              <w:rPr>
                <w:sz w:val="18"/>
                <w:szCs w:val="18"/>
              </w:rPr>
              <w:t>TRANSELCA</w:t>
            </w:r>
          </w:p>
        </w:tc>
        <w:tc>
          <w:tcPr>
            <w:tcW w:w="2126" w:type="dxa"/>
          </w:tcPr>
          <w:p w14:paraId="61AF9620" w14:textId="77777777" w:rsidR="0034716D" w:rsidRPr="0034716D" w:rsidRDefault="0034716D" w:rsidP="00BA3C16">
            <w:pPr>
              <w:rPr>
                <w:sz w:val="18"/>
                <w:szCs w:val="18"/>
              </w:rPr>
            </w:pPr>
            <w:r w:rsidRPr="0034716D">
              <w:rPr>
                <w:sz w:val="18"/>
                <w:szCs w:val="18"/>
              </w:rPr>
              <w:t>CD</w:t>
            </w:r>
          </w:p>
        </w:tc>
        <w:tc>
          <w:tcPr>
            <w:tcW w:w="4253" w:type="dxa"/>
          </w:tcPr>
          <w:p w14:paraId="281F3E71" w14:textId="77777777" w:rsidR="0034716D" w:rsidRPr="0034716D" w:rsidRDefault="0034716D" w:rsidP="00BA3C16">
            <w:pPr>
              <w:rPr>
                <w:sz w:val="18"/>
                <w:szCs w:val="18"/>
              </w:rPr>
            </w:pPr>
            <w:r w:rsidRPr="0034716D">
              <w:rPr>
                <w:sz w:val="18"/>
                <w:szCs w:val="18"/>
              </w:rPr>
              <w:t>N.A.</w:t>
            </w:r>
          </w:p>
        </w:tc>
      </w:tr>
      <w:tr w:rsidR="0034716D" w14:paraId="01EB447F" w14:textId="77777777" w:rsidTr="0034716D">
        <w:tc>
          <w:tcPr>
            <w:tcW w:w="2977" w:type="dxa"/>
          </w:tcPr>
          <w:p w14:paraId="2F4428F3" w14:textId="77777777" w:rsidR="0034716D" w:rsidRPr="0034716D" w:rsidRDefault="0034716D" w:rsidP="00BA3C16">
            <w:pPr>
              <w:rPr>
                <w:sz w:val="18"/>
                <w:szCs w:val="18"/>
              </w:rPr>
            </w:pPr>
            <w:r w:rsidRPr="0034716D">
              <w:rPr>
                <w:sz w:val="18"/>
                <w:szCs w:val="18"/>
              </w:rPr>
              <w:t>ELECTROHUILA</w:t>
            </w:r>
          </w:p>
        </w:tc>
        <w:tc>
          <w:tcPr>
            <w:tcW w:w="2126" w:type="dxa"/>
          </w:tcPr>
          <w:p w14:paraId="64E3ADEB" w14:textId="77777777" w:rsidR="0034716D" w:rsidRPr="0034716D" w:rsidRDefault="0034716D" w:rsidP="00BA3C16">
            <w:pPr>
              <w:rPr>
                <w:sz w:val="18"/>
                <w:szCs w:val="18"/>
              </w:rPr>
            </w:pPr>
            <w:r w:rsidRPr="0034716D">
              <w:rPr>
                <w:sz w:val="18"/>
                <w:szCs w:val="18"/>
              </w:rPr>
              <w:t>CO</w:t>
            </w:r>
          </w:p>
        </w:tc>
        <w:tc>
          <w:tcPr>
            <w:tcW w:w="4253" w:type="dxa"/>
          </w:tcPr>
          <w:p w14:paraId="0D9400B1" w14:textId="77777777" w:rsidR="0034716D" w:rsidRPr="0034716D" w:rsidRDefault="0034716D" w:rsidP="00BA3C16">
            <w:pPr>
              <w:rPr>
                <w:sz w:val="18"/>
                <w:szCs w:val="18"/>
              </w:rPr>
            </w:pPr>
            <w:r w:rsidRPr="0034716D">
              <w:rPr>
                <w:sz w:val="18"/>
                <w:szCs w:val="18"/>
              </w:rPr>
              <w:t>N.A.</w:t>
            </w:r>
          </w:p>
        </w:tc>
      </w:tr>
      <w:tr w:rsidR="0034716D" w14:paraId="5148513A" w14:textId="77777777" w:rsidTr="0034716D">
        <w:tc>
          <w:tcPr>
            <w:tcW w:w="2977" w:type="dxa"/>
          </w:tcPr>
          <w:p w14:paraId="39AF6679" w14:textId="77777777" w:rsidR="0034716D" w:rsidRPr="0034716D" w:rsidRDefault="0034716D" w:rsidP="00BA3C16">
            <w:pPr>
              <w:rPr>
                <w:sz w:val="18"/>
                <w:szCs w:val="18"/>
              </w:rPr>
            </w:pPr>
            <w:r w:rsidRPr="0034716D">
              <w:rPr>
                <w:sz w:val="18"/>
                <w:szCs w:val="18"/>
              </w:rPr>
              <w:t>GENSA</w:t>
            </w:r>
          </w:p>
        </w:tc>
        <w:tc>
          <w:tcPr>
            <w:tcW w:w="2126" w:type="dxa"/>
          </w:tcPr>
          <w:p w14:paraId="18FAFB7D" w14:textId="77777777" w:rsidR="0034716D" w:rsidRPr="0034716D" w:rsidRDefault="0034716D" w:rsidP="00BA3C16">
            <w:pPr>
              <w:rPr>
                <w:sz w:val="18"/>
                <w:szCs w:val="18"/>
              </w:rPr>
            </w:pPr>
            <w:r w:rsidRPr="0034716D">
              <w:rPr>
                <w:sz w:val="18"/>
                <w:szCs w:val="18"/>
              </w:rPr>
              <w:t>N.A.</w:t>
            </w:r>
          </w:p>
        </w:tc>
        <w:tc>
          <w:tcPr>
            <w:tcW w:w="4253" w:type="dxa"/>
          </w:tcPr>
          <w:p w14:paraId="6F8EB87C" w14:textId="77777777" w:rsidR="0034716D" w:rsidRPr="0034716D" w:rsidRDefault="0034716D" w:rsidP="00BA3C16">
            <w:pPr>
              <w:rPr>
                <w:sz w:val="18"/>
                <w:szCs w:val="18"/>
              </w:rPr>
            </w:pPr>
            <w:r w:rsidRPr="0034716D">
              <w:rPr>
                <w:sz w:val="18"/>
                <w:szCs w:val="18"/>
              </w:rPr>
              <w:t>SP</w:t>
            </w:r>
          </w:p>
        </w:tc>
      </w:tr>
      <w:tr w:rsidR="0034716D" w14:paraId="3CBBEC26" w14:textId="77777777" w:rsidTr="0034716D">
        <w:tc>
          <w:tcPr>
            <w:tcW w:w="2977" w:type="dxa"/>
          </w:tcPr>
          <w:p w14:paraId="5E60F25D" w14:textId="77777777" w:rsidR="0034716D" w:rsidRPr="0034716D" w:rsidRDefault="0034716D" w:rsidP="00BA3C16">
            <w:pPr>
              <w:rPr>
                <w:sz w:val="18"/>
                <w:szCs w:val="18"/>
              </w:rPr>
            </w:pPr>
            <w:r w:rsidRPr="0034716D">
              <w:rPr>
                <w:sz w:val="18"/>
                <w:szCs w:val="18"/>
              </w:rPr>
              <w:lastRenderedPageBreak/>
              <w:t>GENERADORA ALEJANDRIA</w:t>
            </w:r>
          </w:p>
        </w:tc>
        <w:tc>
          <w:tcPr>
            <w:tcW w:w="2126" w:type="dxa"/>
          </w:tcPr>
          <w:p w14:paraId="483EC0E3" w14:textId="77777777" w:rsidR="0034716D" w:rsidRPr="0034716D" w:rsidRDefault="0034716D" w:rsidP="00BA3C16">
            <w:pPr>
              <w:rPr>
                <w:sz w:val="18"/>
                <w:szCs w:val="18"/>
              </w:rPr>
            </w:pPr>
            <w:r w:rsidRPr="0034716D">
              <w:rPr>
                <w:sz w:val="18"/>
                <w:szCs w:val="18"/>
              </w:rPr>
              <w:t>N.A.</w:t>
            </w:r>
          </w:p>
        </w:tc>
        <w:tc>
          <w:tcPr>
            <w:tcW w:w="4253" w:type="dxa"/>
          </w:tcPr>
          <w:p w14:paraId="2A7A9BE8" w14:textId="77777777" w:rsidR="0034716D" w:rsidRPr="0034716D" w:rsidRDefault="0034716D" w:rsidP="00BA3C16">
            <w:pPr>
              <w:rPr>
                <w:sz w:val="18"/>
                <w:szCs w:val="18"/>
              </w:rPr>
            </w:pPr>
            <w:r w:rsidRPr="0034716D">
              <w:rPr>
                <w:sz w:val="18"/>
                <w:szCs w:val="18"/>
              </w:rPr>
              <w:t>SURER - SP</w:t>
            </w:r>
          </w:p>
        </w:tc>
      </w:tr>
      <w:tr w:rsidR="0034716D" w14:paraId="175D6E36" w14:textId="77777777" w:rsidTr="0034716D">
        <w:tc>
          <w:tcPr>
            <w:tcW w:w="2977" w:type="dxa"/>
          </w:tcPr>
          <w:p w14:paraId="105F319E" w14:textId="77777777" w:rsidR="0034716D" w:rsidRPr="0034716D" w:rsidRDefault="0034716D" w:rsidP="00BA3C16">
            <w:pPr>
              <w:rPr>
                <w:sz w:val="18"/>
                <w:szCs w:val="18"/>
              </w:rPr>
            </w:pPr>
            <w:r w:rsidRPr="0034716D">
              <w:rPr>
                <w:sz w:val="18"/>
                <w:szCs w:val="18"/>
              </w:rPr>
              <w:t>TERMONORTE</w:t>
            </w:r>
          </w:p>
        </w:tc>
        <w:tc>
          <w:tcPr>
            <w:tcW w:w="2126" w:type="dxa"/>
          </w:tcPr>
          <w:p w14:paraId="2EFF3CA3" w14:textId="77777777" w:rsidR="0034716D" w:rsidRPr="0034716D" w:rsidRDefault="0034716D" w:rsidP="00BA3C16">
            <w:pPr>
              <w:rPr>
                <w:sz w:val="18"/>
                <w:szCs w:val="18"/>
              </w:rPr>
            </w:pPr>
            <w:r w:rsidRPr="0034716D">
              <w:rPr>
                <w:sz w:val="18"/>
                <w:szCs w:val="18"/>
              </w:rPr>
              <w:t>Pendiente por definir</w:t>
            </w:r>
          </w:p>
        </w:tc>
        <w:tc>
          <w:tcPr>
            <w:tcW w:w="4253" w:type="dxa"/>
          </w:tcPr>
          <w:p w14:paraId="10C60293" w14:textId="77777777" w:rsidR="0034716D" w:rsidRPr="0034716D" w:rsidRDefault="0034716D" w:rsidP="00BA3C16">
            <w:pPr>
              <w:rPr>
                <w:sz w:val="18"/>
                <w:szCs w:val="18"/>
              </w:rPr>
            </w:pPr>
            <w:r w:rsidRPr="0034716D">
              <w:rPr>
                <w:sz w:val="18"/>
                <w:szCs w:val="18"/>
              </w:rPr>
              <w:t>Pendiente por definir</w:t>
            </w:r>
          </w:p>
        </w:tc>
      </w:tr>
    </w:tbl>
    <w:p w14:paraId="7659D8EB" w14:textId="77777777" w:rsidR="0034716D" w:rsidRDefault="0034716D" w:rsidP="0034716D"/>
    <w:p w14:paraId="5F2496A3" w14:textId="52651CAD" w:rsidR="0034716D" w:rsidRDefault="0034716D" w:rsidP="0034716D">
      <w:pPr>
        <w:jc w:val="both"/>
        <w:rPr>
          <w:rFonts w:ascii="Verdana" w:hAnsi="Verdana" w:cs="Arial"/>
          <w:sz w:val="22"/>
          <w:szCs w:val="22"/>
          <w:shd w:val="clear" w:color="auto" w:fill="FFFFFF"/>
        </w:rPr>
      </w:pPr>
    </w:p>
    <w:p w14:paraId="74F33B51" w14:textId="4C51BE73" w:rsidR="0071693F" w:rsidRPr="00186181" w:rsidRDefault="00186181" w:rsidP="007A1A0B">
      <w:pPr>
        <w:jc w:val="both"/>
        <w:rPr>
          <w:rFonts w:ascii="Verdana" w:eastAsia="Verdana" w:hAnsi="Verdana" w:cs="Verdana"/>
          <w:b/>
          <w:bCs/>
          <w:sz w:val="22"/>
          <w:szCs w:val="22"/>
          <w:u w:val="single"/>
        </w:rPr>
      </w:pPr>
      <w:r w:rsidRPr="00186181">
        <w:rPr>
          <w:rFonts w:ascii="Verdana" w:hAnsi="Verdana" w:cs="Arial"/>
          <w:b/>
          <w:bCs/>
          <w:sz w:val="22"/>
          <w:szCs w:val="22"/>
          <w:u w:val="single"/>
          <w:shd w:val="clear" w:color="auto" w:fill="FFFFFF"/>
        </w:rPr>
        <w:t>A</w:t>
      </w:r>
      <w:r w:rsidR="0071693F" w:rsidRPr="00186181">
        <w:rPr>
          <w:rFonts w:ascii="Verdana" w:eastAsia="Verdana" w:hAnsi="Verdana" w:cs="Verdana"/>
          <w:b/>
          <w:bCs/>
          <w:sz w:val="22"/>
          <w:szCs w:val="22"/>
          <w:u w:val="single"/>
        </w:rPr>
        <w:t>spectos Técnicos:</w:t>
      </w:r>
    </w:p>
    <w:p w14:paraId="14FEE31E" w14:textId="77777777" w:rsidR="002B752C" w:rsidRPr="00601C70" w:rsidRDefault="002B752C" w:rsidP="00601C70">
      <w:pPr>
        <w:jc w:val="both"/>
        <w:rPr>
          <w:rFonts w:ascii="Verdana" w:hAnsi="Verdana"/>
          <w:bCs/>
          <w:sz w:val="22"/>
          <w:szCs w:val="22"/>
        </w:rPr>
      </w:pPr>
    </w:p>
    <w:p w14:paraId="1A02131D" w14:textId="4C5E1B32" w:rsidR="00522E99" w:rsidRDefault="00D435B7" w:rsidP="00522E99">
      <w:pPr>
        <w:pStyle w:val="Prrafodelista"/>
        <w:numPr>
          <w:ilvl w:val="0"/>
          <w:numId w:val="4"/>
        </w:numPr>
        <w:jc w:val="both"/>
        <w:rPr>
          <w:rFonts w:ascii="Verdana" w:hAnsi="Verdana"/>
          <w:bCs/>
          <w:sz w:val="22"/>
          <w:szCs w:val="22"/>
        </w:rPr>
      </w:pPr>
      <w:r w:rsidRPr="00601C70">
        <w:rPr>
          <w:rFonts w:ascii="Verdana" w:hAnsi="Verdana"/>
          <w:bCs/>
          <w:sz w:val="22"/>
          <w:szCs w:val="22"/>
        </w:rPr>
        <w:t>Teniendo en cuenta el seguimiento que est</w:t>
      </w:r>
      <w:r w:rsidR="00C214DC">
        <w:rPr>
          <w:rFonts w:ascii="Verdana" w:hAnsi="Verdana"/>
          <w:bCs/>
          <w:sz w:val="22"/>
          <w:szCs w:val="22"/>
        </w:rPr>
        <w:t>á</w:t>
      </w:r>
      <w:r w:rsidRPr="00601C70">
        <w:rPr>
          <w:rFonts w:ascii="Verdana" w:hAnsi="Verdana"/>
          <w:bCs/>
          <w:sz w:val="22"/>
          <w:szCs w:val="22"/>
        </w:rPr>
        <w:t xml:space="preserve"> realizando el CND a la condición del Sistema en el marco de la Resolución CREG 209 de 2020</w:t>
      </w:r>
      <w:r w:rsidR="00840A30">
        <w:rPr>
          <w:rFonts w:ascii="Verdana" w:hAnsi="Verdana"/>
          <w:bCs/>
          <w:sz w:val="22"/>
          <w:szCs w:val="22"/>
        </w:rPr>
        <w:t>-</w:t>
      </w:r>
      <w:r w:rsidR="00840A30" w:rsidRPr="007B21B9">
        <w:rPr>
          <w:rFonts w:ascii="Verdana" w:hAnsi="Verdana"/>
          <w:bCs/>
          <w:sz w:val="22"/>
          <w:szCs w:val="22"/>
        </w:rPr>
        <w:t>Estatuto para Situaciones de Riesgo de Desabastecimiento</w:t>
      </w:r>
      <w:r w:rsidRPr="00601C70">
        <w:rPr>
          <w:rFonts w:ascii="Verdana" w:hAnsi="Verdana"/>
          <w:bCs/>
          <w:sz w:val="22"/>
          <w:szCs w:val="22"/>
        </w:rPr>
        <w:t xml:space="preserve">, </w:t>
      </w:r>
      <w:r>
        <w:rPr>
          <w:rFonts w:ascii="Verdana" w:hAnsi="Verdana"/>
          <w:bCs/>
          <w:sz w:val="22"/>
          <w:szCs w:val="22"/>
        </w:rPr>
        <w:t>s</w:t>
      </w:r>
      <w:r w:rsidR="002446A7" w:rsidRPr="007B21B9">
        <w:rPr>
          <w:rFonts w:ascii="Verdana" w:hAnsi="Verdana"/>
          <w:bCs/>
          <w:sz w:val="22"/>
          <w:szCs w:val="22"/>
        </w:rPr>
        <w:t xml:space="preserve">e </w:t>
      </w:r>
      <w:r>
        <w:rPr>
          <w:rFonts w:ascii="Verdana" w:hAnsi="Verdana"/>
          <w:bCs/>
          <w:sz w:val="22"/>
          <w:szCs w:val="22"/>
        </w:rPr>
        <w:t>suspendió</w:t>
      </w:r>
      <w:r w:rsidR="002446A7" w:rsidRPr="007B21B9">
        <w:rPr>
          <w:rFonts w:ascii="Verdana" w:hAnsi="Verdana"/>
          <w:bCs/>
          <w:sz w:val="22"/>
          <w:szCs w:val="22"/>
        </w:rPr>
        <w:t xml:space="preserve"> </w:t>
      </w:r>
      <w:r>
        <w:rPr>
          <w:rFonts w:ascii="Verdana" w:hAnsi="Verdana"/>
          <w:bCs/>
          <w:sz w:val="22"/>
          <w:szCs w:val="22"/>
        </w:rPr>
        <w:t xml:space="preserve">con </w:t>
      </w:r>
      <w:r w:rsidR="002446A7" w:rsidRPr="007B21B9">
        <w:rPr>
          <w:rFonts w:ascii="Verdana" w:hAnsi="Verdana"/>
          <w:bCs/>
          <w:sz w:val="22"/>
          <w:szCs w:val="22"/>
        </w:rPr>
        <w:t>el desarrollador de la p</w:t>
      </w:r>
      <w:r w:rsidR="00453291" w:rsidRPr="007B21B9">
        <w:rPr>
          <w:rFonts w:ascii="Verdana" w:hAnsi="Verdana"/>
          <w:bCs/>
          <w:sz w:val="22"/>
          <w:szCs w:val="22"/>
        </w:rPr>
        <w:t>á</w:t>
      </w:r>
      <w:r w:rsidR="002446A7" w:rsidRPr="007B21B9">
        <w:rPr>
          <w:rFonts w:ascii="Verdana" w:hAnsi="Verdana"/>
          <w:bCs/>
          <w:sz w:val="22"/>
          <w:szCs w:val="22"/>
        </w:rPr>
        <w:t xml:space="preserve">gina </w:t>
      </w:r>
      <w:r w:rsidR="007B21B9" w:rsidRPr="007B21B9">
        <w:rPr>
          <w:rFonts w:ascii="Verdana" w:hAnsi="Verdana"/>
          <w:bCs/>
          <w:sz w:val="22"/>
          <w:szCs w:val="22"/>
        </w:rPr>
        <w:t xml:space="preserve">las </w:t>
      </w:r>
      <w:r w:rsidR="002446A7" w:rsidRPr="007B21B9">
        <w:rPr>
          <w:rFonts w:ascii="Verdana" w:hAnsi="Verdana"/>
          <w:bCs/>
          <w:sz w:val="22"/>
          <w:szCs w:val="22"/>
        </w:rPr>
        <w:t>implementaciones</w:t>
      </w:r>
      <w:r w:rsidR="007B21B9" w:rsidRPr="007B21B9">
        <w:rPr>
          <w:rFonts w:ascii="Verdana" w:hAnsi="Verdana"/>
          <w:bCs/>
          <w:sz w:val="22"/>
          <w:szCs w:val="22"/>
        </w:rPr>
        <w:t xml:space="preserve"> </w:t>
      </w:r>
      <w:r w:rsidR="00840A30">
        <w:rPr>
          <w:rFonts w:ascii="Verdana" w:hAnsi="Verdana"/>
          <w:bCs/>
          <w:sz w:val="22"/>
          <w:szCs w:val="22"/>
        </w:rPr>
        <w:t>acordadas en la reunión CNO 626</w:t>
      </w:r>
      <w:r w:rsidR="009A438D">
        <w:rPr>
          <w:rFonts w:ascii="Verdana" w:hAnsi="Verdana"/>
          <w:bCs/>
          <w:sz w:val="22"/>
          <w:szCs w:val="22"/>
        </w:rPr>
        <w:t>.</w:t>
      </w:r>
      <w:r w:rsidR="007B21B9" w:rsidRPr="007B21B9">
        <w:rPr>
          <w:rFonts w:ascii="Verdana" w:hAnsi="Verdana"/>
          <w:bCs/>
          <w:sz w:val="22"/>
          <w:szCs w:val="22"/>
        </w:rPr>
        <w:t xml:space="preserve"> </w:t>
      </w:r>
      <w:r w:rsidR="00840A30">
        <w:rPr>
          <w:rFonts w:ascii="Verdana" w:hAnsi="Verdana"/>
          <w:bCs/>
          <w:sz w:val="22"/>
          <w:szCs w:val="22"/>
        </w:rPr>
        <w:t>En este sentido, sugerimos al CND llevar a cabo el seguimiento de la siguiente gráfica, posibilitando contrastar la evolución de las variables reales con las sendas propuestas por el CNO y el CND junto con las variables de salida de las simulaciones que permitieron establecer las mismas</w:t>
      </w:r>
      <w:r w:rsidR="007B21B9" w:rsidRPr="007B21B9">
        <w:rPr>
          <w:rFonts w:ascii="Verdana" w:hAnsi="Verdana"/>
          <w:bCs/>
          <w:sz w:val="22"/>
          <w:szCs w:val="22"/>
        </w:rPr>
        <w:t>.</w:t>
      </w:r>
    </w:p>
    <w:p w14:paraId="1D569A45" w14:textId="1E68FCB2" w:rsidR="00840A30" w:rsidRDefault="00840A30" w:rsidP="00840A30">
      <w:pPr>
        <w:pStyle w:val="Prrafodelista"/>
        <w:ind w:left="360"/>
        <w:jc w:val="both"/>
        <w:rPr>
          <w:rFonts w:ascii="Verdana" w:hAnsi="Verdana"/>
          <w:bCs/>
          <w:sz w:val="22"/>
          <w:szCs w:val="22"/>
        </w:rPr>
      </w:pPr>
    </w:p>
    <w:p w14:paraId="3CB2F1E9" w14:textId="37F748CB" w:rsidR="00840A30" w:rsidRDefault="00840A30" w:rsidP="007E2A25">
      <w:pPr>
        <w:pStyle w:val="Prrafodelista"/>
        <w:ind w:left="360"/>
        <w:jc w:val="center"/>
        <w:rPr>
          <w:rFonts w:ascii="Verdana" w:hAnsi="Verdana"/>
          <w:bCs/>
          <w:sz w:val="22"/>
          <w:szCs w:val="22"/>
        </w:rPr>
      </w:pPr>
      <w:r>
        <w:rPr>
          <w:noProof/>
        </w:rPr>
        <w:drawing>
          <wp:inline distT="0" distB="0" distL="0" distR="0" wp14:anchorId="24B062B9" wp14:editId="6847A000">
            <wp:extent cx="4871102" cy="2464496"/>
            <wp:effectExtent l="0" t="0" r="571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448" r="4114" b="12259"/>
                    <a:stretch/>
                  </pic:blipFill>
                  <pic:spPr bwMode="auto">
                    <a:xfrm>
                      <a:off x="0" y="0"/>
                      <a:ext cx="4877658" cy="2467813"/>
                    </a:xfrm>
                    <a:prstGeom prst="rect">
                      <a:avLst/>
                    </a:prstGeom>
                    <a:ln>
                      <a:noFill/>
                    </a:ln>
                    <a:extLst>
                      <a:ext uri="{53640926-AAD7-44D8-BBD7-CCE9431645EC}">
                        <a14:shadowObscured xmlns:a14="http://schemas.microsoft.com/office/drawing/2010/main"/>
                      </a:ext>
                    </a:extLst>
                  </pic:spPr>
                </pic:pic>
              </a:graphicData>
            </a:graphic>
          </wp:inline>
        </w:drawing>
      </w:r>
    </w:p>
    <w:p w14:paraId="18E8092E" w14:textId="77777777" w:rsidR="00522E99" w:rsidRDefault="00522E99" w:rsidP="00522E99">
      <w:pPr>
        <w:pStyle w:val="Prrafodelista"/>
        <w:ind w:left="360"/>
        <w:jc w:val="both"/>
        <w:rPr>
          <w:rFonts w:ascii="Verdana" w:hAnsi="Verdana"/>
          <w:bCs/>
          <w:sz w:val="22"/>
          <w:szCs w:val="22"/>
        </w:rPr>
      </w:pPr>
    </w:p>
    <w:p w14:paraId="77905921" w14:textId="7B573DF9" w:rsidR="00374CCA" w:rsidRPr="00601C70" w:rsidRDefault="00563358" w:rsidP="00601C70">
      <w:pPr>
        <w:pStyle w:val="Prrafodelista"/>
        <w:ind w:left="360"/>
        <w:jc w:val="both"/>
        <w:rPr>
          <w:rFonts w:ascii="Verdana" w:hAnsi="Verdana"/>
          <w:bCs/>
          <w:sz w:val="22"/>
          <w:szCs w:val="22"/>
        </w:rPr>
      </w:pPr>
      <w:r>
        <w:rPr>
          <w:rFonts w:ascii="Verdana" w:hAnsi="Verdana"/>
          <w:bCs/>
          <w:sz w:val="22"/>
          <w:szCs w:val="22"/>
        </w:rPr>
        <w:t xml:space="preserve">Se </w:t>
      </w:r>
      <w:r w:rsidR="00453291" w:rsidRPr="007B21B9">
        <w:rPr>
          <w:rFonts w:ascii="Verdana" w:hAnsi="Verdana"/>
          <w:bCs/>
          <w:sz w:val="22"/>
          <w:szCs w:val="22"/>
        </w:rPr>
        <w:t>envi</w:t>
      </w:r>
      <w:r>
        <w:rPr>
          <w:rFonts w:ascii="Verdana" w:hAnsi="Verdana"/>
          <w:bCs/>
          <w:sz w:val="22"/>
          <w:szCs w:val="22"/>
        </w:rPr>
        <w:t>ó</w:t>
      </w:r>
      <w:r w:rsidR="00453291" w:rsidRPr="007B21B9">
        <w:rPr>
          <w:rFonts w:ascii="Verdana" w:hAnsi="Verdana"/>
          <w:bCs/>
          <w:sz w:val="22"/>
          <w:szCs w:val="22"/>
        </w:rPr>
        <w:t xml:space="preserve"> </w:t>
      </w:r>
      <w:r w:rsidR="00DE318A">
        <w:rPr>
          <w:rFonts w:ascii="Verdana" w:hAnsi="Verdana"/>
          <w:bCs/>
          <w:sz w:val="22"/>
          <w:szCs w:val="22"/>
        </w:rPr>
        <w:t xml:space="preserve">la </w:t>
      </w:r>
      <w:r w:rsidR="00453291" w:rsidRPr="007B21B9">
        <w:rPr>
          <w:rFonts w:ascii="Verdana" w:hAnsi="Verdana"/>
          <w:bCs/>
          <w:sz w:val="22"/>
          <w:szCs w:val="22"/>
        </w:rPr>
        <w:t>comunicación</w:t>
      </w:r>
      <w:r w:rsidR="00DE318A">
        <w:rPr>
          <w:rFonts w:ascii="Verdana" w:hAnsi="Verdana"/>
          <w:bCs/>
          <w:sz w:val="22"/>
          <w:szCs w:val="22"/>
        </w:rPr>
        <w:t xml:space="preserve"> </w:t>
      </w:r>
      <w:r w:rsidR="00453291" w:rsidRPr="007B21B9">
        <w:rPr>
          <w:rFonts w:ascii="Verdana" w:hAnsi="Verdana"/>
          <w:bCs/>
          <w:sz w:val="22"/>
          <w:szCs w:val="22"/>
        </w:rPr>
        <w:t>a la CREG</w:t>
      </w:r>
      <w:r w:rsidR="00DE318A">
        <w:rPr>
          <w:rFonts w:ascii="Verdana" w:hAnsi="Verdana"/>
          <w:bCs/>
          <w:sz w:val="22"/>
          <w:szCs w:val="22"/>
        </w:rPr>
        <w:t xml:space="preserve"> </w:t>
      </w:r>
      <w:r w:rsidR="00453291" w:rsidRPr="007B21B9">
        <w:rPr>
          <w:rFonts w:ascii="Verdana" w:hAnsi="Verdana"/>
          <w:bCs/>
          <w:sz w:val="22"/>
          <w:szCs w:val="22"/>
        </w:rPr>
        <w:t>recalcando la importancia de conocer</w:t>
      </w:r>
      <w:r w:rsidR="00DE318A">
        <w:rPr>
          <w:rFonts w:ascii="Verdana" w:hAnsi="Verdana"/>
          <w:bCs/>
          <w:sz w:val="22"/>
          <w:szCs w:val="22"/>
        </w:rPr>
        <w:t>,</w:t>
      </w:r>
      <w:r w:rsidR="00453291" w:rsidRPr="007B21B9">
        <w:rPr>
          <w:rFonts w:ascii="Verdana" w:hAnsi="Verdana"/>
          <w:bCs/>
          <w:sz w:val="22"/>
          <w:szCs w:val="22"/>
        </w:rPr>
        <w:t xml:space="preserve"> </w:t>
      </w:r>
      <w:r w:rsidR="009A438D">
        <w:rPr>
          <w:rFonts w:ascii="Verdana" w:hAnsi="Verdana"/>
          <w:bCs/>
          <w:sz w:val="22"/>
          <w:szCs w:val="22"/>
        </w:rPr>
        <w:t>de manera oportuna</w:t>
      </w:r>
      <w:r w:rsidR="00DE318A">
        <w:rPr>
          <w:rFonts w:ascii="Verdana" w:hAnsi="Verdana"/>
          <w:bCs/>
          <w:sz w:val="22"/>
          <w:szCs w:val="22"/>
        </w:rPr>
        <w:t>,</w:t>
      </w:r>
      <w:r w:rsidR="009A438D">
        <w:rPr>
          <w:rFonts w:ascii="Verdana" w:hAnsi="Verdana"/>
          <w:bCs/>
          <w:sz w:val="22"/>
          <w:szCs w:val="22"/>
        </w:rPr>
        <w:t xml:space="preserve"> </w:t>
      </w:r>
      <w:r w:rsidR="00DE318A">
        <w:rPr>
          <w:rFonts w:ascii="Verdana" w:hAnsi="Verdana"/>
          <w:bCs/>
          <w:sz w:val="22"/>
          <w:szCs w:val="22"/>
        </w:rPr>
        <w:t xml:space="preserve">toda </w:t>
      </w:r>
      <w:r w:rsidR="00453291" w:rsidRPr="007B21B9">
        <w:rPr>
          <w:rFonts w:ascii="Verdana" w:hAnsi="Verdana"/>
          <w:bCs/>
          <w:sz w:val="22"/>
          <w:szCs w:val="22"/>
        </w:rPr>
        <w:t xml:space="preserve">la información </w:t>
      </w:r>
      <w:r w:rsidR="00DE318A">
        <w:rPr>
          <w:rFonts w:ascii="Verdana" w:hAnsi="Verdana"/>
          <w:bCs/>
          <w:sz w:val="22"/>
          <w:szCs w:val="22"/>
        </w:rPr>
        <w:t xml:space="preserve">relacionada al cálculo </w:t>
      </w:r>
      <w:r w:rsidR="00453291" w:rsidRPr="007B21B9">
        <w:rPr>
          <w:rFonts w:ascii="Verdana" w:hAnsi="Verdana"/>
          <w:bCs/>
          <w:sz w:val="22"/>
          <w:szCs w:val="22"/>
        </w:rPr>
        <w:t xml:space="preserve">de </w:t>
      </w:r>
      <w:r w:rsidR="009A438D">
        <w:rPr>
          <w:rFonts w:ascii="Verdana" w:hAnsi="Verdana"/>
          <w:bCs/>
          <w:sz w:val="22"/>
          <w:szCs w:val="22"/>
        </w:rPr>
        <w:t>l</w:t>
      </w:r>
      <w:r w:rsidR="00C65CDD">
        <w:rPr>
          <w:rFonts w:ascii="Verdana" w:hAnsi="Verdana"/>
          <w:bCs/>
          <w:sz w:val="22"/>
          <w:szCs w:val="22"/>
        </w:rPr>
        <w:t>a condición del sistema en función del índice Nivel del Embalse-NE</w:t>
      </w:r>
      <w:r w:rsidR="007E2A25">
        <w:rPr>
          <w:rFonts w:ascii="Verdana" w:hAnsi="Verdana"/>
          <w:bCs/>
          <w:sz w:val="22"/>
          <w:szCs w:val="22"/>
        </w:rPr>
        <w:t>.</w:t>
      </w:r>
    </w:p>
    <w:p w14:paraId="00E957AE" w14:textId="77777777" w:rsidR="00992FA4" w:rsidRPr="00C11B6A" w:rsidRDefault="00992FA4" w:rsidP="00992FA4">
      <w:pPr>
        <w:rPr>
          <w:rFonts w:ascii="Verdana" w:hAnsi="Verdana"/>
          <w:bCs/>
          <w:sz w:val="22"/>
          <w:szCs w:val="22"/>
        </w:rPr>
      </w:pPr>
    </w:p>
    <w:p w14:paraId="0D0033F1" w14:textId="1F6A9246" w:rsidR="00045BF2" w:rsidRPr="00601C70" w:rsidRDefault="00045BF2">
      <w:pPr>
        <w:pStyle w:val="Prrafodelista"/>
        <w:numPr>
          <w:ilvl w:val="0"/>
          <w:numId w:val="4"/>
        </w:numPr>
        <w:jc w:val="both"/>
        <w:rPr>
          <w:rFonts w:ascii="Verdana" w:hAnsi="Verdana"/>
          <w:bCs/>
          <w:sz w:val="22"/>
          <w:szCs w:val="22"/>
        </w:rPr>
      </w:pPr>
      <w:r>
        <w:rPr>
          <w:rFonts w:ascii="Verdana" w:hAnsi="Verdana"/>
          <w:bCs/>
          <w:sz w:val="22"/>
          <w:szCs w:val="22"/>
        </w:rPr>
        <w:t>El CND</w:t>
      </w:r>
      <w:r w:rsidRPr="00045BF2">
        <w:rPr>
          <w:rFonts w:ascii="Verdana" w:hAnsi="Verdana"/>
          <w:bCs/>
          <w:sz w:val="22"/>
          <w:szCs w:val="22"/>
        </w:rPr>
        <w:t xml:space="preserve"> presentó </w:t>
      </w:r>
      <w:r w:rsidR="00E03C0B">
        <w:rPr>
          <w:rFonts w:ascii="Verdana" w:hAnsi="Verdana"/>
          <w:bCs/>
          <w:sz w:val="22"/>
          <w:szCs w:val="22"/>
        </w:rPr>
        <w:t xml:space="preserve">en el Subcomité de Controles-SC </w:t>
      </w:r>
      <w:r w:rsidRPr="00045BF2">
        <w:rPr>
          <w:rFonts w:ascii="Verdana" w:hAnsi="Verdana"/>
          <w:bCs/>
          <w:sz w:val="22"/>
          <w:szCs w:val="22"/>
        </w:rPr>
        <w:t xml:space="preserve">el documento propuesto para </w:t>
      </w:r>
      <w:r>
        <w:rPr>
          <w:rFonts w:ascii="Verdana" w:hAnsi="Verdana"/>
          <w:bCs/>
          <w:sz w:val="22"/>
          <w:szCs w:val="22"/>
        </w:rPr>
        <w:t xml:space="preserve">el </w:t>
      </w:r>
      <w:r w:rsidRPr="00045BF2">
        <w:rPr>
          <w:rFonts w:ascii="Verdana" w:hAnsi="Verdana"/>
          <w:bCs/>
          <w:sz w:val="22"/>
          <w:szCs w:val="22"/>
        </w:rPr>
        <w:t>ajuste de</w:t>
      </w:r>
      <w:r>
        <w:rPr>
          <w:rFonts w:ascii="Verdana" w:hAnsi="Verdana"/>
          <w:bCs/>
          <w:sz w:val="22"/>
          <w:szCs w:val="22"/>
        </w:rPr>
        <w:t xml:space="preserve"> los</w:t>
      </w:r>
      <w:r w:rsidRPr="00045BF2">
        <w:rPr>
          <w:rFonts w:ascii="Verdana" w:hAnsi="Verdana"/>
          <w:bCs/>
          <w:sz w:val="22"/>
          <w:szCs w:val="22"/>
        </w:rPr>
        <w:t xml:space="preserve"> PSSs, incluyendo los requerimientos que deben ser considerados,</w:t>
      </w:r>
      <w:r>
        <w:rPr>
          <w:rFonts w:ascii="Verdana" w:hAnsi="Verdana"/>
          <w:bCs/>
          <w:sz w:val="22"/>
          <w:szCs w:val="22"/>
        </w:rPr>
        <w:t xml:space="preserve"> las características del SIN,</w:t>
      </w:r>
      <w:r w:rsidRPr="00045BF2">
        <w:rPr>
          <w:rFonts w:ascii="Verdana" w:hAnsi="Verdana"/>
          <w:bCs/>
          <w:sz w:val="22"/>
          <w:szCs w:val="22"/>
        </w:rPr>
        <w:t xml:space="preserve"> el procedimiento para la coordinación entre los agentes y el CND</w:t>
      </w:r>
      <w:r>
        <w:rPr>
          <w:rFonts w:ascii="Verdana" w:hAnsi="Verdana"/>
          <w:bCs/>
          <w:sz w:val="22"/>
          <w:szCs w:val="22"/>
        </w:rPr>
        <w:t>,</w:t>
      </w:r>
      <w:r w:rsidRPr="00045BF2">
        <w:rPr>
          <w:rFonts w:ascii="Verdana" w:hAnsi="Verdana"/>
          <w:bCs/>
          <w:sz w:val="22"/>
          <w:szCs w:val="22"/>
        </w:rPr>
        <w:t xml:space="preserve"> y la información mínima que debe ser reportada en los informes correspondientes.</w:t>
      </w:r>
      <w:r>
        <w:rPr>
          <w:rFonts w:ascii="Verdana" w:hAnsi="Verdana"/>
          <w:bCs/>
          <w:sz w:val="22"/>
          <w:szCs w:val="22"/>
        </w:rPr>
        <w:t xml:space="preserve"> Al respecto, l</w:t>
      </w:r>
      <w:r w:rsidRPr="00045BF2">
        <w:rPr>
          <w:rFonts w:ascii="Verdana" w:hAnsi="Verdana"/>
          <w:bCs/>
          <w:sz w:val="22"/>
          <w:szCs w:val="22"/>
        </w:rPr>
        <w:t xml:space="preserve">os agentes </w:t>
      </w:r>
      <w:r>
        <w:rPr>
          <w:rFonts w:ascii="Verdana" w:hAnsi="Verdana"/>
          <w:bCs/>
          <w:sz w:val="22"/>
          <w:szCs w:val="22"/>
        </w:rPr>
        <w:t xml:space="preserve">generadores </w:t>
      </w:r>
      <w:r w:rsidRPr="00045BF2">
        <w:rPr>
          <w:rFonts w:ascii="Verdana" w:hAnsi="Verdana"/>
          <w:bCs/>
          <w:sz w:val="22"/>
          <w:szCs w:val="22"/>
        </w:rPr>
        <w:t>manifesta</w:t>
      </w:r>
      <w:r>
        <w:rPr>
          <w:rFonts w:ascii="Verdana" w:hAnsi="Verdana"/>
          <w:bCs/>
          <w:sz w:val="22"/>
          <w:szCs w:val="22"/>
        </w:rPr>
        <w:t>ro</w:t>
      </w:r>
      <w:r w:rsidRPr="00045BF2">
        <w:rPr>
          <w:rFonts w:ascii="Verdana" w:hAnsi="Verdana"/>
          <w:bCs/>
          <w:sz w:val="22"/>
          <w:szCs w:val="22"/>
        </w:rPr>
        <w:t xml:space="preserve">n que el </w:t>
      </w:r>
      <w:r>
        <w:rPr>
          <w:rFonts w:ascii="Verdana" w:hAnsi="Verdana"/>
          <w:bCs/>
          <w:sz w:val="22"/>
          <w:szCs w:val="22"/>
        </w:rPr>
        <w:t xml:space="preserve">Operador del Sistema junto con ellos </w:t>
      </w:r>
      <w:r w:rsidRPr="00045BF2">
        <w:rPr>
          <w:rFonts w:ascii="Verdana" w:hAnsi="Verdana"/>
          <w:bCs/>
          <w:sz w:val="22"/>
          <w:szCs w:val="22"/>
        </w:rPr>
        <w:t>debe</w:t>
      </w:r>
      <w:r>
        <w:rPr>
          <w:rFonts w:ascii="Verdana" w:hAnsi="Verdana"/>
          <w:bCs/>
          <w:sz w:val="22"/>
          <w:szCs w:val="22"/>
        </w:rPr>
        <w:t>rían</w:t>
      </w:r>
      <w:r w:rsidRPr="00045BF2">
        <w:rPr>
          <w:rFonts w:ascii="Verdana" w:hAnsi="Verdana"/>
          <w:bCs/>
          <w:sz w:val="22"/>
          <w:szCs w:val="22"/>
        </w:rPr>
        <w:t xml:space="preserve"> ser </w:t>
      </w:r>
      <w:r>
        <w:rPr>
          <w:rFonts w:ascii="Verdana" w:hAnsi="Verdana"/>
          <w:bCs/>
          <w:sz w:val="22"/>
          <w:szCs w:val="22"/>
        </w:rPr>
        <w:t>los</w:t>
      </w:r>
      <w:r w:rsidRPr="00045BF2">
        <w:rPr>
          <w:rFonts w:ascii="Verdana" w:hAnsi="Verdana"/>
          <w:bCs/>
          <w:sz w:val="22"/>
          <w:szCs w:val="22"/>
        </w:rPr>
        <w:t xml:space="preserve"> responsable</w:t>
      </w:r>
      <w:r>
        <w:rPr>
          <w:rFonts w:ascii="Verdana" w:hAnsi="Verdana"/>
          <w:bCs/>
          <w:sz w:val="22"/>
          <w:szCs w:val="22"/>
        </w:rPr>
        <w:t>s</w:t>
      </w:r>
      <w:r w:rsidRPr="00045BF2">
        <w:rPr>
          <w:rFonts w:ascii="Verdana" w:hAnsi="Verdana"/>
          <w:bCs/>
          <w:sz w:val="22"/>
          <w:szCs w:val="22"/>
        </w:rPr>
        <w:t xml:space="preserve"> </w:t>
      </w:r>
      <w:r>
        <w:rPr>
          <w:rFonts w:ascii="Verdana" w:hAnsi="Verdana"/>
          <w:bCs/>
          <w:sz w:val="22"/>
          <w:szCs w:val="22"/>
        </w:rPr>
        <w:t>por</w:t>
      </w:r>
      <w:r w:rsidRPr="00045BF2">
        <w:rPr>
          <w:rFonts w:ascii="Verdana" w:hAnsi="Verdana"/>
          <w:bCs/>
          <w:sz w:val="22"/>
          <w:szCs w:val="22"/>
        </w:rPr>
        <w:t xml:space="preserve"> </w:t>
      </w:r>
      <w:r>
        <w:rPr>
          <w:rFonts w:ascii="Verdana" w:hAnsi="Verdana"/>
          <w:bCs/>
          <w:sz w:val="22"/>
          <w:szCs w:val="22"/>
        </w:rPr>
        <w:t xml:space="preserve">el </w:t>
      </w:r>
      <w:r w:rsidRPr="00045BF2">
        <w:rPr>
          <w:rFonts w:ascii="Verdana" w:hAnsi="Verdana"/>
          <w:bCs/>
          <w:sz w:val="22"/>
          <w:szCs w:val="22"/>
        </w:rPr>
        <w:t xml:space="preserve">ajuste de </w:t>
      </w:r>
      <w:r>
        <w:rPr>
          <w:rFonts w:ascii="Verdana" w:hAnsi="Verdana"/>
          <w:bCs/>
          <w:sz w:val="22"/>
          <w:szCs w:val="22"/>
        </w:rPr>
        <w:t xml:space="preserve">los estabilizadores, teniendo en cuenta el referenciamiento realizado de otros Códigos de Red, donde </w:t>
      </w:r>
      <w:r w:rsidR="00E03C0B">
        <w:rPr>
          <w:rFonts w:ascii="Verdana" w:hAnsi="Verdana"/>
          <w:bCs/>
          <w:sz w:val="22"/>
          <w:szCs w:val="22"/>
        </w:rPr>
        <w:t xml:space="preserve">se evidencia que </w:t>
      </w:r>
      <w:r>
        <w:rPr>
          <w:rFonts w:ascii="Verdana" w:hAnsi="Verdana"/>
          <w:bCs/>
          <w:sz w:val="22"/>
          <w:szCs w:val="22"/>
        </w:rPr>
        <w:t xml:space="preserve">esta tarea </w:t>
      </w:r>
      <w:r w:rsidR="00E03C0B">
        <w:rPr>
          <w:rFonts w:ascii="Verdana" w:hAnsi="Verdana"/>
          <w:bCs/>
          <w:sz w:val="22"/>
          <w:szCs w:val="22"/>
        </w:rPr>
        <w:t>se realiza</w:t>
      </w:r>
      <w:r>
        <w:rPr>
          <w:rFonts w:ascii="Verdana" w:hAnsi="Verdana"/>
          <w:bCs/>
          <w:sz w:val="22"/>
          <w:szCs w:val="22"/>
        </w:rPr>
        <w:t xml:space="preserve"> entre el </w:t>
      </w:r>
      <w:r w:rsidR="00E03C0B">
        <w:rPr>
          <w:rFonts w:ascii="Verdana" w:hAnsi="Verdana"/>
          <w:bCs/>
          <w:sz w:val="22"/>
          <w:szCs w:val="22"/>
        </w:rPr>
        <w:t xml:space="preserve">TSO y el generador. </w:t>
      </w:r>
      <w:r w:rsidRPr="00601C70">
        <w:rPr>
          <w:rFonts w:ascii="Verdana" w:hAnsi="Verdana"/>
          <w:bCs/>
          <w:sz w:val="22"/>
          <w:szCs w:val="22"/>
        </w:rPr>
        <w:t xml:space="preserve"> </w:t>
      </w:r>
    </w:p>
    <w:p w14:paraId="261FADDE" w14:textId="77777777" w:rsidR="00045BF2" w:rsidRDefault="00045BF2" w:rsidP="00601C70">
      <w:pPr>
        <w:pStyle w:val="Prrafodelista"/>
        <w:ind w:left="360"/>
        <w:jc w:val="both"/>
        <w:rPr>
          <w:rFonts w:ascii="Verdana" w:hAnsi="Verdana"/>
          <w:bCs/>
          <w:sz w:val="22"/>
          <w:szCs w:val="22"/>
        </w:rPr>
      </w:pPr>
    </w:p>
    <w:p w14:paraId="1E9ED952" w14:textId="77777777" w:rsidR="00E03C0B" w:rsidRDefault="00E03C0B" w:rsidP="00045BF2">
      <w:pPr>
        <w:pStyle w:val="Prrafodelista"/>
        <w:ind w:left="360"/>
        <w:jc w:val="both"/>
        <w:rPr>
          <w:rFonts w:ascii="Verdana" w:hAnsi="Verdana"/>
          <w:bCs/>
          <w:sz w:val="22"/>
          <w:szCs w:val="22"/>
        </w:rPr>
      </w:pPr>
      <w:r>
        <w:rPr>
          <w:rFonts w:ascii="Verdana" w:hAnsi="Verdana"/>
          <w:bCs/>
          <w:sz w:val="22"/>
          <w:szCs w:val="22"/>
        </w:rPr>
        <w:t>En este sentido, el CND</w:t>
      </w:r>
      <w:r w:rsidR="00045BF2" w:rsidRPr="00045BF2">
        <w:rPr>
          <w:rFonts w:ascii="Verdana" w:hAnsi="Verdana"/>
          <w:bCs/>
          <w:sz w:val="22"/>
          <w:szCs w:val="22"/>
        </w:rPr>
        <w:t xml:space="preserve"> indic</w:t>
      </w:r>
      <w:r>
        <w:rPr>
          <w:rFonts w:ascii="Verdana" w:hAnsi="Verdana"/>
          <w:bCs/>
          <w:sz w:val="22"/>
          <w:szCs w:val="22"/>
        </w:rPr>
        <w:t>ó</w:t>
      </w:r>
      <w:r w:rsidR="00045BF2" w:rsidRPr="00045BF2">
        <w:rPr>
          <w:rFonts w:ascii="Verdana" w:hAnsi="Verdana"/>
          <w:bCs/>
          <w:sz w:val="22"/>
          <w:szCs w:val="22"/>
        </w:rPr>
        <w:t xml:space="preserve"> que </w:t>
      </w:r>
      <w:r>
        <w:rPr>
          <w:rFonts w:ascii="Verdana" w:hAnsi="Verdana"/>
          <w:bCs/>
          <w:sz w:val="22"/>
          <w:szCs w:val="22"/>
        </w:rPr>
        <w:t>su</w:t>
      </w:r>
      <w:r w:rsidR="00045BF2" w:rsidRPr="00045BF2">
        <w:rPr>
          <w:rFonts w:ascii="Verdana" w:hAnsi="Verdana"/>
          <w:bCs/>
          <w:sz w:val="22"/>
          <w:szCs w:val="22"/>
        </w:rPr>
        <w:t xml:space="preserve"> </w:t>
      </w:r>
      <w:r>
        <w:rPr>
          <w:rFonts w:ascii="Verdana" w:hAnsi="Verdana"/>
          <w:bCs/>
          <w:sz w:val="22"/>
          <w:szCs w:val="22"/>
        </w:rPr>
        <w:t xml:space="preserve">propuesta de </w:t>
      </w:r>
      <w:r w:rsidR="00045BF2" w:rsidRPr="00045BF2">
        <w:rPr>
          <w:rFonts w:ascii="Verdana" w:hAnsi="Verdana"/>
          <w:bCs/>
          <w:sz w:val="22"/>
          <w:szCs w:val="22"/>
        </w:rPr>
        <w:t>procedimiento de ajuste incluye una interacción entre el agente y XM, dado que este último verificará el cumplimiento de los requisitos técnicos definidos en pro de la seguridad del sistema. Adicionalmente</w:t>
      </w:r>
      <w:r>
        <w:rPr>
          <w:rFonts w:ascii="Verdana" w:hAnsi="Verdana"/>
          <w:bCs/>
          <w:sz w:val="22"/>
          <w:szCs w:val="22"/>
        </w:rPr>
        <w:t>,</w:t>
      </w:r>
      <w:r w:rsidR="00045BF2" w:rsidRPr="00045BF2">
        <w:rPr>
          <w:rFonts w:ascii="Verdana" w:hAnsi="Verdana"/>
          <w:bCs/>
          <w:sz w:val="22"/>
          <w:szCs w:val="22"/>
        </w:rPr>
        <w:t xml:space="preserve"> indica que no evidencia una justificación técnica para que los agentes no puedan </w:t>
      </w:r>
      <w:r>
        <w:rPr>
          <w:rFonts w:ascii="Verdana" w:hAnsi="Verdana"/>
          <w:bCs/>
          <w:sz w:val="22"/>
          <w:szCs w:val="22"/>
        </w:rPr>
        <w:t>participar en</w:t>
      </w:r>
      <w:r w:rsidR="00045BF2" w:rsidRPr="00045BF2">
        <w:rPr>
          <w:rFonts w:ascii="Verdana" w:hAnsi="Verdana"/>
          <w:bCs/>
          <w:sz w:val="22"/>
          <w:szCs w:val="22"/>
        </w:rPr>
        <w:t xml:space="preserve"> el ajuste</w:t>
      </w:r>
      <w:r>
        <w:rPr>
          <w:rFonts w:ascii="Verdana" w:hAnsi="Verdana"/>
          <w:bCs/>
          <w:sz w:val="22"/>
          <w:szCs w:val="22"/>
        </w:rPr>
        <w:t>,</w:t>
      </w:r>
      <w:r w:rsidR="00045BF2" w:rsidRPr="00045BF2">
        <w:rPr>
          <w:rFonts w:ascii="Verdana" w:hAnsi="Verdana"/>
          <w:bCs/>
          <w:sz w:val="22"/>
          <w:szCs w:val="22"/>
        </w:rPr>
        <w:t xml:space="preserve"> dado que el insumo para este sería proporcionado por </w:t>
      </w:r>
      <w:r>
        <w:rPr>
          <w:rFonts w:ascii="Verdana" w:hAnsi="Verdana"/>
          <w:bCs/>
          <w:sz w:val="22"/>
          <w:szCs w:val="22"/>
        </w:rPr>
        <w:t>el CND</w:t>
      </w:r>
      <w:r w:rsidR="00045BF2" w:rsidRPr="00045BF2">
        <w:rPr>
          <w:rFonts w:ascii="Verdana" w:hAnsi="Verdana"/>
          <w:bCs/>
          <w:sz w:val="22"/>
          <w:szCs w:val="22"/>
        </w:rPr>
        <w:t>.</w:t>
      </w:r>
    </w:p>
    <w:p w14:paraId="411570A9" w14:textId="77777777" w:rsidR="00E03C0B" w:rsidRDefault="00E03C0B" w:rsidP="00045BF2">
      <w:pPr>
        <w:pStyle w:val="Prrafodelista"/>
        <w:ind w:left="360"/>
        <w:jc w:val="both"/>
        <w:rPr>
          <w:rFonts w:ascii="Verdana" w:hAnsi="Verdana"/>
          <w:bCs/>
          <w:sz w:val="22"/>
          <w:szCs w:val="22"/>
        </w:rPr>
      </w:pPr>
    </w:p>
    <w:p w14:paraId="30CDC454" w14:textId="25495CA7" w:rsidR="00045BF2" w:rsidRPr="00601C70" w:rsidRDefault="00045BF2" w:rsidP="00601C70">
      <w:pPr>
        <w:pStyle w:val="Prrafodelista"/>
        <w:ind w:left="360"/>
        <w:jc w:val="both"/>
        <w:rPr>
          <w:rFonts w:ascii="Verdana" w:hAnsi="Verdana"/>
          <w:bCs/>
          <w:sz w:val="22"/>
          <w:szCs w:val="22"/>
        </w:rPr>
      </w:pPr>
      <w:r w:rsidRPr="00045BF2">
        <w:rPr>
          <w:rFonts w:ascii="Verdana" w:hAnsi="Verdana"/>
          <w:bCs/>
          <w:sz w:val="22"/>
          <w:szCs w:val="22"/>
        </w:rPr>
        <w:lastRenderedPageBreak/>
        <w:t>Los agentes proponen como alternativa adicional</w:t>
      </w:r>
      <w:r w:rsidR="00E03C0B">
        <w:rPr>
          <w:rFonts w:ascii="Verdana" w:hAnsi="Verdana"/>
          <w:bCs/>
          <w:sz w:val="22"/>
          <w:szCs w:val="22"/>
        </w:rPr>
        <w:t>,</w:t>
      </w:r>
      <w:r w:rsidRPr="00045BF2">
        <w:rPr>
          <w:rFonts w:ascii="Verdana" w:hAnsi="Verdana"/>
          <w:bCs/>
          <w:sz w:val="22"/>
          <w:szCs w:val="22"/>
        </w:rPr>
        <w:t xml:space="preserve"> que el CND realice el ajuste de los PSSs de todas las plantas existentes</w:t>
      </w:r>
      <w:r w:rsidR="00E03C0B">
        <w:rPr>
          <w:rFonts w:ascii="Verdana" w:hAnsi="Verdana"/>
          <w:bCs/>
          <w:sz w:val="22"/>
          <w:szCs w:val="22"/>
        </w:rPr>
        <w:t>,</w:t>
      </w:r>
      <w:r w:rsidRPr="00045BF2">
        <w:rPr>
          <w:rFonts w:ascii="Verdana" w:hAnsi="Verdana"/>
          <w:bCs/>
          <w:sz w:val="22"/>
          <w:szCs w:val="22"/>
        </w:rPr>
        <w:t xml:space="preserve"> y los agentes realicen el ajuste para las unidades nuevas. </w:t>
      </w:r>
      <w:r w:rsidR="00E03C0B">
        <w:rPr>
          <w:rFonts w:ascii="Verdana" w:hAnsi="Verdana"/>
          <w:bCs/>
          <w:sz w:val="22"/>
          <w:szCs w:val="22"/>
        </w:rPr>
        <w:t>XM</w:t>
      </w:r>
      <w:r w:rsidRPr="00045BF2">
        <w:rPr>
          <w:rFonts w:ascii="Verdana" w:hAnsi="Verdana"/>
          <w:bCs/>
          <w:sz w:val="22"/>
          <w:szCs w:val="22"/>
        </w:rPr>
        <w:t xml:space="preserve"> indica que el análisis de esta responsabilidad se valorará desde el punto de vista regulatorio y se presentará en la reunión del 16 de Febrero</w:t>
      </w:r>
      <w:r w:rsidR="00E03C0B">
        <w:rPr>
          <w:rFonts w:ascii="Verdana" w:hAnsi="Verdana"/>
          <w:bCs/>
          <w:sz w:val="22"/>
          <w:szCs w:val="22"/>
        </w:rPr>
        <w:t xml:space="preserve"> del Subcomité de Controles-SC</w:t>
      </w:r>
      <w:r w:rsidRPr="00045BF2">
        <w:rPr>
          <w:rFonts w:ascii="Verdana" w:hAnsi="Verdana"/>
          <w:bCs/>
          <w:sz w:val="22"/>
          <w:szCs w:val="22"/>
        </w:rPr>
        <w:t>.</w:t>
      </w:r>
    </w:p>
    <w:p w14:paraId="3AC635AE" w14:textId="51FC8892" w:rsidR="006B6E22" w:rsidRDefault="006B6E22">
      <w:pPr>
        <w:pStyle w:val="Prrafodelista"/>
        <w:ind w:left="360"/>
        <w:jc w:val="both"/>
        <w:rPr>
          <w:rFonts w:ascii="Verdana" w:hAnsi="Verdana"/>
          <w:bCs/>
          <w:sz w:val="22"/>
          <w:szCs w:val="22"/>
        </w:rPr>
      </w:pPr>
    </w:p>
    <w:p w14:paraId="3D626100" w14:textId="1525F877" w:rsidR="009916DC" w:rsidRDefault="00840A30" w:rsidP="002B752C">
      <w:pPr>
        <w:pStyle w:val="Prrafodelista"/>
        <w:numPr>
          <w:ilvl w:val="0"/>
          <w:numId w:val="4"/>
        </w:numPr>
        <w:jc w:val="both"/>
        <w:rPr>
          <w:rFonts w:ascii="Verdana" w:hAnsi="Verdana"/>
          <w:bCs/>
          <w:sz w:val="22"/>
          <w:szCs w:val="22"/>
        </w:rPr>
      </w:pPr>
      <w:r>
        <w:rPr>
          <w:rFonts w:ascii="Verdana" w:hAnsi="Verdana"/>
          <w:bCs/>
          <w:sz w:val="22"/>
          <w:szCs w:val="22"/>
        </w:rPr>
        <w:t>Se envió a l</w:t>
      </w:r>
      <w:r w:rsidR="00816E8F">
        <w:rPr>
          <w:rFonts w:ascii="Verdana" w:hAnsi="Verdana"/>
          <w:bCs/>
          <w:sz w:val="22"/>
          <w:szCs w:val="22"/>
        </w:rPr>
        <w:t>a CREG</w:t>
      </w:r>
      <w:r>
        <w:rPr>
          <w:rFonts w:ascii="Verdana" w:hAnsi="Verdana"/>
          <w:bCs/>
          <w:sz w:val="22"/>
          <w:szCs w:val="22"/>
        </w:rPr>
        <w:t xml:space="preserve"> la comunicación de comentarios a</w:t>
      </w:r>
      <w:r w:rsidR="00816E8F">
        <w:rPr>
          <w:rFonts w:ascii="Verdana" w:hAnsi="Verdana"/>
          <w:bCs/>
          <w:sz w:val="22"/>
          <w:szCs w:val="22"/>
        </w:rPr>
        <w:t xml:space="preserve"> la </w:t>
      </w:r>
      <w:r w:rsidR="002B752C">
        <w:rPr>
          <w:rFonts w:ascii="Verdana" w:hAnsi="Verdana"/>
          <w:bCs/>
          <w:sz w:val="22"/>
          <w:szCs w:val="22"/>
        </w:rPr>
        <w:t>Resolución CREG 233</w:t>
      </w:r>
      <w:r w:rsidR="00816E8F">
        <w:rPr>
          <w:rFonts w:ascii="Verdana" w:hAnsi="Verdana"/>
          <w:bCs/>
          <w:sz w:val="22"/>
          <w:szCs w:val="22"/>
        </w:rPr>
        <w:t xml:space="preserve"> de 2020, “</w:t>
      </w:r>
      <w:r w:rsidR="00816E8F" w:rsidRPr="00601C70">
        <w:rPr>
          <w:rFonts w:ascii="Verdana" w:hAnsi="Verdana"/>
          <w:bCs/>
          <w:i/>
          <w:iCs/>
          <w:sz w:val="22"/>
          <w:szCs w:val="22"/>
        </w:rPr>
        <w:t>por la cual se ordena hacer público un proyecto de resolución</w:t>
      </w:r>
      <w:r w:rsidR="00816E8F">
        <w:rPr>
          <w:rFonts w:ascii="Verdana" w:hAnsi="Verdana"/>
          <w:bCs/>
          <w:i/>
          <w:iCs/>
          <w:sz w:val="22"/>
          <w:szCs w:val="22"/>
        </w:rPr>
        <w:t>-</w:t>
      </w:r>
      <w:r w:rsidR="00816E8F" w:rsidRPr="00601C70">
        <w:rPr>
          <w:rFonts w:ascii="Verdana" w:hAnsi="Verdana"/>
          <w:bCs/>
          <w:i/>
          <w:iCs/>
          <w:sz w:val="22"/>
          <w:szCs w:val="22"/>
        </w:rPr>
        <w:t>Disposiciones y procedimientos para la asignación de capacidad de transporte en el Sistema Interconectado Nacional</w:t>
      </w:r>
      <w:r w:rsidR="00816E8F">
        <w:rPr>
          <w:rFonts w:ascii="Verdana" w:hAnsi="Verdana"/>
          <w:bCs/>
          <w:i/>
          <w:iCs/>
          <w:sz w:val="22"/>
          <w:szCs w:val="22"/>
        </w:rPr>
        <w:t>-</w:t>
      </w:r>
      <w:r w:rsidR="00816E8F">
        <w:rPr>
          <w:rFonts w:ascii="Verdana" w:hAnsi="Verdana"/>
          <w:bCs/>
          <w:sz w:val="22"/>
          <w:szCs w:val="22"/>
        </w:rPr>
        <w:t xml:space="preserve">”. </w:t>
      </w:r>
      <w:r>
        <w:rPr>
          <w:rFonts w:ascii="Verdana" w:hAnsi="Verdana"/>
          <w:bCs/>
          <w:sz w:val="22"/>
          <w:szCs w:val="22"/>
        </w:rPr>
        <w:t>La misma puede ser consultada en la página del Consejo</w:t>
      </w:r>
      <w:r w:rsidR="009916DC">
        <w:rPr>
          <w:rFonts w:ascii="Verdana" w:hAnsi="Verdana"/>
          <w:bCs/>
          <w:sz w:val="22"/>
          <w:szCs w:val="22"/>
        </w:rPr>
        <w:t>.</w:t>
      </w:r>
    </w:p>
    <w:p w14:paraId="07F1FE6A" w14:textId="77777777" w:rsidR="009916DC" w:rsidRDefault="009916DC" w:rsidP="009916DC">
      <w:pPr>
        <w:pStyle w:val="Prrafodelista"/>
        <w:ind w:left="360"/>
        <w:jc w:val="both"/>
        <w:rPr>
          <w:rFonts w:ascii="Verdana" w:hAnsi="Verdana"/>
          <w:bCs/>
          <w:sz w:val="22"/>
          <w:szCs w:val="22"/>
        </w:rPr>
      </w:pPr>
    </w:p>
    <w:p w14:paraId="128957E9" w14:textId="4F8EC610" w:rsidR="00DF4EBB" w:rsidRDefault="00840A30" w:rsidP="006C505E">
      <w:pPr>
        <w:pStyle w:val="Prrafodelista"/>
        <w:numPr>
          <w:ilvl w:val="0"/>
          <w:numId w:val="4"/>
        </w:numPr>
        <w:jc w:val="both"/>
        <w:rPr>
          <w:rFonts w:ascii="Verdana" w:hAnsi="Verdana"/>
          <w:bCs/>
          <w:sz w:val="22"/>
          <w:szCs w:val="22"/>
        </w:rPr>
      </w:pPr>
      <w:r>
        <w:rPr>
          <w:rFonts w:ascii="Verdana" w:hAnsi="Verdana"/>
          <w:bCs/>
          <w:sz w:val="22"/>
          <w:szCs w:val="22"/>
        </w:rPr>
        <w:t>En el Subcomité de Planeamiento Operativo-SPO se avanza en la construcción de</w:t>
      </w:r>
      <w:r w:rsidR="00DF4EBB">
        <w:rPr>
          <w:rFonts w:ascii="Verdana" w:hAnsi="Verdana"/>
          <w:bCs/>
          <w:sz w:val="22"/>
          <w:szCs w:val="22"/>
        </w:rPr>
        <w:t>l</w:t>
      </w:r>
      <w:r>
        <w:rPr>
          <w:rFonts w:ascii="Verdana" w:hAnsi="Verdana"/>
          <w:bCs/>
          <w:sz w:val="22"/>
          <w:szCs w:val="22"/>
        </w:rPr>
        <w:t xml:space="preserve"> documento</w:t>
      </w:r>
      <w:r w:rsidR="00DF4EBB">
        <w:rPr>
          <w:rFonts w:ascii="Verdana" w:hAnsi="Verdana"/>
          <w:bCs/>
          <w:sz w:val="22"/>
          <w:szCs w:val="22"/>
        </w:rPr>
        <w:t xml:space="preserve"> CNO</w:t>
      </w:r>
      <w:r>
        <w:rPr>
          <w:rFonts w:ascii="Verdana" w:hAnsi="Verdana"/>
          <w:bCs/>
          <w:sz w:val="22"/>
          <w:szCs w:val="22"/>
        </w:rPr>
        <w:t xml:space="preserve"> </w:t>
      </w:r>
      <w:r w:rsidR="00DF4EBB">
        <w:rPr>
          <w:rFonts w:ascii="Verdana" w:hAnsi="Verdana"/>
          <w:bCs/>
          <w:sz w:val="22"/>
          <w:szCs w:val="22"/>
        </w:rPr>
        <w:t>“</w:t>
      </w:r>
      <w:r w:rsidR="00045BF2" w:rsidRPr="00045BF2">
        <w:rPr>
          <w:rFonts w:ascii="Verdana" w:hAnsi="Verdana"/>
          <w:bCs/>
          <w:i/>
          <w:iCs/>
          <w:sz w:val="22"/>
          <w:szCs w:val="22"/>
        </w:rPr>
        <w:t xml:space="preserve">Lineamiento de los Análisis Energéticos que el CND presenta al </w:t>
      </w:r>
      <w:r w:rsidR="00045BF2">
        <w:rPr>
          <w:rFonts w:ascii="Verdana" w:hAnsi="Verdana"/>
          <w:bCs/>
          <w:i/>
          <w:iCs/>
          <w:sz w:val="22"/>
          <w:szCs w:val="22"/>
        </w:rPr>
        <w:t xml:space="preserve">CNO”. </w:t>
      </w:r>
      <w:r w:rsidR="00DF4EBB">
        <w:rPr>
          <w:rFonts w:ascii="Verdana" w:hAnsi="Verdana"/>
          <w:bCs/>
          <w:sz w:val="22"/>
          <w:szCs w:val="22"/>
        </w:rPr>
        <w:t>En él se define el alcance de los estudios,</w:t>
      </w:r>
      <w:r w:rsidR="006C505E">
        <w:rPr>
          <w:rFonts w:ascii="Verdana" w:hAnsi="Verdana"/>
          <w:bCs/>
          <w:sz w:val="22"/>
          <w:szCs w:val="22"/>
        </w:rPr>
        <w:t xml:space="preserve"> supuestos</w:t>
      </w:r>
      <w:r w:rsidR="00DF4EBB">
        <w:rPr>
          <w:rFonts w:ascii="Verdana" w:hAnsi="Verdana"/>
          <w:bCs/>
          <w:sz w:val="22"/>
          <w:szCs w:val="22"/>
        </w:rPr>
        <w:t xml:space="preserve">, </w:t>
      </w:r>
      <w:r w:rsidR="006C505E">
        <w:rPr>
          <w:rFonts w:ascii="Verdana" w:hAnsi="Verdana"/>
          <w:bCs/>
          <w:sz w:val="22"/>
          <w:szCs w:val="22"/>
        </w:rPr>
        <w:t>periodicid</w:t>
      </w:r>
      <w:r w:rsidR="006C505E" w:rsidRPr="000E64C4">
        <w:rPr>
          <w:rFonts w:ascii="Verdana" w:hAnsi="Verdana"/>
          <w:bCs/>
          <w:sz w:val="22"/>
          <w:szCs w:val="22"/>
        </w:rPr>
        <w:t>a</w:t>
      </w:r>
      <w:r w:rsidR="006C505E">
        <w:rPr>
          <w:rFonts w:ascii="Verdana" w:hAnsi="Verdana"/>
          <w:bCs/>
          <w:sz w:val="22"/>
          <w:szCs w:val="22"/>
        </w:rPr>
        <w:t>d p</w:t>
      </w:r>
      <w:r w:rsidR="006C505E" w:rsidRPr="000E64C4">
        <w:rPr>
          <w:rFonts w:ascii="Verdana" w:hAnsi="Verdana"/>
          <w:bCs/>
          <w:sz w:val="22"/>
          <w:szCs w:val="22"/>
        </w:rPr>
        <w:t>a</w:t>
      </w:r>
      <w:r w:rsidR="006C505E">
        <w:rPr>
          <w:rFonts w:ascii="Verdana" w:hAnsi="Verdana"/>
          <w:bCs/>
          <w:sz w:val="22"/>
          <w:szCs w:val="22"/>
        </w:rPr>
        <w:t>r</w:t>
      </w:r>
      <w:r w:rsidR="006C505E" w:rsidRPr="000E64C4">
        <w:rPr>
          <w:rFonts w:ascii="Verdana" w:hAnsi="Verdana"/>
          <w:bCs/>
          <w:sz w:val="22"/>
          <w:szCs w:val="22"/>
        </w:rPr>
        <w:t>a</w:t>
      </w:r>
      <w:r w:rsidR="006C505E">
        <w:rPr>
          <w:rFonts w:ascii="Verdana" w:hAnsi="Verdana"/>
          <w:bCs/>
          <w:sz w:val="22"/>
          <w:szCs w:val="22"/>
        </w:rPr>
        <w:t xml:space="preserve"> l</w:t>
      </w:r>
      <w:r w:rsidR="006C505E" w:rsidRPr="000E64C4">
        <w:rPr>
          <w:rFonts w:ascii="Verdana" w:hAnsi="Verdana"/>
          <w:bCs/>
          <w:sz w:val="22"/>
          <w:szCs w:val="22"/>
        </w:rPr>
        <w:t>a</w:t>
      </w:r>
      <w:r w:rsidR="006C505E">
        <w:rPr>
          <w:rFonts w:ascii="Verdana" w:hAnsi="Verdana"/>
          <w:bCs/>
          <w:sz w:val="22"/>
          <w:szCs w:val="22"/>
        </w:rPr>
        <w:t xml:space="preserve"> el</w:t>
      </w:r>
      <w:r w:rsidR="006C505E" w:rsidRPr="000E64C4">
        <w:rPr>
          <w:rFonts w:ascii="Verdana" w:hAnsi="Verdana"/>
          <w:bCs/>
          <w:sz w:val="22"/>
          <w:szCs w:val="22"/>
        </w:rPr>
        <w:t>a</w:t>
      </w:r>
      <w:r w:rsidR="006C505E">
        <w:rPr>
          <w:rFonts w:ascii="Verdana" w:hAnsi="Verdana"/>
          <w:bCs/>
          <w:sz w:val="22"/>
          <w:szCs w:val="22"/>
        </w:rPr>
        <w:t>bor</w:t>
      </w:r>
      <w:r w:rsidR="006C505E" w:rsidRPr="000E64C4">
        <w:rPr>
          <w:rFonts w:ascii="Verdana" w:hAnsi="Verdana"/>
          <w:bCs/>
          <w:sz w:val="22"/>
          <w:szCs w:val="22"/>
        </w:rPr>
        <w:t>a</w:t>
      </w:r>
      <w:r w:rsidR="006C505E">
        <w:rPr>
          <w:rFonts w:ascii="Verdana" w:hAnsi="Verdana"/>
          <w:bCs/>
          <w:sz w:val="22"/>
          <w:szCs w:val="22"/>
        </w:rPr>
        <w:t>ción de los análisis</w:t>
      </w:r>
      <w:r w:rsidR="00DF4EBB">
        <w:rPr>
          <w:rFonts w:ascii="Verdana" w:hAnsi="Verdana"/>
          <w:bCs/>
          <w:sz w:val="22"/>
          <w:szCs w:val="22"/>
        </w:rPr>
        <w:t xml:space="preserve">, entre otros elementos. Se espera tener el documento listo </w:t>
      </w:r>
      <w:r w:rsidR="00045BF2">
        <w:rPr>
          <w:rFonts w:ascii="Verdana" w:hAnsi="Verdana"/>
          <w:bCs/>
          <w:sz w:val="22"/>
          <w:szCs w:val="22"/>
        </w:rPr>
        <w:t>en el mes</w:t>
      </w:r>
      <w:r w:rsidR="00DF4EBB">
        <w:rPr>
          <w:rFonts w:ascii="Verdana" w:hAnsi="Verdana"/>
          <w:bCs/>
          <w:sz w:val="22"/>
          <w:szCs w:val="22"/>
        </w:rPr>
        <w:t xml:space="preserve"> marzo para su socialización</w:t>
      </w:r>
      <w:r w:rsidR="00045BF2">
        <w:rPr>
          <w:rFonts w:ascii="Verdana" w:hAnsi="Verdana"/>
          <w:bCs/>
          <w:sz w:val="22"/>
          <w:szCs w:val="22"/>
        </w:rPr>
        <w:t xml:space="preserve"> al Consejo</w:t>
      </w:r>
      <w:r w:rsidR="00DF4EBB">
        <w:rPr>
          <w:rFonts w:ascii="Verdana" w:hAnsi="Verdana"/>
          <w:bCs/>
          <w:sz w:val="22"/>
          <w:szCs w:val="22"/>
        </w:rPr>
        <w:t xml:space="preserve">. </w:t>
      </w:r>
    </w:p>
    <w:p w14:paraId="4C28F326" w14:textId="77777777" w:rsidR="00397EB1" w:rsidRPr="00601C70" w:rsidRDefault="00397EB1" w:rsidP="00601C70">
      <w:pPr>
        <w:pStyle w:val="Prrafodelista"/>
        <w:rPr>
          <w:rFonts w:ascii="Verdana" w:hAnsi="Verdana"/>
          <w:bCs/>
          <w:sz w:val="22"/>
          <w:szCs w:val="22"/>
        </w:rPr>
      </w:pPr>
    </w:p>
    <w:p w14:paraId="33512C9B" w14:textId="514625CE" w:rsidR="00397EB1" w:rsidRPr="00601C70" w:rsidRDefault="00397EB1" w:rsidP="00601C70">
      <w:pPr>
        <w:pStyle w:val="Prrafodelista"/>
        <w:numPr>
          <w:ilvl w:val="0"/>
          <w:numId w:val="4"/>
        </w:numPr>
        <w:rPr>
          <w:rFonts w:ascii="Verdana" w:hAnsi="Verdana"/>
          <w:bCs/>
          <w:sz w:val="22"/>
          <w:szCs w:val="22"/>
        </w:rPr>
      </w:pPr>
      <w:r w:rsidRPr="00397EB1">
        <w:rPr>
          <w:rFonts w:ascii="Verdana" w:hAnsi="Verdana"/>
          <w:bCs/>
          <w:sz w:val="22"/>
          <w:szCs w:val="22"/>
        </w:rPr>
        <w:t xml:space="preserve">El Comité de </w:t>
      </w:r>
      <w:r w:rsidR="00EF02E9">
        <w:rPr>
          <w:rFonts w:ascii="Verdana" w:hAnsi="Verdana"/>
          <w:bCs/>
          <w:sz w:val="22"/>
          <w:szCs w:val="22"/>
        </w:rPr>
        <w:t>S</w:t>
      </w:r>
      <w:r w:rsidRPr="00397EB1">
        <w:rPr>
          <w:rFonts w:ascii="Verdana" w:hAnsi="Verdana"/>
          <w:bCs/>
          <w:sz w:val="22"/>
          <w:szCs w:val="22"/>
        </w:rPr>
        <w:t xml:space="preserve">upervisión y Ciberseguridad está estructurando un </w:t>
      </w:r>
      <w:r>
        <w:rPr>
          <w:rFonts w:ascii="Verdana" w:hAnsi="Verdana"/>
          <w:bCs/>
          <w:sz w:val="22"/>
          <w:szCs w:val="22"/>
        </w:rPr>
        <w:t>A</w:t>
      </w:r>
      <w:r w:rsidRPr="00397EB1">
        <w:rPr>
          <w:rFonts w:ascii="Verdana" w:hAnsi="Verdana"/>
          <w:bCs/>
          <w:sz w:val="22"/>
          <w:szCs w:val="22"/>
        </w:rPr>
        <w:t>cuerdo con los compromisos para el informe de supervisión. Se espera tenerlo para recomendación al C</w:t>
      </w:r>
      <w:r>
        <w:rPr>
          <w:rFonts w:ascii="Verdana" w:hAnsi="Verdana"/>
          <w:bCs/>
          <w:sz w:val="22"/>
          <w:szCs w:val="22"/>
        </w:rPr>
        <w:t xml:space="preserve">onsejo </w:t>
      </w:r>
      <w:r w:rsidRPr="00397EB1">
        <w:rPr>
          <w:rFonts w:ascii="Verdana" w:hAnsi="Verdana"/>
          <w:bCs/>
          <w:sz w:val="22"/>
          <w:szCs w:val="22"/>
        </w:rPr>
        <w:t>en la reunión del mes de marzo</w:t>
      </w:r>
      <w:r>
        <w:rPr>
          <w:rFonts w:ascii="Verdana" w:hAnsi="Verdana"/>
          <w:bCs/>
          <w:sz w:val="22"/>
          <w:szCs w:val="22"/>
        </w:rPr>
        <w:t xml:space="preserve"> de 2021</w:t>
      </w:r>
      <w:r w:rsidRPr="00397EB1">
        <w:rPr>
          <w:rFonts w:ascii="Verdana" w:hAnsi="Verdana"/>
          <w:bCs/>
          <w:sz w:val="22"/>
          <w:szCs w:val="22"/>
        </w:rPr>
        <w:t>.</w:t>
      </w:r>
    </w:p>
    <w:p w14:paraId="39FE3BF8" w14:textId="77777777" w:rsidR="00DF4EBB" w:rsidRPr="00601C70" w:rsidRDefault="00DF4EBB" w:rsidP="00601C70">
      <w:pPr>
        <w:pStyle w:val="Prrafodelista"/>
        <w:rPr>
          <w:rFonts w:ascii="Verdana" w:hAnsi="Verdana"/>
          <w:bCs/>
          <w:sz w:val="22"/>
          <w:szCs w:val="22"/>
        </w:rPr>
      </w:pPr>
    </w:p>
    <w:p w14:paraId="29E265DF" w14:textId="77777777" w:rsidR="002B6CF3" w:rsidRDefault="0020756B" w:rsidP="006C505E">
      <w:pPr>
        <w:pStyle w:val="Prrafodelista"/>
        <w:numPr>
          <w:ilvl w:val="0"/>
          <w:numId w:val="4"/>
        </w:numPr>
        <w:jc w:val="both"/>
        <w:rPr>
          <w:rFonts w:ascii="Verdana" w:hAnsi="Verdana"/>
          <w:bCs/>
          <w:sz w:val="22"/>
          <w:szCs w:val="22"/>
        </w:rPr>
      </w:pPr>
      <w:r>
        <w:rPr>
          <w:rFonts w:ascii="Verdana" w:hAnsi="Verdana"/>
          <w:bCs/>
          <w:sz w:val="22"/>
          <w:szCs w:val="22"/>
        </w:rPr>
        <w:t xml:space="preserve">El 29 de </w:t>
      </w:r>
      <w:r w:rsidR="002454E8">
        <w:rPr>
          <w:rFonts w:ascii="Verdana" w:hAnsi="Verdana"/>
          <w:bCs/>
          <w:sz w:val="22"/>
          <w:szCs w:val="22"/>
        </w:rPr>
        <w:t>en</w:t>
      </w:r>
      <w:r>
        <w:rPr>
          <w:rFonts w:ascii="Verdana" w:hAnsi="Verdana"/>
          <w:bCs/>
          <w:sz w:val="22"/>
          <w:szCs w:val="22"/>
        </w:rPr>
        <w:t>ero</w:t>
      </w:r>
      <w:r w:rsidR="002454E8">
        <w:rPr>
          <w:rFonts w:ascii="Verdana" w:hAnsi="Verdana"/>
          <w:bCs/>
          <w:sz w:val="22"/>
          <w:szCs w:val="22"/>
        </w:rPr>
        <w:t xml:space="preserve"> del 2021 el CND presentó los Informes de Planeamiento Operativo Eléctrico de Mediano y Largo Plazo (</w:t>
      </w:r>
      <w:r w:rsidR="00DF4EBB">
        <w:rPr>
          <w:rFonts w:ascii="Verdana" w:hAnsi="Verdana"/>
          <w:bCs/>
          <w:sz w:val="22"/>
          <w:szCs w:val="22"/>
        </w:rPr>
        <w:t>IPOEMP</w:t>
      </w:r>
      <w:r w:rsidR="002454E8">
        <w:rPr>
          <w:rFonts w:ascii="Verdana" w:hAnsi="Verdana"/>
          <w:bCs/>
          <w:sz w:val="22"/>
          <w:szCs w:val="22"/>
        </w:rPr>
        <w:t xml:space="preserve"> e </w:t>
      </w:r>
      <w:r w:rsidR="00DF4EBB">
        <w:rPr>
          <w:rFonts w:ascii="Verdana" w:hAnsi="Verdana"/>
          <w:bCs/>
          <w:sz w:val="22"/>
          <w:szCs w:val="22"/>
        </w:rPr>
        <w:t>IPOELP</w:t>
      </w:r>
      <w:r w:rsidR="002454E8">
        <w:rPr>
          <w:rFonts w:ascii="Verdana" w:hAnsi="Verdana"/>
          <w:bCs/>
          <w:sz w:val="22"/>
          <w:szCs w:val="22"/>
        </w:rPr>
        <w:t>), y el Informe Trimestral de Restricciones</w:t>
      </w:r>
      <w:r w:rsidR="00DF4EBB">
        <w:rPr>
          <w:rFonts w:ascii="Verdana" w:hAnsi="Verdana"/>
          <w:bCs/>
          <w:sz w:val="22"/>
          <w:szCs w:val="22"/>
        </w:rPr>
        <w:t xml:space="preserve"> </w:t>
      </w:r>
      <w:r w:rsidR="002454E8">
        <w:rPr>
          <w:rFonts w:ascii="Verdana" w:hAnsi="Verdana"/>
          <w:bCs/>
          <w:sz w:val="22"/>
          <w:szCs w:val="22"/>
        </w:rPr>
        <w:t>(I</w:t>
      </w:r>
      <w:r w:rsidR="00DF4EBB">
        <w:rPr>
          <w:rFonts w:ascii="Verdana" w:hAnsi="Verdana"/>
          <w:bCs/>
          <w:sz w:val="22"/>
          <w:szCs w:val="22"/>
        </w:rPr>
        <w:t>TR</w:t>
      </w:r>
      <w:r w:rsidR="002454E8">
        <w:rPr>
          <w:rFonts w:ascii="Verdana" w:hAnsi="Verdana"/>
          <w:bCs/>
          <w:sz w:val="22"/>
          <w:szCs w:val="22"/>
        </w:rPr>
        <w:t>)</w:t>
      </w:r>
      <w:r w:rsidR="00DF4EBB">
        <w:rPr>
          <w:rFonts w:ascii="Verdana" w:hAnsi="Verdana"/>
          <w:bCs/>
          <w:sz w:val="22"/>
          <w:szCs w:val="22"/>
        </w:rPr>
        <w:t>.</w:t>
      </w:r>
      <w:r w:rsidR="002454E8">
        <w:rPr>
          <w:rFonts w:ascii="Verdana" w:hAnsi="Verdana"/>
          <w:bCs/>
          <w:sz w:val="22"/>
          <w:szCs w:val="22"/>
        </w:rPr>
        <w:t xml:space="preserve"> </w:t>
      </w:r>
    </w:p>
    <w:p w14:paraId="6D6ADFAB" w14:textId="77777777" w:rsidR="002B6CF3" w:rsidRPr="00601C70" w:rsidRDefault="002B6CF3" w:rsidP="00601C70">
      <w:pPr>
        <w:pStyle w:val="Prrafodelista"/>
        <w:rPr>
          <w:rFonts w:ascii="Verdana" w:hAnsi="Verdana"/>
          <w:bCs/>
          <w:sz w:val="22"/>
          <w:szCs w:val="22"/>
        </w:rPr>
      </w:pPr>
    </w:p>
    <w:p w14:paraId="1C920754" w14:textId="314FEC7D" w:rsidR="002B6CF3" w:rsidRPr="00601C70" w:rsidRDefault="002454E8" w:rsidP="00601C70">
      <w:pPr>
        <w:pStyle w:val="Prrafodelista"/>
        <w:numPr>
          <w:ilvl w:val="0"/>
          <w:numId w:val="9"/>
        </w:numPr>
        <w:jc w:val="both"/>
        <w:rPr>
          <w:rFonts w:ascii="Verdana" w:hAnsi="Verdana"/>
          <w:bCs/>
          <w:sz w:val="22"/>
          <w:szCs w:val="22"/>
        </w:rPr>
      </w:pPr>
      <w:r>
        <w:rPr>
          <w:rFonts w:ascii="Verdana" w:hAnsi="Verdana"/>
          <w:bCs/>
          <w:sz w:val="22"/>
          <w:szCs w:val="22"/>
        </w:rPr>
        <w:t xml:space="preserve">Respecto a las condiciones de </w:t>
      </w:r>
      <w:r w:rsidR="007D10FD">
        <w:rPr>
          <w:rFonts w:ascii="Verdana" w:hAnsi="Verdana"/>
          <w:bCs/>
          <w:sz w:val="22"/>
          <w:szCs w:val="22"/>
        </w:rPr>
        <w:t>r</w:t>
      </w:r>
      <w:r>
        <w:rPr>
          <w:rFonts w:ascii="Verdana" w:hAnsi="Verdana"/>
          <w:bCs/>
          <w:sz w:val="22"/>
          <w:szCs w:val="22"/>
        </w:rPr>
        <w:t xml:space="preserve">ed </w:t>
      </w:r>
      <w:r w:rsidR="002B6CF3">
        <w:rPr>
          <w:rFonts w:ascii="Verdana" w:hAnsi="Verdana"/>
          <w:bCs/>
          <w:sz w:val="22"/>
          <w:szCs w:val="22"/>
        </w:rPr>
        <w:t>actuales,</w:t>
      </w:r>
      <w:r>
        <w:rPr>
          <w:rFonts w:ascii="Verdana" w:hAnsi="Verdana"/>
          <w:bCs/>
          <w:sz w:val="22"/>
          <w:szCs w:val="22"/>
        </w:rPr>
        <w:t xml:space="preserve"> se observa una disminución de 10 restricciones, en contraste con la </w:t>
      </w:r>
      <w:r w:rsidR="002B6CF3">
        <w:rPr>
          <w:rFonts w:ascii="Verdana" w:hAnsi="Verdana"/>
          <w:bCs/>
          <w:sz w:val="22"/>
          <w:szCs w:val="22"/>
        </w:rPr>
        <w:t>situación</w:t>
      </w:r>
      <w:r>
        <w:rPr>
          <w:rFonts w:ascii="Verdana" w:hAnsi="Verdana"/>
          <w:bCs/>
          <w:sz w:val="22"/>
          <w:szCs w:val="22"/>
        </w:rPr>
        <w:t xml:space="preserve"> del SIN en el mes de septiembre del 2020.</w:t>
      </w:r>
      <w:r w:rsidR="002B6CF3">
        <w:rPr>
          <w:rFonts w:ascii="Verdana" w:hAnsi="Verdana"/>
          <w:bCs/>
          <w:sz w:val="22"/>
          <w:szCs w:val="22"/>
        </w:rPr>
        <w:t xml:space="preserve"> </w:t>
      </w:r>
      <w:r w:rsidRPr="00601C70">
        <w:rPr>
          <w:rFonts w:ascii="Verdana" w:hAnsi="Verdana"/>
          <w:bCs/>
          <w:sz w:val="22"/>
          <w:szCs w:val="22"/>
        </w:rPr>
        <w:t xml:space="preserve">Destaca de estos estudios </w:t>
      </w:r>
      <w:r w:rsidR="007D10FD" w:rsidRPr="00601C70">
        <w:rPr>
          <w:rFonts w:ascii="Verdana" w:hAnsi="Verdana"/>
          <w:bCs/>
          <w:sz w:val="22"/>
          <w:szCs w:val="22"/>
        </w:rPr>
        <w:t>el impacto</w:t>
      </w:r>
      <w:r w:rsidRPr="00601C70">
        <w:rPr>
          <w:rFonts w:ascii="Verdana" w:hAnsi="Verdana"/>
          <w:bCs/>
          <w:sz w:val="22"/>
          <w:szCs w:val="22"/>
        </w:rPr>
        <w:t xml:space="preserve"> de </w:t>
      </w:r>
      <w:r w:rsidR="007D10FD" w:rsidRPr="00601C70">
        <w:rPr>
          <w:rFonts w:ascii="Verdana" w:hAnsi="Verdana"/>
          <w:bCs/>
          <w:sz w:val="22"/>
          <w:szCs w:val="22"/>
        </w:rPr>
        <w:t xml:space="preserve">los </w:t>
      </w:r>
      <w:r w:rsidRPr="00601C70">
        <w:rPr>
          <w:rFonts w:ascii="Verdana" w:hAnsi="Verdana"/>
          <w:bCs/>
          <w:sz w:val="22"/>
          <w:szCs w:val="22"/>
        </w:rPr>
        <w:t>nuevos proyectos a 500 kV en el área Caribe</w:t>
      </w:r>
      <w:r w:rsidR="007D10FD" w:rsidRPr="00601C70">
        <w:rPr>
          <w:rFonts w:ascii="Verdana" w:hAnsi="Verdana"/>
          <w:bCs/>
          <w:sz w:val="22"/>
          <w:szCs w:val="22"/>
        </w:rPr>
        <w:t xml:space="preserve"> para el 2021, expansi</w:t>
      </w:r>
      <w:r w:rsidR="002B6CF3" w:rsidRPr="00601C70">
        <w:rPr>
          <w:rFonts w:ascii="Verdana" w:hAnsi="Verdana"/>
          <w:bCs/>
          <w:sz w:val="22"/>
          <w:szCs w:val="22"/>
        </w:rPr>
        <w:t>ones</w:t>
      </w:r>
      <w:r w:rsidR="007D10FD" w:rsidRPr="00601C70">
        <w:rPr>
          <w:rFonts w:ascii="Verdana" w:hAnsi="Verdana"/>
          <w:bCs/>
          <w:sz w:val="22"/>
          <w:szCs w:val="22"/>
        </w:rPr>
        <w:t xml:space="preserve"> que incrementaría</w:t>
      </w:r>
      <w:r w:rsidR="002B6CF3" w:rsidRPr="00601C70">
        <w:rPr>
          <w:rFonts w:ascii="Verdana" w:hAnsi="Verdana"/>
          <w:bCs/>
          <w:sz w:val="22"/>
          <w:szCs w:val="22"/>
        </w:rPr>
        <w:t>n</w:t>
      </w:r>
      <w:r w:rsidR="007D10FD" w:rsidRPr="00601C70">
        <w:rPr>
          <w:rFonts w:ascii="Verdana" w:hAnsi="Verdana"/>
          <w:bCs/>
          <w:sz w:val="22"/>
          <w:szCs w:val="22"/>
        </w:rPr>
        <w:t xml:space="preserve"> el límite de importación de esta fracción del SIN y reduciría sus requerimientos de unidades de generación para el control de tensión y soporte de potencia reactiva. </w:t>
      </w:r>
    </w:p>
    <w:p w14:paraId="2B2D6465" w14:textId="77777777" w:rsidR="002B6CF3" w:rsidRDefault="002B6CF3" w:rsidP="00601C70">
      <w:pPr>
        <w:pStyle w:val="Prrafodelista"/>
        <w:ind w:left="720"/>
        <w:jc w:val="both"/>
        <w:rPr>
          <w:rFonts w:ascii="Verdana" w:hAnsi="Verdana"/>
          <w:bCs/>
          <w:sz w:val="22"/>
          <w:szCs w:val="22"/>
        </w:rPr>
      </w:pPr>
    </w:p>
    <w:p w14:paraId="28BCFA51" w14:textId="77777777" w:rsidR="00EF6AE6" w:rsidRDefault="007D10FD" w:rsidP="00EF6AE6">
      <w:pPr>
        <w:pStyle w:val="Prrafodelista"/>
        <w:numPr>
          <w:ilvl w:val="0"/>
          <w:numId w:val="8"/>
        </w:numPr>
        <w:jc w:val="both"/>
        <w:rPr>
          <w:rFonts w:ascii="Verdana" w:hAnsi="Verdana"/>
          <w:bCs/>
          <w:sz w:val="22"/>
          <w:szCs w:val="22"/>
        </w:rPr>
      </w:pPr>
      <w:r w:rsidRPr="00601C70">
        <w:rPr>
          <w:rFonts w:ascii="Verdana" w:hAnsi="Verdana"/>
          <w:bCs/>
          <w:sz w:val="22"/>
          <w:szCs w:val="22"/>
        </w:rPr>
        <w:t>Para las otras áreas y subáreas del SIN, si bien se espera la puesta en servicio de proyectos importantes, como las subestaciones</w:t>
      </w:r>
      <w:r w:rsidR="002B6CF3">
        <w:rPr>
          <w:rFonts w:ascii="Verdana" w:hAnsi="Verdana"/>
          <w:bCs/>
          <w:sz w:val="22"/>
          <w:szCs w:val="22"/>
        </w:rPr>
        <w:t xml:space="preserve"> a 230 kV</w:t>
      </w:r>
      <w:r w:rsidRPr="00601C70">
        <w:rPr>
          <w:rFonts w:ascii="Verdana" w:hAnsi="Verdana"/>
          <w:bCs/>
          <w:sz w:val="22"/>
          <w:szCs w:val="22"/>
        </w:rPr>
        <w:t xml:space="preserve"> Suria y San Fernando, el enlace Porce III-Sogamoso 500 kV, la línea Medellín-Virginia 500 kV, en </w:t>
      </w:r>
      <w:r w:rsidR="002B6CF3" w:rsidRPr="00601C70">
        <w:rPr>
          <w:rFonts w:ascii="Verdana" w:hAnsi="Verdana"/>
          <w:bCs/>
          <w:sz w:val="22"/>
          <w:szCs w:val="22"/>
        </w:rPr>
        <w:t>otros, las restricciones a nivel de STR en varias zonas del Sistema se mantienen invariantes</w:t>
      </w:r>
      <w:r w:rsidR="002B6CF3">
        <w:rPr>
          <w:rFonts w:ascii="Verdana" w:hAnsi="Verdana"/>
          <w:bCs/>
          <w:sz w:val="22"/>
          <w:szCs w:val="22"/>
        </w:rPr>
        <w:t xml:space="preserve"> para el mediano plazo</w:t>
      </w:r>
      <w:r w:rsidR="002B6CF3" w:rsidRPr="00601C70">
        <w:rPr>
          <w:rFonts w:ascii="Verdana" w:hAnsi="Verdana"/>
          <w:bCs/>
          <w:sz w:val="22"/>
          <w:szCs w:val="22"/>
        </w:rPr>
        <w:t>.</w:t>
      </w:r>
    </w:p>
    <w:p w14:paraId="41A19861" w14:textId="5A5D93C6" w:rsidR="00EF6AE6" w:rsidRDefault="00EF6AE6" w:rsidP="00601C70">
      <w:pPr>
        <w:pStyle w:val="Prrafodelista"/>
        <w:ind w:left="720"/>
        <w:jc w:val="both"/>
        <w:rPr>
          <w:rFonts w:ascii="Verdana" w:hAnsi="Verdana"/>
          <w:bCs/>
          <w:sz w:val="22"/>
          <w:szCs w:val="22"/>
        </w:rPr>
      </w:pPr>
    </w:p>
    <w:p w14:paraId="64218B25" w14:textId="77777777" w:rsidR="00AA6539" w:rsidRDefault="00EF6AE6" w:rsidP="00EF6AE6">
      <w:pPr>
        <w:pStyle w:val="Prrafodelista"/>
        <w:numPr>
          <w:ilvl w:val="0"/>
          <w:numId w:val="8"/>
        </w:numPr>
        <w:jc w:val="both"/>
        <w:rPr>
          <w:rFonts w:ascii="Verdana" w:hAnsi="Verdana"/>
          <w:bCs/>
          <w:sz w:val="22"/>
          <w:szCs w:val="22"/>
        </w:rPr>
      </w:pPr>
      <w:r>
        <w:rPr>
          <w:rFonts w:ascii="Verdana" w:hAnsi="Verdana"/>
          <w:bCs/>
          <w:sz w:val="22"/>
          <w:szCs w:val="22"/>
        </w:rPr>
        <w:t xml:space="preserve">Para el largo plazo, es preocupante el posible impacto del atraso de todas las expansiones en el área Oriental, específicamente </w:t>
      </w:r>
      <w:r w:rsidR="00F73999">
        <w:rPr>
          <w:rFonts w:ascii="Verdana" w:hAnsi="Verdana"/>
          <w:bCs/>
          <w:sz w:val="22"/>
          <w:szCs w:val="22"/>
        </w:rPr>
        <w:t>los</w:t>
      </w:r>
      <w:r>
        <w:rPr>
          <w:rFonts w:ascii="Verdana" w:hAnsi="Verdana"/>
          <w:bCs/>
          <w:sz w:val="22"/>
          <w:szCs w:val="22"/>
        </w:rPr>
        <w:t xml:space="preserve"> Proyectos Chivor-Chivor II-Norte-Bacatá 230 kV, </w:t>
      </w:r>
      <w:r w:rsidR="00F73999">
        <w:rPr>
          <w:rFonts w:ascii="Verdana" w:hAnsi="Verdana"/>
          <w:bCs/>
          <w:sz w:val="22"/>
          <w:szCs w:val="22"/>
        </w:rPr>
        <w:t>Sogamoso-Norte-Nueva Esperanza 500 kV y Virginia-Nueva Esperanza 500 kV. Adicionalmente, se evidencia la necesidad de nuevas expansiones en</w:t>
      </w:r>
      <w:r w:rsidR="00AA6539">
        <w:rPr>
          <w:rFonts w:ascii="Verdana" w:hAnsi="Verdana"/>
          <w:bCs/>
          <w:sz w:val="22"/>
          <w:szCs w:val="22"/>
        </w:rPr>
        <w:t xml:space="preserve"> el STR y soluciones tecnológicas para reducir el nivel de corto de algunas subestaciones.</w:t>
      </w:r>
    </w:p>
    <w:p w14:paraId="75E3EFE4" w14:textId="77777777" w:rsidR="00AA6539" w:rsidRPr="00601C70" w:rsidRDefault="00AA6539" w:rsidP="00601C70">
      <w:pPr>
        <w:pStyle w:val="Prrafodelista"/>
        <w:rPr>
          <w:rFonts w:ascii="Verdana" w:hAnsi="Verdana"/>
          <w:bCs/>
          <w:sz w:val="22"/>
          <w:szCs w:val="22"/>
        </w:rPr>
      </w:pPr>
    </w:p>
    <w:p w14:paraId="42E617CF" w14:textId="6D11E01E" w:rsidR="00AA6539" w:rsidRDefault="00AA6539" w:rsidP="00EF6AE6">
      <w:pPr>
        <w:pStyle w:val="Prrafodelista"/>
        <w:numPr>
          <w:ilvl w:val="0"/>
          <w:numId w:val="8"/>
        </w:numPr>
        <w:jc w:val="both"/>
        <w:rPr>
          <w:rFonts w:ascii="Verdana" w:hAnsi="Verdana"/>
          <w:bCs/>
          <w:sz w:val="22"/>
          <w:szCs w:val="22"/>
        </w:rPr>
      </w:pPr>
      <w:r>
        <w:rPr>
          <w:rFonts w:ascii="Verdana" w:hAnsi="Verdana"/>
          <w:bCs/>
          <w:sz w:val="22"/>
          <w:szCs w:val="22"/>
        </w:rPr>
        <w:t>En la subárea GCM, con la entrada en operación de toda la red a 500 kV, se prevén sobretensiones por el aporte capacitivo de la nueva infraestructura. En este sentido, se requiere la instalación de nuevos elementos de compensación inductiva para el control de voltaje. Vale la pena mencionar que</w:t>
      </w:r>
      <w:r w:rsidR="009578A6">
        <w:rPr>
          <w:rFonts w:ascii="Verdana" w:hAnsi="Verdana"/>
          <w:bCs/>
          <w:sz w:val="22"/>
          <w:szCs w:val="22"/>
        </w:rPr>
        <w:t>,</w:t>
      </w:r>
      <w:r>
        <w:rPr>
          <w:rFonts w:ascii="Verdana" w:hAnsi="Verdana"/>
          <w:bCs/>
          <w:sz w:val="22"/>
          <w:szCs w:val="22"/>
        </w:rPr>
        <w:t xml:space="preserve"> desde el punto de vista de estabilidad de tensión</w:t>
      </w:r>
      <w:r w:rsidR="009578A6">
        <w:rPr>
          <w:rFonts w:ascii="Verdana" w:hAnsi="Verdana"/>
          <w:bCs/>
          <w:sz w:val="22"/>
          <w:szCs w:val="22"/>
        </w:rPr>
        <w:t>,</w:t>
      </w:r>
      <w:r>
        <w:rPr>
          <w:rFonts w:ascii="Verdana" w:hAnsi="Verdana"/>
          <w:bCs/>
          <w:sz w:val="22"/>
          <w:szCs w:val="22"/>
        </w:rPr>
        <w:t xml:space="preserve"> la conexión de los nuevos recursos renovables</w:t>
      </w:r>
      <w:r w:rsidR="009578A6">
        <w:rPr>
          <w:rFonts w:ascii="Verdana" w:hAnsi="Verdana"/>
          <w:bCs/>
          <w:sz w:val="22"/>
          <w:szCs w:val="22"/>
        </w:rPr>
        <w:t xml:space="preserve"> no convencionales</w:t>
      </w:r>
      <w:r>
        <w:rPr>
          <w:rFonts w:ascii="Verdana" w:hAnsi="Verdana"/>
          <w:bCs/>
          <w:sz w:val="22"/>
          <w:szCs w:val="22"/>
        </w:rPr>
        <w:t xml:space="preserve"> en la subárea</w:t>
      </w:r>
      <w:r w:rsidR="009578A6">
        <w:rPr>
          <w:rFonts w:ascii="Verdana" w:hAnsi="Verdana"/>
          <w:bCs/>
          <w:sz w:val="22"/>
          <w:szCs w:val="22"/>
        </w:rPr>
        <w:t xml:space="preserve"> no afecta la seguridad del SIN.</w:t>
      </w:r>
    </w:p>
    <w:p w14:paraId="102C4129" w14:textId="77777777" w:rsidR="00AA6539" w:rsidRPr="00601C70" w:rsidRDefault="00AA6539" w:rsidP="00601C70">
      <w:pPr>
        <w:pStyle w:val="Prrafodelista"/>
        <w:rPr>
          <w:rFonts w:ascii="Verdana" w:hAnsi="Verdana"/>
          <w:bCs/>
          <w:sz w:val="22"/>
          <w:szCs w:val="22"/>
        </w:rPr>
      </w:pPr>
    </w:p>
    <w:p w14:paraId="7EF18ADC" w14:textId="42C3C635" w:rsidR="00DF4EBB" w:rsidRPr="00601C70" w:rsidRDefault="009578A6" w:rsidP="00601C70">
      <w:pPr>
        <w:pStyle w:val="Prrafodelista"/>
        <w:numPr>
          <w:ilvl w:val="0"/>
          <w:numId w:val="8"/>
        </w:numPr>
        <w:jc w:val="both"/>
        <w:rPr>
          <w:rFonts w:ascii="Verdana" w:hAnsi="Verdana"/>
          <w:bCs/>
          <w:sz w:val="22"/>
          <w:szCs w:val="22"/>
        </w:rPr>
      </w:pPr>
      <w:r>
        <w:rPr>
          <w:rFonts w:ascii="Verdana" w:hAnsi="Verdana"/>
          <w:bCs/>
          <w:sz w:val="22"/>
          <w:szCs w:val="22"/>
        </w:rPr>
        <w:lastRenderedPageBreak/>
        <w:t>En la subárea Bolívar si bien con los proyectos a nivel de STN/STR</w:t>
      </w:r>
      <w:r w:rsidR="002D4C39">
        <w:rPr>
          <w:rFonts w:ascii="Verdana" w:hAnsi="Verdana"/>
          <w:bCs/>
          <w:sz w:val="22"/>
          <w:szCs w:val="22"/>
        </w:rPr>
        <w:t xml:space="preserve"> definidos</w:t>
      </w:r>
      <w:r>
        <w:rPr>
          <w:rFonts w:ascii="Verdana" w:hAnsi="Verdana"/>
          <w:bCs/>
          <w:sz w:val="22"/>
          <w:szCs w:val="22"/>
        </w:rPr>
        <w:t xml:space="preserve">, traslados de carga y repotenciaciones </w:t>
      </w:r>
      <w:r w:rsidR="002D4C39">
        <w:rPr>
          <w:rFonts w:ascii="Verdana" w:hAnsi="Verdana"/>
          <w:bCs/>
          <w:sz w:val="22"/>
          <w:szCs w:val="22"/>
        </w:rPr>
        <w:t>en la red de</w:t>
      </w:r>
      <w:r>
        <w:rPr>
          <w:rFonts w:ascii="Verdana" w:hAnsi="Verdana"/>
          <w:bCs/>
          <w:sz w:val="22"/>
          <w:szCs w:val="22"/>
        </w:rPr>
        <w:t xml:space="preserve"> 66 kV se</w:t>
      </w:r>
      <w:r w:rsidR="002D4C39">
        <w:rPr>
          <w:rFonts w:ascii="Verdana" w:hAnsi="Verdana"/>
          <w:bCs/>
          <w:sz w:val="22"/>
          <w:szCs w:val="22"/>
        </w:rPr>
        <w:t xml:space="preserve"> eliminan las restricciones, después del año 2025 se evidencia que el porcentaje de escenarios seguros de operación en demanda máxima es del 0 %. En este sentido, se recomienda definir obras estructurales para garantizar la atención confiable y segura de la demanda de este departamento. </w:t>
      </w:r>
      <w:r>
        <w:rPr>
          <w:rFonts w:ascii="Verdana" w:hAnsi="Verdana"/>
          <w:bCs/>
          <w:sz w:val="22"/>
          <w:szCs w:val="22"/>
        </w:rPr>
        <w:t xml:space="preserve"> </w:t>
      </w:r>
      <w:r w:rsidR="00F73999">
        <w:rPr>
          <w:rFonts w:ascii="Verdana" w:hAnsi="Verdana"/>
          <w:bCs/>
          <w:sz w:val="22"/>
          <w:szCs w:val="22"/>
        </w:rPr>
        <w:t xml:space="preserve"> </w:t>
      </w:r>
      <w:r w:rsidR="00EF6AE6">
        <w:rPr>
          <w:rFonts w:ascii="Verdana" w:hAnsi="Verdana"/>
          <w:bCs/>
          <w:sz w:val="22"/>
          <w:szCs w:val="22"/>
        </w:rPr>
        <w:t xml:space="preserve"> </w:t>
      </w:r>
      <w:r w:rsidR="002454E8" w:rsidRPr="00601C70">
        <w:rPr>
          <w:rFonts w:ascii="Verdana" w:hAnsi="Verdana"/>
          <w:bCs/>
          <w:sz w:val="22"/>
          <w:szCs w:val="22"/>
        </w:rPr>
        <w:t xml:space="preserve">  </w:t>
      </w:r>
    </w:p>
    <w:p w14:paraId="136915EE" w14:textId="77777777" w:rsidR="00DF4EBB" w:rsidRPr="00601C70" w:rsidRDefault="00DF4EBB" w:rsidP="00601C70">
      <w:pPr>
        <w:pStyle w:val="Prrafodelista"/>
        <w:rPr>
          <w:rFonts w:ascii="Verdana" w:hAnsi="Verdana"/>
          <w:bCs/>
          <w:sz w:val="22"/>
          <w:szCs w:val="22"/>
        </w:rPr>
      </w:pPr>
    </w:p>
    <w:p w14:paraId="23C75F22" w14:textId="094C5E15" w:rsidR="00701960" w:rsidRDefault="00845A0E" w:rsidP="006C505E">
      <w:pPr>
        <w:pStyle w:val="Prrafodelista"/>
        <w:numPr>
          <w:ilvl w:val="0"/>
          <w:numId w:val="4"/>
        </w:numPr>
        <w:jc w:val="both"/>
        <w:rPr>
          <w:rFonts w:ascii="Verdana" w:hAnsi="Verdana"/>
          <w:bCs/>
          <w:sz w:val="22"/>
          <w:szCs w:val="22"/>
        </w:rPr>
      </w:pPr>
      <w:r>
        <w:rPr>
          <w:rFonts w:ascii="Verdana" w:hAnsi="Verdana"/>
          <w:bCs/>
          <w:sz w:val="22"/>
          <w:szCs w:val="22"/>
        </w:rPr>
        <w:t>Fue publicada para comentarios hasta el 11 de febrero de 2020</w:t>
      </w:r>
      <w:r w:rsidR="009402C6">
        <w:rPr>
          <w:rFonts w:ascii="Verdana" w:hAnsi="Verdana"/>
          <w:bCs/>
          <w:sz w:val="22"/>
          <w:szCs w:val="22"/>
        </w:rPr>
        <w:t>,</w:t>
      </w:r>
      <w:r>
        <w:rPr>
          <w:rFonts w:ascii="Verdana" w:hAnsi="Verdana"/>
          <w:bCs/>
          <w:sz w:val="22"/>
          <w:szCs w:val="22"/>
        </w:rPr>
        <w:t xml:space="preserve"> el proyecto normativo de la Resolución </w:t>
      </w:r>
      <w:r w:rsidR="00DF4EBB">
        <w:rPr>
          <w:rFonts w:ascii="Verdana" w:hAnsi="Verdana"/>
          <w:bCs/>
          <w:sz w:val="22"/>
          <w:szCs w:val="22"/>
        </w:rPr>
        <w:t>CREG 002 de 2021</w:t>
      </w:r>
      <w:r>
        <w:rPr>
          <w:rFonts w:ascii="Verdana" w:hAnsi="Verdana"/>
          <w:bCs/>
          <w:sz w:val="22"/>
          <w:szCs w:val="22"/>
        </w:rPr>
        <w:t>, “</w:t>
      </w:r>
      <w:r w:rsidRPr="00601C70">
        <w:rPr>
          <w:rFonts w:ascii="Verdana" w:hAnsi="Verdana"/>
          <w:bCs/>
          <w:i/>
          <w:iCs/>
          <w:sz w:val="22"/>
          <w:szCs w:val="22"/>
        </w:rPr>
        <w:t>Por la cual se regulan las actividades de autogeneración a pequeña escala y de generación distribuida en el Sistema Interconectado Nacional</w:t>
      </w:r>
      <w:r>
        <w:rPr>
          <w:rFonts w:ascii="Verdana" w:hAnsi="Verdana"/>
          <w:bCs/>
          <w:sz w:val="22"/>
          <w:szCs w:val="22"/>
        </w:rPr>
        <w:t>”</w:t>
      </w:r>
      <w:r w:rsidR="00DF4EBB">
        <w:rPr>
          <w:rFonts w:ascii="Verdana" w:hAnsi="Verdana"/>
          <w:bCs/>
          <w:sz w:val="22"/>
          <w:szCs w:val="22"/>
        </w:rPr>
        <w:t>.</w:t>
      </w:r>
      <w:r>
        <w:rPr>
          <w:rFonts w:ascii="Verdana" w:hAnsi="Verdana"/>
          <w:bCs/>
          <w:sz w:val="22"/>
          <w:szCs w:val="22"/>
        </w:rPr>
        <w:t xml:space="preserve"> Dicho proyecto, que derogaría la Resolución CREG 030 de 2018, </w:t>
      </w:r>
      <w:r w:rsidR="009402C6">
        <w:rPr>
          <w:rFonts w:ascii="Verdana" w:hAnsi="Verdana"/>
          <w:bCs/>
          <w:sz w:val="22"/>
          <w:szCs w:val="22"/>
        </w:rPr>
        <w:t>establece un nuevo limite para la definición de la generación distribuida (GD &lt;1 MW), plantea nuevos procedimientos y tiempos para la integración</w:t>
      </w:r>
      <w:r w:rsidR="004151EB">
        <w:rPr>
          <w:rFonts w:ascii="Verdana" w:hAnsi="Verdana"/>
          <w:bCs/>
          <w:sz w:val="22"/>
          <w:szCs w:val="22"/>
        </w:rPr>
        <w:t xml:space="preserve"> a la red y medición</w:t>
      </w:r>
      <w:r w:rsidR="009402C6">
        <w:rPr>
          <w:rFonts w:ascii="Verdana" w:hAnsi="Verdana"/>
          <w:bCs/>
          <w:sz w:val="22"/>
          <w:szCs w:val="22"/>
        </w:rPr>
        <w:t xml:space="preserve"> de</w:t>
      </w:r>
      <w:r w:rsidR="004151EB">
        <w:rPr>
          <w:rFonts w:ascii="Verdana" w:hAnsi="Verdana"/>
          <w:bCs/>
          <w:sz w:val="22"/>
          <w:szCs w:val="22"/>
        </w:rPr>
        <w:t xml:space="preserve"> este segmento de la generación y</w:t>
      </w:r>
      <w:r w:rsidR="009402C6">
        <w:rPr>
          <w:rFonts w:ascii="Verdana" w:hAnsi="Verdana"/>
          <w:bCs/>
          <w:sz w:val="22"/>
          <w:szCs w:val="22"/>
        </w:rPr>
        <w:t xml:space="preserve"> </w:t>
      </w:r>
      <w:r w:rsidR="004151EB">
        <w:rPr>
          <w:rFonts w:ascii="Verdana" w:hAnsi="Verdana"/>
          <w:bCs/>
          <w:sz w:val="22"/>
          <w:szCs w:val="22"/>
        </w:rPr>
        <w:t>la Autogeneración a Pequeña Escala</w:t>
      </w:r>
      <w:r w:rsidR="00DE01ED">
        <w:rPr>
          <w:rFonts w:ascii="Verdana" w:hAnsi="Verdana"/>
          <w:bCs/>
          <w:sz w:val="22"/>
          <w:szCs w:val="22"/>
        </w:rPr>
        <w:t>-AGPE</w:t>
      </w:r>
      <w:r w:rsidR="004151EB">
        <w:rPr>
          <w:rFonts w:ascii="Verdana" w:hAnsi="Verdana"/>
          <w:bCs/>
          <w:sz w:val="22"/>
          <w:szCs w:val="22"/>
        </w:rPr>
        <w:t>, sugiere un procedimiento de a</w:t>
      </w:r>
      <w:r w:rsidR="004151EB" w:rsidRPr="004151EB">
        <w:rPr>
          <w:rFonts w:ascii="Verdana" w:hAnsi="Verdana"/>
          <w:bCs/>
          <w:sz w:val="22"/>
          <w:szCs w:val="22"/>
        </w:rPr>
        <w:t xml:space="preserve">uditoria </w:t>
      </w:r>
      <w:r w:rsidR="004151EB">
        <w:rPr>
          <w:rFonts w:ascii="Verdana" w:hAnsi="Verdana"/>
          <w:bCs/>
          <w:sz w:val="22"/>
          <w:szCs w:val="22"/>
        </w:rPr>
        <w:t>a los</w:t>
      </w:r>
      <w:r w:rsidR="004151EB" w:rsidRPr="004151EB">
        <w:rPr>
          <w:rFonts w:ascii="Verdana" w:hAnsi="Verdana"/>
          <w:bCs/>
          <w:sz w:val="22"/>
          <w:szCs w:val="22"/>
        </w:rPr>
        <w:t xml:space="preserve"> sistemas de información y sistema</w:t>
      </w:r>
      <w:r w:rsidR="00701960">
        <w:rPr>
          <w:rFonts w:ascii="Verdana" w:hAnsi="Verdana"/>
          <w:bCs/>
          <w:sz w:val="22"/>
          <w:szCs w:val="22"/>
        </w:rPr>
        <w:t>s</w:t>
      </w:r>
      <w:r w:rsidR="004151EB" w:rsidRPr="004151EB">
        <w:rPr>
          <w:rFonts w:ascii="Verdana" w:hAnsi="Verdana"/>
          <w:bCs/>
          <w:sz w:val="22"/>
          <w:szCs w:val="22"/>
        </w:rPr>
        <w:t xml:space="preserve"> de trámite en línea</w:t>
      </w:r>
      <w:r w:rsidR="004151EB">
        <w:rPr>
          <w:rFonts w:ascii="Verdana" w:hAnsi="Verdana"/>
          <w:bCs/>
          <w:sz w:val="22"/>
          <w:szCs w:val="22"/>
        </w:rPr>
        <w:t>, lista las causales de rechazo de las solicitudes de conexión</w:t>
      </w:r>
      <w:r w:rsidR="00701960">
        <w:rPr>
          <w:rFonts w:ascii="Verdana" w:hAnsi="Verdana"/>
          <w:bCs/>
          <w:sz w:val="22"/>
          <w:szCs w:val="22"/>
        </w:rPr>
        <w:t xml:space="preserve">, define </w:t>
      </w:r>
      <w:r w:rsidR="004151EB">
        <w:rPr>
          <w:rFonts w:ascii="Verdana" w:hAnsi="Verdana"/>
          <w:bCs/>
          <w:sz w:val="22"/>
          <w:szCs w:val="22"/>
        </w:rPr>
        <w:t>el tratamiento de los excedentes a la red,</w:t>
      </w:r>
      <w:r w:rsidR="00701960">
        <w:rPr>
          <w:rFonts w:ascii="Verdana" w:hAnsi="Verdana"/>
          <w:bCs/>
          <w:sz w:val="22"/>
          <w:szCs w:val="22"/>
        </w:rPr>
        <w:t xml:space="preserve"> entre otras disposiciones.</w:t>
      </w:r>
    </w:p>
    <w:p w14:paraId="32995319" w14:textId="77777777" w:rsidR="00701960" w:rsidRPr="00601C70" w:rsidRDefault="00701960" w:rsidP="00601C70">
      <w:pPr>
        <w:pStyle w:val="Prrafodelista"/>
        <w:rPr>
          <w:rFonts w:ascii="Verdana" w:hAnsi="Verdana"/>
          <w:bCs/>
          <w:sz w:val="22"/>
          <w:szCs w:val="22"/>
        </w:rPr>
      </w:pPr>
    </w:p>
    <w:p w14:paraId="2BEB64CC" w14:textId="77777777" w:rsidR="00701960" w:rsidRDefault="00701960" w:rsidP="00701960">
      <w:pPr>
        <w:pStyle w:val="Prrafodelista"/>
        <w:ind w:left="360"/>
        <w:jc w:val="both"/>
        <w:rPr>
          <w:rFonts w:ascii="Verdana" w:hAnsi="Verdana"/>
          <w:bCs/>
          <w:sz w:val="22"/>
          <w:szCs w:val="22"/>
        </w:rPr>
      </w:pPr>
      <w:r>
        <w:rPr>
          <w:rFonts w:ascii="Verdana" w:hAnsi="Verdana"/>
          <w:bCs/>
          <w:sz w:val="22"/>
          <w:szCs w:val="22"/>
        </w:rPr>
        <w:t>Desde el punto de vista del Consejo, se asignan las siguientes tareas, a ser desarrolladas en un tiempo menor a 30 días calendario:</w:t>
      </w:r>
    </w:p>
    <w:p w14:paraId="4C9B5DA8" w14:textId="77777777" w:rsidR="00701960" w:rsidRDefault="00701960" w:rsidP="00701960">
      <w:pPr>
        <w:pStyle w:val="Prrafodelista"/>
        <w:ind w:left="360"/>
        <w:jc w:val="both"/>
        <w:rPr>
          <w:rFonts w:ascii="Verdana" w:hAnsi="Verdana"/>
          <w:bCs/>
          <w:sz w:val="22"/>
          <w:szCs w:val="22"/>
        </w:rPr>
      </w:pPr>
    </w:p>
    <w:p w14:paraId="5D0CD639" w14:textId="77777777" w:rsidR="00701960" w:rsidRDefault="00701960" w:rsidP="00701960">
      <w:pPr>
        <w:pStyle w:val="Prrafodelista"/>
        <w:numPr>
          <w:ilvl w:val="0"/>
          <w:numId w:val="7"/>
        </w:numPr>
        <w:jc w:val="both"/>
        <w:rPr>
          <w:rFonts w:ascii="Verdana" w:hAnsi="Verdana"/>
          <w:bCs/>
          <w:sz w:val="22"/>
          <w:szCs w:val="22"/>
        </w:rPr>
      </w:pPr>
      <w:r>
        <w:rPr>
          <w:rFonts w:ascii="Verdana" w:hAnsi="Verdana"/>
          <w:bCs/>
          <w:sz w:val="22"/>
          <w:szCs w:val="22"/>
        </w:rPr>
        <w:t>Elaboración de lista de auditores a los Sistemas de Información y Trámite en Línea.</w:t>
      </w:r>
    </w:p>
    <w:p w14:paraId="1EF6B673" w14:textId="77777777" w:rsidR="00EF6AE6" w:rsidRDefault="00EF6AE6" w:rsidP="00601C70">
      <w:pPr>
        <w:pStyle w:val="Prrafodelista"/>
        <w:ind w:left="720"/>
        <w:jc w:val="both"/>
        <w:rPr>
          <w:rFonts w:ascii="Verdana" w:hAnsi="Verdana"/>
          <w:bCs/>
          <w:sz w:val="22"/>
          <w:szCs w:val="22"/>
        </w:rPr>
      </w:pPr>
    </w:p>
    <w:p w14:paraId="0AC2A1ED" w14:textId="539890C5" w:rsidR="00701960" w:rsidRDefault="00701960" w:rsidP="00701960">
      <w:pPr>
        <w:pStyle w:val="Prrafodelista"/>
        <w:numPr>
          <w:ilvl w:val="0"/>
          <w:numId w:val="7"/>
        </w:numPr>
        <w:jc w:val="both"/>
        <w:rPr>
          <w:rFonts w:ascii="Verdana" w:hAnsi="Verdana"/>
          <w:bCs/>
          <w:sz w:val="22"/>
          <w:szCs w:val="22"/>
        </w:rPr>
      </w:pPr>
      <w:r>
        <w:rPr>
          <w:rFonts w:ascii="Verdana" w:hAnsi="Verdana"/>
          <w:bCs/>
          <w:sz w:val="22"/>
          <w:szCs w:val="22"/>
        </w:rPr>
        <w:t>Formulación de d</w:t>
      </w:r>
      <w:r w:rsidRPr="00701960">
        <w:rPr>
          <w:rFonts w:ascii="Verdana" w:hAnsi="Verdana"/>
          <w:bCs/>
          <w:sz w:val="22"/>
          <w:szCs w:val="22"/>
        </w:rPr>
        <w:t>ocumento de pruebas</w:t>
      </w:r>
      <w:r>
        <w:rPr>
          <w:rFonts w:ascii="Verdana" w:hAnsi="Verdana"/>
          <w:bCs/>
          <w:sz w:val="22"/>
          <w:szCs w:val="22"/>
        </w:rPr>
        <w:t xml:space="preserve"> previas a la conexión.</w:t>
      </w:r>
    </w:p>
    <w:p w14:paraId="2976EF41" w14:textId="77777777" w:rsidR="00EF6AE6" w:rsidRDefault="00EF6AE6" w:rsidP="00601C70">
      <w:pPr>
        <w:pStyle w:val="Prrafodelista"/>
        <w:ind w:left="720"/>
        <w:jc w:val="both"/>
        <w:rPr>
          <w:rFonts w:ascii="Verdana" w:hAnsi="Verdana"/>
          <w:bCs/>
          <w:sz w:val="22"/>
          <w:szCs w:val="22"/>
        </w:rPr>
      </w:pPr>
    </w:p>
    <w:p w14:paraId="09834350" w14:textId="77777777" w:rsidR="00EF6AE6" w:rsidRDefault="00701960" w:rsidP="00EF6AE6">
      <w:pPr>
        <w:pStyle w:val="Prrafodelista"/>
        <w:numPr>
          <w:ilvl w:val="0"/>
          <w:numId w:val="7"/>
        </w:numPr>
        <w:jc w:val="both"/>
        <w:rPr>
          <w:rFonts w:ascii="Verdana" w:hAnsi="Verdana"/>
          <w:bCs/>
          <w:sz w:val="22"/>
          <w:szCs w:val="22"/>
        </w:rPr>
      </w:pPr>
      <w:r>
        <w:rPr>
          <w:rFonts w:ascii="Verdana" w:hAnsi="Verdana"/>
          <w:bCs/>
          <w:sz w:val="22"/>
          <w:szCs w:val="22"/>
        </w:rPr>
        <w:t>Establecer los r</w:t>
      </w:r>
      <w:r w:rsidRPr="00701960">
        <w:rPr>
          <w:rFonts w:ascii="Verdana" w:hAnsi="Verdana"/>
          <w:bCs/>
          <w:sz w:val="22"/>
          <w:szCs w:val="22"/>
        </w:rPr>
        <w:t>equisitos de protecciones</w:t>
      </w:r>
      <w:r>
        <w:rPr>
          <w:rFonts w:ascii="Verdana" w:hAnsi="Verdana"/>
          <w:bCs/>
          <w:sz w:val="22"/>
          <w:szCs w:val="22"/>
        </w:rPr>
        <w:t xml:space="preserve"> para la conexión de la GD y AGPE.</w:t>
      </w:r>
    </w:p>
    <w:p w14:paraId="0BBA1900" w14:textId="77777777" w:rsidR="00EF6AE6" w:rsidRPr="00601C70" w:rsidRDefault="00EF6AE6" w:rsidP="00601C70">
      <w:pPr>
        <w:pStyle w:val="Prrafodelista"/>
        <w:rPr>
          <w:rFonts w:ascii="Verdana" w:hAnsi="Verdana"/>
          <w:bCs/>
          <w:sz w:val="22"/>
          <w:szCs w:val="22"/>
        </w:rPr>
      </w:pPr>
    </w:p>
    <w:p w14:paraId="6FC16410" w14:textId="04DF671C" w:rsidR="00701960" w:rsidRPr="00601C70" w:rsidRDefault="00701960">
      <w:pPr>
        <w:pStyle w:val="Prrafodelista"/>
        <w:numPr>
          <w:ilvl w:val="0"/>
          <w:numId w:val="7"/>
        </w:numPr>
        <w:jc w:val="both"/>
        <w:rPr>
          <w:rFonts w:ascii="Verdana" w:hAnsi="Verdana"/>
          <w:bCs/>
          <w:sz w:val="22"/>
          <w:szCs w:val="22"/>
        </w:rPr>
      </w:pPr>
      <w:r w:rsidRPr="00601C70">
        <w:rPr>
          <w:rFonts w:ascii="Verdana" w:hAnsi="Verdana"/>
          <w:bCs/>
          <w:sz w:val="22"/>
          <w:szCs w:val="22"/>
        </w:rPr>
        <w:t>Diseño de un formato de conexión simplificado.</w:t>
      </w:r>
    </w:p>
    <w:p w14:paraId="760C738B" w14:textId="77777777" w:rsidR="00EF6AE6" w:rsidRDefault="00EF6AE6" w:rsidP="00601C70">
      <w:pPr>
        <w:pStyle w:val="Prrafodelista"/>
        <w:ind w:left="720"/>
        <w:jc w:val="both"/>
        <w:rPr>
          <w:rFonts w:ascii="Verdana" w:hAnsi="Verdana"/>
          <w:bCs/>
          <w:sz w:val="22"/>
          <w:szCs w:val="22"/>
        </w:rPr>
      </w:pPr>
    </w:p>
    <w:p w14:paraId="3CF7262C" w14:textId="664B691D" w:rsidR="00DF4EBB" w:rsidRDefault="00701960" w:rsidP="00601C70">
      <w:pPr>
        <w:pStyle w:val="Prrafodelista"/>
        <w:numPr>
          <w:ilvl w:val="0"/>
          <w:numId w:val="7"/>
        </w:numPr>
        <w:jc w:val="both"/>
        <w:rPr>
          <w:rFonts w:ascii="Verdana" w:hAnsi="Verdana"/>
          <w:bCs/>
          <w:sz w:val="22"/>
          <w:szCs w:val="22"/>
        </w:rPr>
      </w:pPr>
      <w:r>
        <w:rPr>
          <w:rFonts w:ascii="Verdana" w:hAnsi="Verdana"/>
          <w:bCs/>
          <w:sz w:val="22"/>
          <w:szCs w:val="22"/>
        </w:rPr>
        <w:t>Diseño de un documento con el c</w:t>
      </w:r>
      <w:r w:rsidRPr="00701960">
        <w:rPr>
          <w:rFonts w:ascii="Verdana" w:hAnsi="Verdana"/>
          <w:bCs/>
          <w:sz w:val="22"/>
          <w:szCs w:val="22"/>
        </w:rPr>
        <w:t>ontenido de</w:t>
      </w:r>
      <w:r>
        <w:rPr>
          <w:rFonts w:ascii="Verdana" w:hAnsi="Verdana"/>
          <w:bCs/>
          <w:sz w:val="22"/>
          <w:szCs w:val="22"/>
        </w:rPr>
        <w:t xml:space="preserve"> </w:t>
      </w:r>
      <w:r w:rsidRPr="00701960">
        <w:rPr>
          <w:rFonts w:ascii="Verdana" w:hAnsi="Verdana"/>
          <w:bCs/>
          <w:sz w:val="22"/>
          <w:szCs w:val="22"/>
        </w:rPr>
        <w:t>l</w:t>
      </w:r>
      <w:r>
        <w:rPr>
          <w:rFonts w:ascii="Verdana" w:hAnsi="Verdana"/>
          <w:bCs/>
          <w:sz w:val="22"/>
          <w:szCs w:val="22"/>
        </w:rPr>
        <w:t>os</w:t>
      </w:r>
      <w:r w:rsidRPr="00701960">
        <w:rPr>
          <w:rFonts w:ascii="Verdana" w:hAnsi="Verdana"/>
          <w:bCs/>
          <w:sz w:val="22"/>
          <w:szCs w:val="22"/>
        </w:rPr>
        <w:t xml:space="preserve"> estudio</w:t>
      </w:r>
      <w:r>
        <w:rPr>
          <w:rFonts w:ascii="Verdana" w:hAnsi="Verdana"/>
          <w:bCs/>
          <w:sz w:val="22"/>
          <w:szCs w:val="22"/>
        </w:rPr>
        <w:t>s</w:t>
      </w:r>
      <w:r w:rsidRPr="00701960">
        <w:rPr>
          <w:rFonts w:ascii="Verdana" w:hAnsi="Verdana"/>
          <w:bCs/>
          <w:sz w:val="22"/>
          <w:szCs w:val="22"/>
        </w:rPr>
        <w:t xml:space="preserve"> de conexión simplificado</w:t>
      </w:r>
      <w:r>
        <w:rPr>
          <w:rFonts w:ascii="Verdana" w:hAnsi="Verdana"/>
          <w:bCs/>
          <w:sz w:val="22"/>
          <w:szCs w:val="22"/>
        </w:rPr>
        <w:t>s</w:t>
      </w:r>
      <w:r w:rsidR="00DE01ED">
        <w:rPr>
          <w:rFonts w:ascii="Verdana" w:hAnsi="Verdana"/>
          <w:bCs/>
          <w:sz w:val="22"/>
          <w:szCs w:val="22"/>
        </w:rPr>
        <w:t>.</w:t>
      </w:r>
      <w:r>
        <w:rPr>
          <w:rFonts w:ascii="Verdana" w:hAnsi="Verdana"/>
          <w:bCs/>
          <w:sz w:val="22"/>
          <w:szCs w:val="22"/>
        </w:rPr>
        <w:t xml:space="preserve"> </w:t>
      </w:r>
    </w:p>
    <w:p w14:paraId="70803DDF" w14:textId="297217E1" w:rsidR="00DF4EBB" w:rsidRDefault="00DF4EBB" w:rsidP="00DE01ED">
      <w:pPr>
        <w:rPr>
          <w:rFonts w:ascii="Verdana" w:hAnsi="Verdana"/>
          <w:bCs/>
          <w:sz w:val="22"/>
          <w:szCs w:val="22"/>
        </w:rPr>
      </w:pPr>
    </w:p>
    <w:p w14:paraId="190AE3BD" w14:textId="2B0D4B69" w:rsidR="00DE01ED" w:rsidRDefault="00EF02E9" w:rsidP="00DE01ED">
      <w:pPr>
        <w:pStyle w:val="Prrafodelista"/>
        <w:ind w:left="360"/>
        <w:jc w:val="both"/>
        <w:rPr>
          <w:rFonts w:ascii="Verdana" w:hAnsi="Verdana"/>
          <w:bCs/>
          <w:sz w:val="22"/>
          <w:szCs w:val="22"/>
        </w:rPr>
      </w:pPr>
      <w:r>
        <w:rPr>
          <w:rFonts w:ascii="Verdana" w:hAnsi="Verdana"/>
          <w:bCs/>
          <w:sz w:val="22"/>
          <w:szCs w:val="22"/>
        </w:rPr>
        <w:t>E</w:t>
      </w:r>
      <w:r w:rsidR="00DE01ED">
        <w:rPr>
          <w:rFonts w:ascii="Verdana" w:hAnsi="Verdana"/>
          <w:bCs/>
          <w:sz w:val="22"/>
          <w:szCs w:val="22"/>
        </w:rPr>
        <w:t xml:space="preserve">l Comité de Distribución se reunirá para la consolidación de los </w:t>
      </w:r>
      <w:r>
        <w:rPr>
          <w:rFonts w:ascii="Verdana" w:hAnsi="Verdana"/>
          <w:bCs/>
          <w:sz w:val="22"/>
          <w:szCs w:val="22"/>
        </w:rPr>
        <w:t>c</w:t>
      </w:r>
      <w:r w:rsidR="00DE01ED">
        <w:rPr>
          <w:rFonts w:ascii="Verdana" w:hAnsi="Verdana"/>
          <w:bCs/>
          <w:sz w:val="22"/>
          <w:szCs w:val="22"/>
        </w:rPr>
        <w:t xml:space="preserve">omentarios del CNO a esta resolución el 09 de febrero del año en curso. </w:t>
      </w:r>
    </w:p>
    <w:p w14:paraId="4B7465F4" w14:textId="77777777" w:rsidR="00DE01ED" w:rsidRPr="00601C70" w:rsidRDefault="00DE01ED" w:rsidP="00601C70">
      <w:pPr>
        <w:pStyle w:val="Prrafodelista"/>
        <w:ind w:left="360"/>
        <w:jc w:val="both"/>
        <w:rPr>
          <w:rFonts w:ascii="Verdana" w:hAnsi="Verdana"/>
          <w:bCs/>
          <w:sz w:val="22"/>
          <w:szCs w:val="22"/>
        </w:rPr>
      </w:pPr>
    </w:p>
    <w:p w14:paraId="249BB332" w14:textId="3A53D24F" w:rsidR="006C505E" w:rsidRDefault="000410D1" w:rsidP="00DE01ED">
      <w:pPr>
        <w:pStyle w:val="Prrafodelista"/>
        <w:numPr>
          <w:ilvl w:val="0"/>
          <w:numId w:val="4"/>
        </w:numPr>
        <w:jc w:val="both"/>
        <w:rPr>
          <w:rFonts w:ascii="Verdana" w:hAnsi="Verdana"/>
          <w:bCs/>
          <w:sz w:val="22"/>
          <w:szCs w:val="22"/>
        </w:rPr>
      </w:pPr>
      <w:r>
        <w:rPr>
          <w:rFonts w:ascii="Verdana" w:hAnsi="Verdana"/>
          <w:bCs/>
          <w:sz w:val="22"/>
          <w:szCs w:val="22"/>
        </w:rPr>
        <w:t>La UPME publicó el Plan Energético Nacional 2020-2050 “</w:t>
      </w:r>
      <w:r w:rsidRPr="00601C70">
        <w:rPr>
          <w:rFonts w:ascii="Verdana" w:hAnsi="Verdana"/>
          <w:bCs/>
          <w:i/>
          <w:iCs/>
          <w:sz w:val="22"/>
          <w:szCs w:val="22"/>
        </w:rPr>
        <w:t>La transformación energética que habilita el desarrollo sostenible</w:t>
      </w:r>
      <w:r>
        <w:rPr>
          <w:rFonts w:ascii="Verdana" w:hAnsi="Verdana"/>
          <w:bCs/>
          <w:sz w:val="22"/>
          <w:szCs w:val="22"/>
        </w:rPr>
        <w:t xml:space="preserve">”. </w:t>
      </w:r>
      <w:r w:rsidR="00601C70">
        <w:rPr>
          <w:rFonts w:ascii="Verdana" w:hAnsi="Verdana"/>
          <w:bCs/>
          <w:sz w:val="22"/>
          <w:szCs w:val="22"/>
        </w:rPr>
        <w:t>S</w:t>
      </w:r>
      <w:r>
        <w:rPr>
          <w:rFonts w:ascii="Verdana" w:hAnsi="Verdana"/>
          <w:bCs/>
          <w:sz w:val="22"/>
          <w:szCs w:val="22"/>
        </w:rPr>
        <w:t xml:space="preserve">e </w:t>
      </w:r>
      <w:r w:rsidRPr="000410D1">
        <w:rPr>
          <w:rFonts w:ascii="Verdana" w:hAnsi="Verdana"/>
          <w:bCs/>
          <w:sz w:val="22"/>
          <w:szCs w:val="22"/>
        </w:rPr>
        <w:t>defin</w:t>
      </w:r>
      <w:r>
        <w:rPr>
          <w:rFonts w:ascii="Verdana" w:hAnsi="Verdana"/>
          <w:bCs/>
          <w:sz w:val="22"/>
          <w:szCs w:val="22"/>
        </w:rPr>
        <w:t>e</w:t>
      </w:r>
      <w:r w:rsidRPr="000410D1">
        <w:rPr>
          <w:rFonts w:ascii="Verdana" w:hAnsi="Verdana"/>
          <w:bCs/>
          <w:sz w:val="22"/>
          <w:szCs w:val="22"/>
        </w:rPr>
        <w:t xml:space="preserve"> una visión de largo plazo para el sector energético colombiano</w:t>
      </w:r>
      <w:r>
        <w:rPr>
          <w:rFonts w:ascii="Verdana" w:hAnsi="Verdana"/>
          <w:bCs/>
          <w:sz w:val="22"/>
          <w:szCs w:val="22"/>
        </w:rPr>
        <w:t>,</w:t>
      </w:r>
      <w:r w:rsidRPr="000410D1">
        <w:rPr>
          <w:rFonts w:ascii="Verdana" w:hAnsi="Verdana"/>
          <w:bCs/>
          <w:sz w:val="22"/>
          <w:szCs w:val="22"/>
        </w:rPr>
        <w:t xml:space="preserve"> e identifica</w:t>
      </w:r>
      <w:r>
        <w:rPr>
          <w:rFonts w:ascii="Verdana" w:hAnsi="Verdana"/>
          <w:bCs/>
          <w:sz w:val="22"/>
          <w:szCs w:val="22"/>
        </w:rPr>
        <w:t xml:space="preserve"> </w:t>
      </w:r>
      <w:r w:rsidRPr="000410D1">
        <w:rPr>
          <w:rFonts w:ascii="Verdana" w:hAnsi="Verdana"/>
          <w:bCs/>
          <w:sz w:val="22"/>
          <w:szCs w:val="22"/>
        </w:rPr>
        <w:t>las posibles vías para alcanzarla</w:t>
      </w:r>
      <w:r>
        <w:rPr>
          <w:rFonts w:ascii="Verdana" w:hAnsi="Verdana"/>
          <w:bCs/>
          <w:sz w:val="22"/>
          <w:szCs w:val="22"/>
        </w:rPr>
        <w:t>. S</w:t>
      </w:r>
      <w:r w:rsidRPr="000410D1">
        <w:rPr>
          <w:rFonts w:ascii="Verdana" w:hAnsi="Verdana"/>
          <w:bCs/>
          <w:sz w:val="22"/>
          <w:szCs w:val="22"/>
        </w:rPr>
        <w:t xml:space="preserve">e presentan escenarios energéticos de largo plazo, a través de los que se </w:t>
      </w:r>
      <w:r>
        <w:rPr>
          <w:rFonts w:ascii="Verdana" w:hAnsi="Verdana"/>
          <w:bCs/>
          <w:sz w:val="22"/>
          <w:szCs w:val="22"/>
        </w:rPr>
        <w:t>analizan</w:t>
      </w:r>
      <w:r w:rsidRPr="000410D1">
        <w:rPr>
          <w:rFonts w:ascii="Verdana" w:hAnsi="Verdana"/>
          <w:bCs/>
          <w:sz w:val="22"/>
          <w:szCs w:val="22"/>
        </w:rPr>
        <w:t xml:space="preserve"> aspectos tecnológicos y económicos asociados a la transformación energética.</w:t>
      </w:r>
      <w:r>
        <w:rPr>
          <w:rFonts w:ascii="Verdana" w:hAnsi="Verdana"/>
          <w:bCs/>
          <w:sz w:val="22"/>
          <w:szCs w:val="22"/>
        </w:rPr>
        <w:t xml:space="preserve"> El link para consultarlo es el siguiente:</w:t>
      </w:r>
    </w:p>
    <w:p w14:paraId="3F4C0BD4" w14:textId="636E8BF2" w:rsidR="000410D1" w:rsidRDefault="000410D1" w:rsidP="000410D1">
      <w:pPr>
        <w:pStyle w:val="Prrafodelista"/>
        <w:ind w:left="360"/>
        <w:jc w:val="both"/>
        <w:rPr>
          <w:rFonts w:ascii="Verdana" w:hAnsi="Verdana"/>
          <w:bCs/>
          <w:sz w:val="22"/>
          <w:szCs w:val="22"/>
        </w:rPr>
      </w:pPr>
    </w:p>
    <w:p w14:paraId="60ADD50E" w14:textId="7FBE3226" w:rsidR="000410D1" w:rsidRPr="00601C70" w:rsidRDefault="00896374" w:rsidP="00601C70">
      <w:pPr>
        <w:pStyle w:val="Prrafodelista"/>
        <w:ind w:left="360"/>
        <w:jc w:val="both"/>
        <w:rPr>
          <w:rFonts w:ascii="Verdana" w:hAnsi="Verdana"/>
          <w:bCs/>
          <w:sz w:val="22"/>
          <w:szCs w:val="22"/>
        </w:rPr>
      </w:pPr>
      <w:hyperlink r:id="rId10" w:history="1">
        <w:r w:rsidR="000410D1" w:rsidRPr="003157D6">
          <w:rPr>
            <w:rStyle w:val="Hipervnculo"/>
            <w:rFonts w:ascii="Verdana" w:hAnsi="Verdana"/>
            <w:bCs/>
            <w:sz w:val="22"/>
            <w:szCs w:val="22"/>
          </w:rPr>
          <w:t>https://www1.upme.gov.co/Paginas/Plan-Energetico-Nacional-2050.aspx</w:t>
        </w:r>
      </w:hyperlink>
    </w:p>
    <w:p w14:paraId="31808239" w14:textId="77777777" w:rsidR="006C505E" w:rsidRDefault="006C505E" w:rsidP="006C505E">
      <w:pPr>
        <w:pStyle w:val="Prrafodelista"/>
        <w:ind w:left="360"/>
        <w:jc w:val="both"/>
        <w:rPr>
          <w:rFonts w:ascii="Verdana" w:hAnsi="Verdana"/>
          <w:bCs/>
          <w:sz w:val="22"/>
          <w:szCs w:val="22"/>
        </w:rPr>
      </w:pPr>
    </w:p>
    <w:p w14:paraId="05182908" w14:textId="27403DF9" w:rsidR="00820DF3" w:rsidRPr="005976AD" w:rsidRDefault="00BC2A2E" w:rsidP="00826338">
      <w:pPr>
        <w:pStyle w:val="Prrafodelista"/>
        <w:ind w:left="720"/>
        <w:jc w:val="both"/>
        <w:rPr>
          <w:rFonts w:ascii="Verdana" w:hAnsi="Verdana"/>
          <w:bCs/>
          <w:sz w:val="22"/>
          <w:szCs w:val="22"/>
        </w:rPr>
      </w:pPr>
      <w:r>
        <w:rPr>
          <w:rFonts w:ascii="Verdana" w:hAnsi="Verdana"/>
          <w:bCs/>
          <w:sz w:val="22"/>
          <w:szCs w:val="22"/>
        </w:rPr>
        <w:t xml:space="preserve">      </w:t>
      </w:r>
      <w:r w:rsidR="005976AD">
        <w:rPr>
          <w:rFonts w:ascii="Verdana" w:hAnsi="Verdana"/>
          <w:bCs/>
          <w:sz w:val="22"/>
          <w:szCs w:val="22"/>
        </w:rPr>
        <w:t xml:space="preserve">  </w:t>
      </w:r>
    </w:p>
    <w:sectPr w:rsidR="00820DF3" w:rsidRPr="005976AD">
      <w:headerReference w:type="default" r:id="rId11"/>
      <w:footerReference w:type="default" r:id="rId12"/>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3CB36" w14:textId="77777777" w:rsidR="00896374" w:rsidRDefault="00896374">
      <w:r>
        <w:separator/>
      </w:r>
    </w:p>
  </w:endnote>
  <w:endnote w:type="continuationSeparator" w:id="0">
    <w:p w14:paraId="27D7A361" w14:textId="77777777" w:rsidR="00896374" w:rsidRDefault="0089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cizar Sans Regular">
    <w:panose1 w:val="00000000000000000000"/>
    <w:charset w:val="00"/>
    <w:family w:val="roman"/>
    <w:notTrueType/>
    <w:pitch w:val="default"/>
  </w:font>
  <w:font w:name="Georgia">
    <w:altName w:val="﷽﷽﷽﷽﷽﷽﷽﷽"/>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76705" w14:textId="66963CAA" w:rsidR="00EC2154" w:rsidRPr="00AE4128" w:rsidRDefault="00EC2154">
    <w:pPr>
      <w:pBdr>
        <w:top w:val="nil"/>
        <w:left w:val="nil"/>
        <w:bottom w:val="nil"/>
        <w:right w:val="nil"/>
        <w:between w:val="nil"/>
      </w:pBdr>
      <w:tabs>
        <w:tab w:val="center" w:pos="4252"/>
        <w:tab w:val="right" w:pos="8504"/>
      </w:tabs>
      <w:rPr>
        <w:rFonts w:ascii="Verdana" w:eastAsia="Verdana" w:hAnsi="Verdana" w:cs="Verdana"/>
        <w:color w:val="000000"/>
        <w:sz w:val="16"/>
        <w:szCs w:val="16"/>
      </w:rPr>
    </w:pPr>
    <w:r w:rsidRPr="00AE4128">
      <w:rPr>
        <w:rFonts w:ascii="Verdana" w:eastAsia="Verdana" w:hAnsi="Verdana" w:cs="Verdana"/>
        <w:color w:val="000000"/>
        <w:sz w:val="16"/>
        <w:szCs w:val="16"/>
      </w:rPr>
      <w:t>Informe CNO 6</w:t>
    </w:r>
    <w:r>
      <w:rPr>
        <w:rFonts w:ascii="Verdana" w:eastAsia="Verdana" w:hAnsi="Verdana" w:cs="Verdana"/>
        <w:color w:val="000000"/>
        <w:sz w:val="16"/>
        <w:szCs w:val="16"/>
      </w:rPr>
      <w:t>2</w:t>
    </w:r>
    <w:r w:rsidR="00840A30">
      <w:rPr>
        <w:rFonts w:ascii="Verdana" w:eastAsia="Verdana" w:hAnsi="Verdana" w:cs="Verdana"/>
        <w:color w:val="000000"/>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9E92B" w14:textId="77777777" w:rsidR="00896374" w:rsidRDefault="00896374">
      <w:r>
        <w:separator/>
      </w:r>
    </w:p>
  </w:footnote>
  <w:footnote w:type="continuationSeparator" w:id="0">
    <w:p w14:paraId="2CD110DF" w14:textId="77777777" w:rsidR="00896374" w:rsidRDefault="00896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4407" w14:textId="77777777" w:rsidR="00EC2154" w:rsidRDefault="00EC2154">
    <w:pPr>
      <w:pBdr>
        <w:top w:val="nil"/>
        <w:left w:val="nil"/>
        <w:bottom w:val="nil"/>
        <w:right w:val="nil"/>
        <w:between w:val="nil"/>
      </w:pBdr>
      <w:tabs>
        <w:tab w:val="center" w:pos="4419"/>
        <w:tab w:val="left" w:pos="7180"/>
      </w:tabs>
      <w:rPr>
        <w:b/>
        <w:color w:val="000000"/>
        <w:sz w:val="40"/>
        <w:szCs w:val="40"/>
      </w:rPr>
    </w:pPr>
  </w:p>
  <w:p w14:paraId="35C99D28" w14:textId="77777777" w:rsidR="00EC2154" w:rsidRDefault="00EC2154">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14:anchorId="3F22EB6C" wp14:editId="39AE63E1">
          <wp:simplePos x="0" y="0"/>
          <wp:positionH relativeFrom="column">
            <wp:posOffset>2011679</wp:posOffset>
          </wp:positionH>
          <wp:positionV relativeFrom="paragraph">
            <wp:posOffset>-445134</wp:posOffset>
          </wp:positionV>
          <wp:extent cx="1827530" cy="695325"/>
          <wp:effectExtent l="0" t="0" r="0" b="0"/>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93E4F"/>
    <w:multiLevelType w:val="hybridMultilevel"/>
    <w:tmpl w:val="642413E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8D86B66"/>
    <w:multiLevelType w:val="hybridMultilevel"/>
    <w:tmpl w:val="DB362F7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300A9B"/>
    <w:multiLevelType w:val="hybridMultilevel"/>
    <w:tmpl w:val="32426C4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E56FC5"/>
    <w:multiLevelType w:val="hybridMultilevel"/>
    <w:tmpl w:val="7274402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0F93B62"/>
    <w:multiLevelType w:val="hybridMultilevel"/>
    <w:tmpl w:val="50A42B4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3A35CB4"/>
    <w:multiLevelType w:val="hybridMultilevel"/>
    <w:tmpl w:val="6830778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4441404A"/>
    <w:multiLevelType w:val="hybridMultilevel"/>
    <w:tmpl w:val="00E223BE"/>
    <w:lvl w:ilvl="0" w:tplc="28FEFC8A">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99C2C6B"/>
    <w:multiLevelType w:val="hybridMultilevel"/>
    <w:tmpl w:val="A7120B18"/>
    <w:lvl w:ilvl="0" w:tplc="04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8" w15:restartNumberingAfterBreak="0">
    <w:nsid w:val="4BED0BD5"/>
    <w:multiLevelType w:val="multilevel"/>
    <w:tmpl w:val="5516AA44"/>
    <w:lvl w:ilvl="0">
      <w:start w:val="1"/>
      <w:numFmt w:val="decimal"/>
      <w:pStyle w:val="Nivel1"/>
      <w:lvlText w:val="%1."/>
      <w:lvlJc w:val="left"/>
      <w:pPr>
        <w:ind w:left="360" w:hanging="360"/>
      </w:pPr>
      <w:rPr>
        <w:sz w:val="20"/>
        <w:szCs w:val="20"/>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E35055B"/>
    <w:multiLevelType w:val="hybridMultilevel"/>
    <w:tmpl w:val="5AE219D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F343E42"/>
    <w:multiLevelType w:val="hybridMultilevel"/>
    <w:tmpl w:val="63CC0AB8"/>
    <w:lvl w:ilvl="0" w:tplc="240A000D">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0"/>
  </w:num>
  <w:num w:numId="4">
    <w:abstractNumId w:val="4"/>
  </w:num>
  <w:num w:numId="5">
    <w:abstractNumId w:val="6"/>
  </w:num>
  <w:num w:numId="6">
    <w:abstractNumId w:val="3"/>
  </w:num>
  <w:num w:numId="7">
    <w:abstractNumId w:val="1"/>
  </w:num>
  <w:num w:numId="8">
    <w:abstractNumId w:val="9"/>
  </w:num>
  <w:num w:numId="9">
    <w:abstractNumId w:val="2"/>
  </w:num>
  <w:num w:numId="10">
    <w:abstractNumId w:val="10"/>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3"/>
    <w:rsid w:val="000015C1"/>
    <w:rsid w:val="00001D7F"/>
    <w:rsid w:val="000025BE"/>
    <w:rsid w:val="00003D40"/>
    <w:rsid w:val="00006C18"/>
    <w:rsid w:val="00007307"/>
    <w:rsid w:val="00014A98"/>
    <w:rsid w:val="00016F5E"/>
    <w:rsid w:val="00020762"/>
    <w:rsid w:val="0002100F"/>
    <w:rsid w:val="000218D9"/>
    <w:rsid w:val="0002369F"/>
    <w:rsid w:val="00024171"/>
    <w:rsid w:val="00024740"/>
    <w:rsid w:val="00034F05"/>
    <w:rsid w:val="00037547"/>
    <w:rsid w:val="000378FB"/>
    <w:rsid w:val="0004076A"/>
    <w:rsid w:val="00040CA2"/>
    <w:rsid w:val="000410D1"/>
    <w:rsid w:val="0004170E"/>
    <w:rsid w:val="00045BF2"/>
    <w:rsid w:val="00050144"/>
    <w:rsid w:val="000507CA"/>
    <w:rsid w:val="00051257"/>
    <w:rsid w:val="00051482"/>
    <w:rsid w:val="00052450"/>
    <w:rsid w:val="00072642"/>
    <w:rsid w:val="00072CB8"/>
    <w:rsid w:val="00072CFB"/>
    <w:rsid w:val="00072D7C"/>
    <w:rsid w:val="000742F8"/>
    <w:rsid w:val="00075B3F"/>
    <w:rsid w:val="00076B3C"/>
    <w:rsid w:val="00080889"/>
    <w:rsid w:val="0008210D"/>
    <w:rsid w:val="0008226B"/>
    <w:rsid w:val="00084002"/>
    <w:rsid w:val="0008742F"/>
    <w:rsid w:val="00091B7A"/>
    <w:rsid w:val="00092041"/>
    <w:rsid w:val="000932B7"/>
    <w:rsid w:val="000958F0"/>
    <w:rsid w:val="00097077"/>
    <w:rsid w:val="000970DA"/>
    <w:rsid w:val="000A2032"/>
    <w:rsid w:val="000A27B6"/>
    <w:rsid w:val="000A2B0C"/>
    <w:rsid w:val="000A2C2A"/>
    <w:rsid w:val="000A459F"/>
    <w:rsid w:val="000B039D"/>
    <w:rsid w:val="000B5ACC"/>
    <w:rsid w:val="000C0190"/>
    <w:rsid w:val="000C2ED4"/>
    <w:rsid w:val="000C35D9"/>
    <w:rsid w:val="000C5A39"/>
    <w:rsid w:val="000D0278"/>
    <w:rsid w:val="000D0FE5"/>
    <w:rsid w:val="000D12E1"/>
    <w:rsid w:val="000D2F11"/>
    <w:rsid w:val="000D5E88"/>
    <w:rsid w:val="000E24EB"/>
    <w:rsid w:val="000E64C4"/>
    <w:rsid w:val="000F099A"/>
    <w:rsid w:val="000F403F"/>
    <w:rsid w:val="000F525F"/>
    <w:rsid w:val="000F7AB8"/>
    <w:rsid w:val="000F7D73"/>
    <w:rsid w:val="00102562"/>
    <w:rsid w:val="00106E1D"/>
    <w:rsid w:val="001113E5"/>
    <w:rsid w:val="001116E9"/>
    <w:rsid w:val="0011288E"/>
    <w:rsid w:val="00112C06"/>
    <w:rsid w:val="001208BF"/>
    <w:rsid w:val="00122CB9"/>
    <w:rsid w:val="0012350D"/>
    <w:rsid w:val="00123AA8"/>
    <w:rsid w:val="00124416"/>
    <w:rsid w:val="001313A0"/>
    <w:rsid w:val="0013508F"/>
    <w:rsid w:val="001375A7"/>
    <w:rsid w:val="00137792"/>
    <w:rsid w:val="00137C47"/>
    <w:rsid w:val="0014233E"/>
    <w:rsid w:val="001427A3"/>
    <w:rsid w:val="00142CB9"/>
    <w:rsid w:val="0014580B"/>
    <w:rsid w:val="00150974"/>
    <w:rsid w:val="00157CBD"/>
    <w:rsid w:val="001637A9"/>
    <w:rsid w:val="00164CCA"/>
    <w:rsid w:val="00171D43"/>
    <w:rsid w:val="00175A38"/>
    <w:rsid w:val="00184F68"/>
    <w:rsid w:val="00184F80"/>
    <w:rsid w:val="00185CE1"/>
    <w:rsid w:val="00186181"/>
    <w:rsid w:val="0019018C"/>
    <w:rsid w:val="001939BB"/>
    <w:rsid w:val="00194C37"/>
    <w:rsid w:val="0019552B"/>
    <w:rsid w:val="001A59B0"/>
    <w:rsid w:val="001B0466"/>
    <w:rsid w:val="001B2AC6"/>
    <w:rsid w:val="001B36E2"/>
    <w:rsid w:val="001B528C"/>
    <w:rsid w:val="001B5848"/>
    <w:rsid w:val="001B655C"/>
    <w:rsid w:val="001B6888"/>
    <w:rsid w:val="001C10B9"/>
    <w:rsid w:val="001C2C40"/>
    <w:rsid w:val="001C2F67"/>
    <w:rsid w:val="001C4065"/>
    <w:rsid w:val="001C486F"/>
    <w:rsid w:val="001C4A97"/>
    <w:rsid w:val="001C50E6"/>
    <w:rsid w:val="001C7636"/>
    <w:rsid w:val="001D01B2"/>
    <w:rsid w:val="001D02E0"/>
    <w:rsid w:val="001D1DF8"/>
    <w:rsid w:val="001D21E7"/>
    <w:rsid w:val="001D3366"/>
    <w:rsid w:val="001D6412"/>
    <w:rsid w:val="001E36F0"/>
    <w:rsid w:val="001E75B0"/>
    <w:rsid w:val="001F0127"/>
    <w:rsid w:val="001F2A0A"/>
    <w:rsid w:val="001F2DDB"/>
    <w:rsid w:val="001F7F53"/>
    <w:rsid w:val="0020013A"/>
    <w:rsid w:val="00200562"/>
    <w:rsid w:val="00201D31"/>
    <w:rsid w:val="00203036"/>
    <w:rsid w:val="002049AE"/>
    <w:rsid w:val="0020536E"/>
    <w:rsid w:val="0020693D"/>
    <w:rsid w:val="0020756B"/>
    <w:rsid w:val="0021167D"/>
    <w:rsid w:val="00213180"/>
    <w:rsid w:val="002137B2"/>
    <w:rsid w:val="002157DF"/>
    <w:rsid w:val="00217887"/>
    <w:rsid w:val="002200A0"/>
    <w:rsid w:val="002200AB"/>
    <w:rsid w:val="00220CFF"/>
    <w:rsid w:val="0022132E"/>
    <w:rsid w:val="0022257E"/>
    <w:rsid w:val="00223CA5"/>
    <w:rsid w:val="00225B17"/>
    <w:rsid w:val="00225D8B"/>
    <w:rsid w:val="0023663C"/>
    <w:rsid w:val="002446A7"/>
    <w:rsid w:val="002454E8"/>
    <w:rsid w:val="00246608"/>
    <w:rsid w:val="00246A0C"/>
    <w:rsid w:val="0025017B"/>
    <w:rsid w:val="0025028F"/>
    <w:rsid w:val="0025096A"/>
    <w:rsid w:val="00251A8B"/>
    <w:rsid w:val="002537BC"/>
    <w:rsid w:val="00256FEC"/>
    <w:rsid w:val="00257C13"/>
    <w:rsid w:val="002600C9"/>
    <w:rsid w:val="00260892"/>
    <w:rsid w:val="0026220B"/>
    <w:rsid w:val="00262AAF"/>
    <w:rsid w:val="0026412D"/>
    <w:rsid w:val="002651C8"/>
    <w:rsid w:val="002655EC"/>
    <w:rsid w:val="00267C1D"/>
    <w:rsid w:val="002703C3"/>
    <w:rsid w:val="00273423"/>
    <w:rsid w:val="00275415"/>
    <w:rsid w:val="002758D8"/>
    <w:rsid w:val="00280F9A"/>
    <w:rsid w:val="00282C44"/>
    <w:rsid w:val="002906DE"/>
    <w:rsid w:val="002925D2"/>
    <w:rsid w:val="00292DBE"/>
    <w:rsid w:val="00297358"/>
    <w:rsid w:val="002A139B"/>
    <w:rsid w:val="002A3149"/>
    <w:rsid w:val="002A3FDD"/>
    <w:rsid w:val="002A4CED"/>
    <w:rsid w:val="002B0B29"/>
    <w:rsid w:val="002B4A9E"/>
    <w:rsid w:val="002B6CF3"/>
    <w:rsid w:val="002B752C"/>
    <w:rsid w:val="002C23F3"/>
    <w:rsid w:val="002C4C15"/>
    <w:rsid w:val="002C55F3"/>
    <w:rsid w:val="002C66AB"/>
    <w:rsid w:val="002D2FD6"/>
    <w:rsid w:val="002D2FEC"/>
    <w:rsid w:val="002D4C39"/>
    <w:rsid w:val="002D5B71"/>
    <w:rsid w:val="002E67EE"/>
    <w:rsid w:val="002F48AD"/>
    <w:rsid w:val="002F6519"/>
    <w:rsid w:val="00303520"/>
    <w:rsid w:val="00305BB3"/>
    <w:rsid w:val="00307A0C"/>
    <w:rsid w:val="0031268D"/>
    <w:rsid w:val="00313043"/>
    <w:rsid w:val="00314DA5"/>
    <w:rsid w:val="00314FC9"/>
    <w:rsid w:val="00315216"/>
    <w:rsid w:val="00316206"/>
    <w:rsid w:val="00316A82"/>
    <w:rsid w:val="003202B4"/>
    <w:rsid w:val="00321268"/>
    <w:rsid w:val="00321A94"/>
    <w:rsid w:val="00322A99"/>
    <w:rsid w:val="00323968"/>
    <w:rsid w:val="00326F04"/>
    <w:rsid w:val="00327EE9"/>
    <w:rsid w:val="00332075"/>
    <w:rsid w:val="00335915"/>
    <w:rsid w:val="00340C3C"/>
    <w:rsid w:val="0034716D"/>
    <w:rsid w:val="0034727B"/>
    <w:rsid w:val="00350364"/>
    <w:rsid w:val="00355717"/>
    <w:rsid w:val="003561F1"/>
    <w:rsid w:val="003611EF"/>
    <w:rsid w:val="0036314B"/>
    <w:rsid w:val="003639CF"/>
    <w:rsid w:val="00366091"/>
    <w:rsid w:val="003740A7"/>
    <w:rsid w:val="00374CCA"/>
    <w:rsid w:val="00375F83"/>
    <w:rsid w:val="00381BE0"/>
    <w:rsid w:val="00384434"/>
    <w:rsid w:val="003853A2"/>
    <w:rsid w:val="0038624D"/>
    <w:rsid w:val="00387DDA"/>
    <w:rsid w:val="0039082B"/>
    <w:rsid w:val="00394C9F"/>
    <w:rsid w:val="0039784B"/>
    <w:rsid w:val="00397EB1"/>
    <w:rsid w:val="003A0094"/>
    <w:rsid w:val="003A093D"/>
    <w:rsid w:val="003A1E1F"/>
    <w:rsid w:val="003A7EEB"/>
    <w:rsid w:val="003B499D"/>
    <w:rsid w:val="003B4ED7"/>
    <w:rsid w:val="003B759E"/>
    <w:rsid w:val="003B7E66"/>
    <w:rsid w:val="003C3859"/>
    <w:rsid w:val="003C70F6"/>
    <w:rsid w:val="003D234B"/>
    <w:rsid w:val="003D61F5"/>
    <w:rsid w:val="003D7626"/>
    <w:rsid w:val="003E0186"/>
    <w:rsid w:val="003E0243"/>
    <w:rsid w:val="003E2065"/>
    <w:rsid w:val="003E2D64"/>
    <w:rsid w:val="003E7004"/>
    <w:rsid w:val="003F28E4"/>
    <w:rsid w:val="003F5C6F"/>
    <w:rsid w:val="003F5C95"/>
    <w:rsid w:val="003F7758"/>
    <w:rsid w:val="0040158E"/>
    <w:rsid w:val="004020EB"/>
    <w:rsid w:val="00402555"/>
    <w:rsid w:val="00405022"/>
    <w:rsid w:val="0041139D"/>
    <w:rsid w:val="00412969"/>
    <w:rsid w:val="00412FC8"/>
    <w:rsid w:val="00414024"/>
    <w:rsid w:val="00414DDF"/>
    <w:rsid w:val="00415064"/>
    <w:rsid w:val="004151EB"/>
    <w:rsid w:val="004156BC"/>
    <w:rsid w:val="00416C5F"/>
    <w:rsid w:val="00421ABA"/>
    <w:rsid w:val="0043199B"/>
    <w:rsid w:val="0044159B"/>
    <w:rsid w:val="004418FE"/>
    <w:rsid w:val="00442F08"/>
    <w:rsid w:val="004475E8"/>
    <w:rsid w:val="00450862"/>
    <w:rsid w:val="00453291"/>
    <w:rsid w:val="004548C0"/>
    <w:rsid w:val="00460EAE"/>
    <w:rsid w:val="00462EA8"/>
    <w:rsid w:val="004637E1"/>
    <w:rsid w:val="004652A1"/>
    <w:rsid w:val="00466B8F"/>
    <w:rsid w:val="00466C32"/>
    <w:rsid w:val="0046776D"/>
    <w:rsid w:val="00470C3C"/>
    <w:rsid w:val="00470CA8"/>
    <w:rsid w:val="004712E3"/>
    <w:rsid w:val="00473DC0"/>
    <w:rsid w:val="0048478B"/>
    <w:rsid w:val="0048656D"/>
    <w:rsid w:val="00486CC1"/>
    <w:rsid w:val="00490068"/>
    <w:rsid w:val="0049230B"/>
    <w:rsid w:val="00493ACF"/>
    <w:rsid w:val="00495975"/>
    <w:rsid w:val="004A0280"/>
    <w:rsid w:val="004A73EE"/>
    <w:rsid w:val="004B0855"/>
    <w:rsid w:val="004B2286"/>
    <w:rsid w:val="004B2B5D"/>
    <w:rsid w:val="004B3AB5"/>
    <w:rsid w:val="004C0B9B"/>
    <w:rsid w:val="004C251A"/>
    <w:rsid w:val="004C362E"/>
    <w:rsid w:val="004C3E57"/>
    <w:rsid w:val="004C4342"/>
    <w:rsid w:val="004C6147"/>
    <w:rsid w:val="004D046F"/>
    <w:rsid w:val="004D36EE"/>
    <w:rsid w:val="004D6E62"/>
    <w:rsid w:val="004E3D43"/>
    <w:rsid w:val="004E5458"/>
    <w:rsid w:val="004F2C9B"/>
    <w:rsid w:val="004F31D7"/>
    <w:rsid w:val="004F4733"/>
    <w:rsid w:val="00500734"/>
    <w:rsid w:val="00506CC8"/>
    <w:rsid w:val="00511962"/>
    <w:rsid w:val="00512257"/>
    <w:rsid w:val="0051616B"/>
    <w:rsid w:val="00520F8F"/>
    <w:rsid w:val="00522087"/>
    <w:rsid w:val="00522E99"/>
    <w:rsid w:val="005245FA"/>
    <w:rsid w:val="00524F3C"/>
    <w:rsid w:val="00530852"/>
    <w:rsid w:val="00530A9F"/>
    <w:rsid w:val="00540587"/>
    <w:rsid w:val="00544684"/>
    <w:rsid w:val="005452DF"/>
    <w:rsid w:val="005529E6"/>
    <w:rsid w:val="0055398A"/>
    <w:rsid w:val="00555CD5"/>
    <w:rsid w:val="00555D67"/>
    <w:rsid w:val="00556094"/>
    <w:rsid w:val="00561CF0"/>
    <w:rsid w:val="00563358"/>
    <w:rsid w:val="0056565F"/>
    <w:rsid w:val="005662C5"/>
    <w:rsid w:val="00566CD8"/>
    <w:rsid w:val="005675E9"/>
    <w:rsid w:val="0057254E"/>
    <w:rsid w:val="00572EFD"/>
    <w:rsid w:val="005742F0"/>
    <w:rsid w:val="005771B0"/>
    <w:rsid w:val="00580C49"/>
    <w:rsid w:val="005814CA"/>
    <w:rsid w:val="005817B8"/>
    <w:rsid w:val="0058226B"/>
    <w:rsid w:val="00583D82"/>
    <w:rsid w:val="00587626"/>
    <w:rsid w:val="00592780"/>
    <w:rsid w:val="00595B59"/>
    <w:rsid w:val="005976AD"/>
    <w:rsid w:val="005B3CAD"/>
    <w:rsid w:val="005B53E6"/>
    <w:rsid w:val="005B7807"/>
    <w:rsid w:val="005C379E"/>
    <w:rsid w:val="005C75B2"/>
    <w:rsid w:val="005D0B2D"/>
    <w:rsid w:val="005D2E4A"/>
    <w:rsid w:val="005D37C7"/>
    <w:rsid w:val="005D48D3"/>
    <w:rsid w:val="005D6282"/>
    <w:rsid w:val="005D687A"/>
    <w:rsid w:val="005D73FD"/>
    <w:rsid w:val="005D7C4C"/>
    <w:rsid w:val="005E1CE1"/>
    <w:rsid w:val="005E3522"/>
    <w:rsid w:val="005E3BC6"/>
    <w:rsid w:val="005E5BED"/>
    <w:rsid w:val="005E70DF"/>
    <w:rsid w:val="005E7B46"/>
    <w:rsid w:val="005F359D"/>
    <w:rsid w:val="005F56D1"/>
    <w:rsid w:val="00600502"/>
    <w:rsid w:val="0060078E"/>
    <w:rsid w:val="00601157"/>
    <w:rsid w:val="00601AF6"/>
    <w:rsid w:val="00601C70"/>
    <w:rsid w:val="00605D71"/>
    <w:rsid w:val="00607A6C"/>
    <w:rsid w:val="00611156"/>
    <w:rsid w:val="00611338"/>
    <w:rsid w:val="00612225"/>
    <w:rsid w:val="00614F89"/>
    <w:rsid w:val="006152C2"/>
    <w:rsid w:val="00626891"/>
    <w:rsid w:val="006308DA"/>
    <w:rsid w:val="00631932"/>
    <w:rsid w:val="0064007B"/>
    <w:rsid w:val="00643788"/>
    <w:rsid w:val="00647489"/>
    <w:rsid w:val="00650D27"/>
    <w:rsid w:val="00660087"/>
    <w:rsid w:val="006644DF"/>
    <w:rsid w:val="00664BF7"/>
    <w:rsid w:val="00665C00"/>
    <w:rsid w:val="00671A32"/>
    <w:rsid w:val="0067256F"/>
    <w:rsid w:val="0067477E"/>
    <w:rsid w:val="0067485E"/>
    <w:rsid w:val="0067737C"/>
    <w:rsid w:val="00680231"/>
    <w:rsid w:val="006810C0"/>
    <w:rsid w:val="00683179"/>
    <w:rsid w:val="006834DB"/>
    <w:rsid w:val="006915E5"/>
    <w:rsid w:val="006936DC"/>
    <w:rsid w:val="006957C6"/>
    <w:rsid w:val="00697E7A"/>
    <w:rsid w:val="006A41B8"/>
    <w:rsid w:val="006A69FE"/>
    <w:rsid w:val="006B20B8"/>
    <w:rsid w:val="006B3684"/>
    <w:rsid w:val="006B36C7"/>
    <w:rsid w:val="006B4F86"/>
    <w:rsid w:val="006B580F"/>
    <w:rsid w:val="006B6E22"/>
    <w:rsid w:val="006C0492"/>
    <w:rsid w:val="006C10C3"/>
    <w:rsid w:val="006C505E"/>
    <w:rsid w:val="006D363D"/>
    <w:rsid w:val="006D3835"/>
    <w:rsid w:val="006D554C"/>
    <w:rsid w:val="006D63B8"/>
    <w:rsid w:val="006D6954"/>
    <w:rsid w:val="006D7F4F"/>
    <w:rsid w:val="006E2A9D"/>
    <w:rsid w:val="006E56A5"/>
    <w:rsid w:val="006F0F5E"/>
    <w:rsid w:val="006F4547"/>
    <w:rsid w:val="006F461C"/>
    <w:rsid w:val="00701960"/>
    <w:rsid w:val="00701B04"/>
    <w:rsid w:val="00702C1E"/>
    <w:rsid w:val="00711503"/>
    <w:rsid w:val="007150B1"/>
    <w:rsid w:val="007152A7"/>
    <w:rsid w:val="0071532A"/>
    <w:rsid w:val="0071693F"/>
    <w:rsid w:val="00716AC9"/>
    <w:rsid w:val="00720EA5"/>
    <w:rsid w:val="007235DD"/>
    <w:rsid w:val="00723CA5"/>
    <w:rsid w:val="00723FDC"/>
    <w:rsid w:val="00724A47"/>
    <w:rsid w:val="00726CB9"/>
    <w:rsid w:val="00727C2C"/>
    <w:rsid w:val="007342DB"/>
    <w:rsid w:val="0073501C"/>
    <w:rsid w:val="00735928"/>
    <w:rsid w:val="00737211"/>
    <w:rsid w:val="007439BF"/>
    <w:rsid w:val="00751956"/>
    <w:rsid w:val="007550AA"/>
    <w:rsid w:val="00765481"/>
    <w:rsid w:val="00765EF4"/>
    <w:rsid w:val="00767508"/>
    <w:rsid w:val="0078188C"/>
    <w:rsid w:val="0078212B"/>
    <w:rsid w:val="00782CC8"/>
    <w:rsid w:val="00783292"/>
    <w:rsid w:val="0078364C"/>
    <w:rsid w:val="007849E0"/>
    <w:rsid w:val="0078530C"/>
    <w:rsid w:val="007854B7"/>
    <w:rsid w:val="007864B2"/>
    <w:rsid w:val="007908A2"/>
    <w:rsid w:val="00790902"/>
    <w:rsid w:val="00790928"/>
    <w:rsid w:val="00795BD1"/>
    <w:rsid w:val="007A0ABB"/>
    <w:rsid w:val="007A0C35"/>
    <w:rsid w:val="007A1A0B"/>
    <w:rsid w:val="007A36DD"/>
    <w:rsid w:val="007A40B0"/>
    <w:rsid w:val="007A77AF"/>
    <w:rsid w:val="007A78F9"/>
    <w:rsid w:val="007B21B9"/>
    <w:rsid w:val="007B6024"/>
    <w:rsid w:val="007B6C13"/>
    <w:rsid w:val="007B763B"/>
    <w:rsid w:val="007C279E"/>
    <w:rsid w:val="007C2C4B"/>
    <w:rsid w:val="007C4EA0"/>
    <w:rsid w:val="007C5635"/>
    <w:rsid w:val="007C6E0F"/>
    <w:rsid w:val="007D0A41"/>
    <w:rsid w:val="007D10FD"/>
    <w:rsid w:val="007D7F79"/>
    <w:rsid w:val="007E2A25"/>
    <w:rsid w:val="007F2F35"/>
    <w:rsid w:val="007F56F2"/>
    <w:rsid w:val="007F605E"/>
    <w:rsid w:val="007F640A"/>
    <w:rsid w:val="007F65BB"/>
    <w:rsid w:val="007F76E8"/>
    <w:rsid w:val="0080295F"/>
    <w:rsid w:val="0081003D"/>
    <w:rsid w:val="00811C44"/>
    <w:rsid w:val="00811D95"/>
    <w:rsid w:val="00811F60"/>
    <w:rsid w:val="00813D73"/>
    <w:rsid w:val="00816E8F"/>
    <w:rsid w:val="008175FB"/>
    <w:rsid w:val="00817794"/>
    <w:rsid w:val="00820C6F"/>
    <w:rsid w:val="00820DF3"/>
    <w:rsid w:val="00822410"/>
    <w:rsid w:val="00824BA4"/>
    <w:rsid w:val="00825382"/>
    <w:rsid w:val="00826338"/>
    <w:rsid w:val="0082756F"/>
    <w:rsid w:val="00831F43"/>
    <w:rsid w:val="00840A30"/>
    <w:rsid w:val="00844DDC"/>
    <w:rsid w:val="00845A0E"/>
    <w:rsid w:val="008536DA"/>
    <w:rsid w:val="00853B5D"/>
    <w:rsid w:val="008546B0"/>
    <w:rsid w:val="00856A47"/>
    <w:rsid w:val="00863B90"/>
    <w:rsid w:val="00865EB8"/>
    <w:rsid w:val="0086798E"/>
    <w:rsid w:val="00867A24"/>
    <w:rsid w:val="008708BF"/>
    <w:rsid w:val="008714D9"/>
    <w:rsid w:val="00871BBE"/>
    <w:rsid w:val="00875D71"/>
    <w:rsid w:val="0087660E"/>
    <w:rsid w:val="008812A7"/>
    <w:rsid w:val="008845CA"/>
    <w:rsid w:val="00886CFD"/>
    <w:rsid w:val="008916B0"/>
    <w:rsid w:val="00893D9F"/>
    <w:rsid w:val="00896374"/>
    <w:rsid w:val="00896F24"/>
    <w:rsid w:val="00897BA0"/>
    <w:rsid w:val="008A2C42"/>
    <w:rsid w:val="008B2C35"/>
    <w:rsid w:val="008B4949"/>
    <w:rsid w:val="008C128A"/>
    <w:rsid w:val="008C2BE0"/>
    <w:rsid w:val="008C3C1E"/>
    <w:rsid w:val="008C6D48"/>
    <w:rsid w:val="008C7333"/>
    <w:rsid w:val="008D20B5"/>
    <w:rsid w:val="008D5386"/>
    <w:rsid w:val="008D6CC0"/>
    <w:rsid w:val="008D7568"/>
    <w:rsid w:val="008D7F77"/>
    <w:rsid w:val="008E1151"/>
    <w:rsid w:val="008E1DB6"/>
    <w:rsid w:val="008E27C2"/>
    <w:rsid w:val="008E30DE"/>
    <w:rsid w:val="008F3C55"/>
    <w:rsid w:val="009013E1"/>
    <w:rsid w:val="00901D8F"/>
    <w:rsid w:val="00901E60"/>
    <w:rsid w:val="00902E85"/>
    <w:rsid w:val="00906EBD"/>
    <w:rsid w:val="0091073A"/>
    <w:rsid w:val="00911F7E"/>
    <w:rsid w:val="0091312F"/>
    <w:rsid w:val="009132CB"/>
    <w:rsid w:val="009132D1"/>
    <w:rsid w:val="00913D2C"/>
    <w:rsid w:val="00914416"/>
    <w:rsid w:val="009242BD"/>
    <w:rsid w:val="00926162"/>
    <w:rsid w:val="009317EF"/>
    <w:rsid w:val="009402C6"/>
    <w:rsid w:val="009500FB"/>
    <w:rsid w:val="0095439B"/>
    <w:rsid w:val="009578A6"/>
    <w:rsid w:val="00962848"/>
    <w:rsid w:val="00963173"/>
    <w:rsid w:val="00964F40"/>
    <w:rsid w:val="00970B2B"/>
    <w:rsid w:val="00970E60"/>
    <w:rsid w:val="00971629"/>
    <w:rsid w:val="0097427B"/>
    <w:rsid w:val="00981638"/>
    <w:rsid w:val="00987BF5"/>
    <w:rsid w:val="00990D98"/>
    <w:rsid w:val="00990F21"/>
    <w:rsid w:val="009916DC"/>
    <w:rsid w:val="00992A3B"/>
    <w:rsid w:val="00992B6C"/>
    <w:rsid w:val="00992FA4"/>
    <w:rsid w:val="00993CF4"/>
    <w:rsid w:val="00994D73"/>
    <w:rsid w:val="0099745F"/>
    <w:rsid w:val="00997659"/>
    <w:rsid w:val="00997849"/>
    <w:rsid w:val="009A1F17"/>
    <w:rsid w:val="009A438D"/>
    <w:rsid w:val="009A55CA"/>
    <w:rsid w:val="009A5E50"/>
    <w:rsid w:val="009B0A4F"/>
    <w:rsid w:val="009B1AB3"/>
    <w:rsid w:val="009B29ED"/>
    <w:rsid w:val="009B4294"/>
    <w:rsid w:val="009C1758"/>
    <w:rsid w:val="009C1EA8"/>
    <w:rsid w:val="009C5275"/>
    <w:rsid w:val="009D2922"/>
    <w:rsid w:val="009D3CA9"/>
    <w:rsid w:val="009D4ADE"/>
    <w:rsid w:val="009D70B4"/>
    <w:rsid w:val="009E0104"/>
    <w:rsid w:val="009E46A8"/>
    <w:rsid w:val="009E4F3E"/>
    <w:rsid w:val="009E5476"/>
    <w:rsid w:val="009E75F4"/>
    <w:rsid w:val="009E7C40"/>
    <w:rsid w:val="009F0674"/>
    <w:rsid w:val="009F1A46"/>
    <w:rsid w:val="009F262D"/>
    <w:rsid w:val="009F387E"/>
    <w:rsid w:val="009F3EF9"/>
    <w:rsid w:val="009F59CE"/>
    <w:rsid w:val="009F6B24"/>
    <w:rsid w:val="009F79B5"/>
    <w:rsid w:val="00A01E36"/>
    <w:rsid w:val="00A0325F"/>
    <w:rsid w:val="00A0447D"/>
    <w:rsid w:val="00A05392"/>
    <w:rsid w:val="00A10382"/>
    <w:rsid w:val="00A13D43"/>
    <w:rsid w:val="00A2427B"/>
    <w:rsid w:val="00A31313"/>
    <w:rsid w:val="00A3345D"/>
    <w:rsid w:val="00A3794F"/>
    <w:rsid w:val="00A41729"/>
    <w:rsid w:val="00A42AF2"/>
    <w:rsid w:val="00A440CD"/>
    <w:rsid w:val="00A4446A"/>
    <w:rsid w:val="00A45578"/>
    <w:rsid w:val="00A50FDC"/>
    <w:rsid w:val="00A53249"/>
    <w:rsid w:val="00A546EF"/>
    <w:rsid w:val="00A56285"/>
    <w:rsid w:val="00A642A5"/>
    <w:rsid w:val="00A667E7"/>
    <w:rsid w:val="00A6722F"/>
    <w:rsid w:val="00A67727"/>
    <w:rsid w:val="00A703D5"/>
    <w:rsid w:val="00A7258B"/>
    <w:rsid w:val="00A748CA"/>
    <w:rsid w:val="00A750AE"/>
    <w:rsid w:val="00A75BAF"/>
    <w:rsid w:val="00A81646"/>
    <w:rsid w:val="00A822D1"/>
    <w:rsid w:val="00A87384"/>
    <w:rsid w:val="00A91586"/>
    <w:rsid w:val="00A93C39"/>
    <w:rsid w:val="00A957D8"/>
    <w:rsid w:val="00A97D64"/>
    <w:rsid w:val="00AA0123"/>
    <w:rsid w:val="00AA6539"/>
    <w:rsid w:val="00AB4B88"/>
    <w:rsid w:val="00AC0053"/>
    <w:rsid w:val="00AC01D9"/>
    <w:rsid w:val="00AC29A3"/>
    <w:rsid w:val="00AD0D28"/>
    <w:rsid w:val="00AD1255"/>
    <w:rsid w:val="00AD41B2"/>
    <w:rsid w:val="00AD5EA7"/>
    <w:rsid w:val="00AE01B5"/>
    <w:rsid w:val="00AE2AAD"/>
    <w:rsid w:val="00AE4128"/>
    <w:rsid w:val="00AE535E"/>
    <w:rsid w:val="00AE56DF"/>
    <w:rsid w:val="00AF1041"/>
    <w:rsid w:val="00B013CA"/>
    <w:rsid w:val="00B0226C"/>
    <w:rsid w:val="00B11334"/>
    <w:rsid w:val="00B1281A"/>
    <w:rsid w:val="00B12E49"/>
    <w:rsid w:val="00B1646E"/>
    <w:rsid w:val="00B22CCE"/>
    <w:rsid w:val="00B2419B"/>
    <w:rsid w:val="00B261B6"/>
    <w:rsid w:val="00B26918"/>
    <w:rsid w:val="00B27312"/>
    <w:rsid w:val="00B27F5F"/>
    <w:rsid w:val="00B32EC0"/>
    <w:rsid w:val="00B33ECC"/>
    <w:rsid w:val="00B34C09"/>
    <w:rsid w:val="00B34C7C"/>
    <w:rsid w:val="00B3655A"/>
    <w:rsid w:val="00B36B33"/>
    <w:rsid w:val="00B40AC1"/>
    <w:rsid w:val="00B41BFA"/>
    <w:rsid w:val="00B4299D"/>
    <w:rsid w:val="00B43D35"/>
    <w:rsid w:val="00B45738"/>
    <w:rsid w:val="00B45C59"/>
    <w:rsid w:val="00B53590"/>
    <w:rsid w:val="00B5406F"/>
    <w:rsid w:val="00B5622F"/>
    <w:rsid w:val="00B56FFD"/>
    <w:rsid w:val="00B57A69"/>
    <w:rsid w:val="00B60D79"/>
    <w:rsid w:val="00B624E7"/>
    <w:rsid w:val="00B63B7B"/>
    <w:rsid w:val="00B67423"/>
    <w:rsid w:val="00B76793"/>
    <w:rsid w:val="00B77070"/>
    <w:rsid w:val="00B8337B"/>
    <w:rsid w:val="00B854F1"/>
    <w:rsid w:val="00B85D28"/>
    <w:rsid w:val="00B9267A"/>
    <w:rsid w:val="00BA4AC6"/>
    <w:rsid w:val="00BA5E98"/>
    <w:rsid w:val="00BB037D"/>
    <w:rsid w:val="00BB23ED"/>
    <w:rsid w:val="00BB4A11"/>
    <w:rsid w:val="00BB4D96"/>
    <w:rsid w:val="00BB6C68"/>
    <w:rsid w:val="00BC0C10"/>
    <w:rsid w:val="00BC22BB"/>
    <w:rsid w:val="00BC2A2E"/>
    <w:rsid w:val="00BC4864"/>
    <w:rsid w:val="00BD3534"/>
    <w:rsid w:val="00BD3DBF"/>
    <w:rsid w:val="00BD4D90"/>
    <w:rsid w:val="00BD6169"/>
    <w:rsid w:val="00BD6618"/>
    <w:rsid w:val="00BE099A"/>
    <w:rsid w:val="00BE166F"/>
    <w:rsid w:val="00BE2058"/>
    <w:rsid w:val="00BE259A"/>
    <w:rsid w:val="00BE37CB"/>
    <w:rsid w:val="00BF09DE"/>
    <w:rsid w:val="00BF5D2D"/>
    <w:rsid w:val="00BF69B5"/>
    <w:rsid w:val="00C01534"/>
    <w:rsid w:val="00C040FE"/>
    <w:rsid w:val="00C1089D"/>
    <w:rsid w:val="00C10998"/>
    <w:rsid w:val="00C10F48"/>
    <w:rsid w:val="00C11B6A"/>
    <w:rsid w:val="00C126FB"/>
    <w:rsid w:val="00C13469"/>
    <w:rsid w:val="00C20B33"/>
    <w:rsid w:val="00C214DC"/>
    <w:rsid w:val="00C215AD"/>
    <w:rsid w:val="00C24954"/>
    <w:rsid w:val="00C24BAF"/>
    <w:rsid w:val="00C24C6E"/>
    <w:rsid w:val="00C307B4"/>
    <w:rsid w:val="00C32D46"/>
    <w:rsid w:val="00C33F0D"/>
    <w:rsid w:val="00C33FB4"/>
    <w:rsid w:val="00C34C27"/>
    <w:rsid w:val="00C35356"/>
    <w:rsid w:val="00C3645A"/>
    <w:rsid w:val="00C3695A"/>
    <w:rsid w:val="00C369FA"/>
    <w:rsid w:val="00C36BCB"/>
    <w:rsid w:val="00C4146F"/>
    <w:rsid w:val="00C41CE0"/>
    <w:rsid w:val="00C43EDE"/>
    <w:rsid w:val="00C4496B"/>
    <w:rsid w:val="00C5159A"/>
    <w:rsid w:val="00C5293B"/>
    <w:rsid w:val="00C53AF0"/>
    <w:rsid w:val="00C546F2"/>
    <w:rsid w:val="00C5692A"/>
    <w:rsid w:val="00C62691"/>
    <w:rsid w:val="00C62F34"/>
    <w:rsid w:val="00C63E5E"/>
    <w:rsid w:val="00C65253"/>
    <w:rsid w:val="00C65CDD"/>
    <w:rsid w:val="00C660E7"/>
    <w:rsid w:val="00C66FAA"/>
    <w:rsid w:val="00C70489"/>
    <w:rsid w:val="00C70B05"/>
    <w:rsid w:val="00C71C46"/>
    <w:rsid w:val="00C7421B"/>
    <w:rsid w:val="00C74C51"/>
    <w:rsid w:val="00C75715"/>
    <w:rsid w:val="00C76ED8"/>
    <w:rsid w:val="00C7754D"/>
    <w:rsid w:val="00C81BC0"/>
    <w:rsid w:val="00C84388"/>
    <w:rsid w:val="00C859E5"/>
    <w:rsid w:val="00C85C7F"/>
    <w:rsid w:val="00C8625B"/>
    <w:rsid w:val="00C867E4"/>
    <w:rsid w:val="00C87335"/>
    <w:rsid w:val="00C877C4"/>
    <w:rsid w:val="00C95C68"/>
    <w:rsid w:val="00CA12CA"/>
    <w:rsid w:val="00CA3DFD"/>
    <w:rsid w:val="00CA4193"/>
    <w:rsid w:val="00CB2E8D"/>
    <w:rsid w:val="00CB3A0E"/>
    <w:rsid w:val="00CB444E"/>
    <w:rsid w:val="00CB657A"/>
    <w:rsid w:val="00CC0CD3"/>
    <w:rsid w:val="00CC3F1B"/>
    <w:rsid w:val="00CC44B6"/>
    <w:rsid w:val="00CC4529"/>
    <w:rsid w:val="00CC4AE3"/>
    <w:rsid w:val="00CC6CEF"/>
    <w:rsid w:val="00CD1779"/>
    <w:rsid w:val="00CD5069"/>
    <w:rsid w:val="00CE011E"/>
    <w:rsid w:val="00CE5D7C"/>
    <w:rsid w:val="00CE6393"/>
    <w:rsid w:val="00CF4E03"/>
    <w:rsid w:val="00CF6FB0"/>
    <w:rsid w:val="00CF7680"/>
    <w:rsid w:val="00D0320F"/>
    <w:rsid w:val="00D0429B"/>
    <w:rsid w:val="00D05BA1"/>
    <w:rsid w:val="00D10E8A"/>
    <w:rsid w:val="00D13566"/>
    <w:rsid w:val="00D15C4E"/>
    <w:rsid w:val="00D2247A"/>
    <w:rsid w:val="00D2720F"/>
    <w:rsid w:val="00D304B7"/>
    <w:rsid w:val="00D3052A"/>
    <w:rsid w:val="00D326A3"/>
    <w:rsid w:val="00D3302F"/>
    <w:rsid w:val="00D356FB"/>
    <w:rsid w:val="00D363ED"/>
    <w:rsid w:val="00D37117"/>
    <w:rsid w:val="00D37EBB"/>
    <w:rsid w:val="00D42012"/>
    <w:rsid w:val="00D42D32"/>
    <w:rsid w:val="00D432F1"/>
    <w:rsid w:val="00D435B7"/>
    <w:rsid w:val="00D43AC2"/>
    <w:rsid w:val="00D43B4D"/>
    <w:rsid w:val="00D43F30"/>
    <w:rsid w:val="00D472EA"/>
    <w:rsid w:val="00D51231"/>
    <w:rsid w:val="00D55223"/>
    <w:rsid w:val="00D576EF"/>
    <w:rsid w:val="00D64834"/>
    <w:rsid w:val="00D7163E"/>
    <w:rsid w:val="00D72C94"/>
    <w:rsid w:val="00D74E79"/>
    <w:rsid w:val="00D77A7F"/>
    <w:rsid w:val="00D83A2A"/>
    <w:rsid w:val="00D83B78"/>
    <w:rsid w:val="00D86AB0"/>
    <w:rsid w:val="00D87FE1"/>
    <w:rsid w:val="00D90F04"/>
    <w:rsid w:val="00D928DB"/>
    <w:rsid w:val="00D9298D"/>
    <w:rsid w:val="00D92F07"/>
    <w:rsid w:val="00DA291A"/>
    <w:rsid w:val="00DA5868"/>
    <w:rsid w:val="00DA6429"/>
    <w:rsid w:val="00DB61FF"/>
    <w:rsid w:val="00DC2411"/>
    <w:rsid w:val="00DC3E69"/>
    <w:rsid w:val="00DC5BBE"/>
    <w:rsid w:val="00DC5EFA"/>
    <w:rsid w:val="00DD1303"/>
    <w:rsid w:val="00DD1D85"/>
    <w:rsid w:val="00DD4466"/>
    <w:rsid w:val="00DD5CDD"/>
    <w:rsid w:val="00DD6527"/>
    <w:rsid w:val="00DE01ED"/>
    <w:rsid w:val="00DE318A"/>
    <w:rsid w:val="00DE4252"/>
    <w:rsid w:val="00DE7720"/>
    <w:rsid w:val="00DF14B9"/>
    <w:rsid w:val="00DF4EBB"/>
    <w:rsid w:val="00DF5B06"/>
    <w:rsid w:val="00E01102"/>
    <w:rsid w:val="00E02E66"/>
    <w:rsid w:val="00E03594"/>
    <w:rsid w:val="00E03C0B"/>
    <w:rsid w:val="00E07F30"/>
    <w:rsid w:val="00E1273E"/>
    <w:rsid w:val="00E133A3"/>
    <w:rsid w:val="00E15DE5"/>
    <w:rsid w:val="00E16BE6"/>
    <w:rsid w:val="00E17F87"/>
    <w:rsid w:val="00E2022B"/>
    <w:rsid w:val="00E226AA"/>
    <w:rsid w:val="00E232DB"/>
    <w:rsid w:val="00E25C44"/>
    <w:rsid w:val="00E358A5"/>
    <w:rsid w:val="00E4097C"/>
    <w:rsid w:val="00E41C44"/>
    <w:rsid w:val="00E434A4"/>
    <w:rsid w:val="00E438A2"/>
    <w:rsid w:val="00E451B5"/>
    <w:rsid w:val="00E45F2E"/>
    <w:rsid w:val="00E50AD6"/>
    <w:rsid w:val="00E51673"/>
    <w:rsid w:val="00E521E5"/>
    <w:rsid w:val="00E55983"/>
    <w:rsid w:val="00E56EF7"/>
    <w:rsid w:val="00E57880"/>
    <w:rsid w:val="00E61EA8"/>
    <w:rsid w:val="00E63AE8"/>
    <w:rsid w:val="00E63D23"/>
    <w:rsid w:val="00E63D9E"/>
    <w:rsid w:val="00E64237"/>
    <w:rsid w:val="00E6425E"/>
    <w:rsid w:val="00E660A7"/>
    <w:rsid w:val="00E66F02"/>
    <w:rsid w:val="00E704EC"/>
    <w:rsid w:val="00E713B7"/>
    <w:rsid w:val="00E71A35"/>
    <w:rsid w:val="00E76C9F"/>
    <w:rsid w:val="00E77BDF"/>
    <w:rsid w:val="00E801AF"/>
    <w:rsid w:val="00E81EE7"/>
    <w:rsid w:val="00E83EFB"/>
    <w:rsid w:val="00E85331"/>
    <w:rsid w:val="00E861CF"/>
    <w:rsid w:val="00E872C5"/>
    <w:rsid w:val="00E9127D"/>
    <w:rsid w:val="00E9224A"/>
    <w:rsid w:val="00E935ED"/>
    <w:rsid w:val="00E9387C"/>
    <w:rsid w:val="00E94436"/>
    <w:rsid w:val="00E9547F"/>
    <w:rsid w:val="00E95B64"/>
    <w:rsid w:val="00EA02F6"/>
    <w:rsid w:val="00EA128F"/>
    <w:rsid w:val="00EA40E9"/>
    <w:rsid w:val="00EA41A5"/>
    <w:rsid w:val="00EA43F0"/>
    <w:rsid w:val="00EA64A8"/>
    <w:rsid w:val="00EB3502"/>
    <w:rsid w:val="00EB5468"/>
    <w:rsid w:val="00EB7AD7"/>
    <w:rsid w:val="00EC2154"/>
    <w:rsid w:val="00EC4BFD"/>
    <w:rsid w:val="00EC6CE5"/>
    <w:rsid w:val="00ED0285"/>
    <w:rsid w:val="00ED124F"/>
    <w:rsid w:val="00ED6850"/>
    <w:rsid w:val="00ED7267"/>
    <w:rsid w:val="00ED7D07"/>
    <w:rsid w:val="00EE27F8"/>
    <w:rsid w:val="00EE47C2"/>
    <w:rsid w:val="00EE6BAE"/>
    <w:rsid w:val="00EE7E9E"/>
    <w:rsid w:val="00EF02E9"/>
    <w:rsid w:val="00EF045E"/>
    <w:rsid w:val="00EF0B32"/>
    <w:rsid w:val="00EF492C"/>
    <w:rsid w:val="00EF6524"/>
    <w:rsid w:val="00EF6634"/>
    <w:rsid w:val="00EF6AE6"/>
    <w:rsid w:val="00EF79D3"/>
    <w:rsid w:val="00F029D8"/>
    <w:rsid w:val="00F05A28"/>
    <w:rsid w:val="00F07318"/>
    <w:rsid w:val="00F108A3"/>
    <w:rsid w:val="00F14544"/>
    <w:rsid w:val="00F14958"/>
    <w:rsid w:val="00F15031"/>
    <w:rsid w:val="00F159F6"/>
    <w:rsid w:val="00F16AB1"/>
    <w:rsid w:val="00F16F34"/>
    <w:rsid w:val="00F1722A"/>
    <w:rsid w:val="00F23F6A"/>
    <w:rsid w:val="00F242C0"/>
    <w:rsid w:val="00F27452"/>
    <w:rsid w:val="00F314D1"/>
    <w:rsid w:val="00F33F97"/>
    <w:rsid w:val="00F3476A"/>
    <w:rsid w:val="00F41BAD"/>
    <w:rsid w:val="00F52177"/>
    <w:rsid w:val="00F52872"/>
    <w:rsid w:val="00F54A62"/>
    <w:rsid w:val="00F56E6C"/>
    <w:rsid w:val="00F56F81"/>
    <w:rsid w:val="00F57913"/>
    <w:rsid w:val="00F62B4B"/>
    <w:rsid w:val="00F653A0"/>
    <w:rsid w:val="00F7163D"/>
    <w:rsid w:val="00F717BE"/>
    <w:rsid w:val="00F73999"/>
    <w:rsid w:val="00F80108"/>
    <w:rsid w:val="00F80879"/>
    <w:rsid w:val="00F822B2"/>
    <w:rsid w:val="00F84B33"/>
    <w:rsid w:val="00F86575"/>
    <w:rsid w:val="00F92CCE"/>
    <w:rsid w:val="00F93213"/>
    <w:rsid w:val="00F935AA"/>
    <w:rsid w:val="00F9563C"/>
    <w:rsid w:val="00F96332"/>
    <w:rsid w:val="00F973E5"/>
    <w:rsid w:val="00FA3EC6"/>
    <w:rsid w:val="00FB19C8"/>
    <w:rsid w:val="00FB33B0"/>
    <w:rsid w:val="00FB7D38"/>
    <w:rsid w:val="00FC2616"/>
    <w:rsid w:val="00FC6278"/>
    <w:rsid w:val="00FC7030"/>
    <w:rsid w:val="00FC7B6E"/>
    <w:rsid w:val="00FD0748"/>
    <w:rsid w:val="00FD0765"/>
    <w:rsid w:val="00FE055F"/>
    <w:rsid w:val="00FE3017"/>
    <w:rsid w:val="00FF2108"/>
    <w:rsid w:val="00FF29AB"/>
    <w:rsid w:val="00FF6C89"/>
    <w:rsid w:val="00FF6F84"/>
    <w:rsid w:val="00FF7C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020EA"/>
  <w15:docId w15:val="{70BD8642-0026-4B9D-9A78-3FAAC19D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5E5"/>
    <w:rPr>
      <w:lang w:eastAsia="es-ES_tradnl"/>
    </w:rPr>
  </w:style>
  <w:style w:type="paragraph" w:styleId="Ttulo1">
    <w:name w:val="heading 1"/>
    <w:aliases w:val="ARTICULO 1º,Negrita"/>
    <w:basedOn w:val="Normal"/>
    <w:next w:val="Normal"/>
    <w:uiPriority w:val="9"/>
    <w:qFormat/>
    <w:rsid w:val="002628DB"/>
    <w:pPr>
      <w:keepNext/>
      <w:jc w:val="both"/>
      <w:outlineLvl w:val="0"/>
    </w:pPr>
    <w:rPr>
      <w:szCs w:val="20"/>
      <w:lang w:val="es-MX" w:eastAsia="es-ES"/>
    </w:rPr>
  </w:style>
  <w:style w:type="paragraph" w:styleId="Ttulo2">
    <w:name w:val="heading 2"/>
    <w:basedOn w:val="Normal"/>
    <w:next w:val="Normal"/>
    <w:link w:val="Ttulo2Car"/>
    <w:uiPriority w:val="9"/>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lang w:eastAsia="es-ES"/>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lang w:eastAsia="es-ES"/>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lang w:eastAsia="es-ES"/>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lang w:eastAsia="es-ES"/>
    </w:rPr>
  </w:style>
  <w:style w:type="paragraph" w:customStyle="1" w:styleId="Nivel4">
    <w:name w:val="Nivel4"/>
    <w:basedOn w:val="Normal"/>
    <w:rsid w:val="002628DB"/>
    <w:pPr>
      <w:numPr>
        <w:ilvl w:val="3"/>
        <w:numId w:val="1"/>
      </w:numPr>
      <w:spacing w:before="120" w:after="120"/>
      <w:jc w:val="both"/>
    </w:pPr>
    <w:rPr>
      <w:rFonts w:ascii="Arial" w:hAnsi="Arial"/>
      <w:szCs w:val="20"/>
      <w:lang w:eastAsia="es-ES"/>
    </w:rPr>
  </w:style>
  <w:style w:type="paragraph" w:customStyle="1" w:styleId="Nivel5">
    <w:name w:val="Nivel5"/>
    <w:basedOn w:val="Normal"/>
    <w:rsid w:val="002628DB"/>
    <w:pPr>
      <w:numPr>
        <w:ilvl w:val="4"/>
        <w:numId w:val="1"/>
      </w:numPr>
      <w:spacing w:before="120" w:after="120"/>
      <w:jc w:val="both"/>
    </w:pPr>
    <w:rPr>
      <w:rFonts w:ascii="Arial" w:hAnsi="Arial"/>
      <w:szCs w:val="20"/>
      <w:lang w:eastAsia="es-ES"/>
    </w:rPr>
  </w:style>
  <w:style w:type="paragraph" w:styleId="Encabezado">
    <w:name w:val="header"/>
    <w:basedOn w:val="Normal"/>
    <w:link w:val="EncabezadoCar"/>
    <w:uiPriority w:val="99"/>
    <w:rsid w:val="002628DB"/>
    <w:pPr>
      <w:tabs>
        <w:tab w:val="center" w:pos="4252"/>
        <w:tab w:val="right" w:pos="8504"/>
      </w:tabs>
    </w:pPr>
    <w:rPr>
      <w:lang w:eastAsia="es-ES"/>
    </w:rPr>
  </w:style>
  <w:style w:type="paragraph" w:styleId="Piedepgina">
    <w:name w:val="footer"/>
    <w:basedOn w:val="Normal"/>
    <w:link w:val="PiedepginaCar"/>
    <w:uiPriority w:val="99"/>
    <w:rsid w:val="002628DB"/>
    <w:pPr>
      <w:tabs>
        <w:tab w:val="center" w:pos="4252"/>
        <w:tab w:val="right" w:pos="8504"/>
      </w:tabs>
    </w:pPr>
    <w:rPr>
      <w:lang w:eastAsia="es-ES"/>
    </w:r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eastAsia="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eastAsia="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lang w:eastAsia="es-ES"/>
    </w:rPr>
  </w:style>
  <w:style w:type="paragraph" w:customStyle="1" w:styleId="Textoindependiente21">
    <w:name w:val="Texto independiente 21"/>
    <w:basedOn w:val="Normal"/>
    <w:rsid w:val="00BB455C"/>
    <w:pPr>
      <w:spacing w:line="360" w:lineRule="auto"/>
      <w:jc w:val="both"/>
    </w:pPr>
    <w:rPr>
      <w:rFonts w:ascii="Arial" w:hAnsi="Arial"/>
      <w:szCs w:val="20"/>
      <w:lang w:eastAsia="es-ES"/>
    </w:rPr>
  </w:style>
  <w:style w:type="paragraph" w:styleId="NormalWeb">
    <w:name w:val="Normal (Web)"/>
    <w:basedOn w:val="Normal"/>
    <w:uiPriority w:val="99"/>
    <w:rsid w:val="00E65BE5"/>
    <w:pPr>
      <w:spacing w:before="100" w:beforeAutospacing="1" w:after="100" w:afterAutospacing="1"/>
    </w:pPr>
    <w:rPr>
      <w:lang w:val="es-ES" w:eastAsia="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lang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eastAsia="es-ES"/>
    </w:rPr>
  </w:style>
  <w:style w:type="paragraph" w:styleId="Sinespaciado">
    <w:name w:val="No Spacing"/>
    <w:uiPriority w:val="1"/>
    <w:qFormat/>
    <w:rsid w:val="00C9169E"/>
    <w:rPr>
      <w:rFonts w:asciiTheme="minorHAnsi" w:eastAsiaTheme="minorHAnsi" w:hAnsiTheme="minorHAnsi" w:cstheme="minorBidi"/>
      <w:szCs w:val="22"/>
      <w:lang w:val="en-US" w:eastAsia="en-US"/>
    </w:rPr>
  </w:style>
  <w:style w:type="character" w:customStyle="1" w:styleId="Ttulo2Car">
    <w:name w:val="Título 2 Car"/>
    <w:basedOn w:val="Fuentedeprrafopredeter"/>
    <w:link w:val="Ttulo2"/>
    <w:uiPriority w:val="9"/>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eastAsia="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lang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eastAsia="es-ES"/>
    </w:rPr>
  </w:style>
  <w:style w:type="character" w:styleId="Mencinsinresolver">
    <w:name w:val="Unresolved Mention"/>
    <w:basedOn w:val="Fuentedeprrafopredeter"/>
    <w:uiPriority w:val="99"/>
    <w:semiHidden/>
    <w:unhideWhenUsed/>
    <w:rsid w:val="003B759E"/>
    <w:rPr>
      <w:color w:val="605E5C"/>
      <w:shd w:val="clear" w:color="auto" w:fill="E1DFDD"/>
    </w:rPr>
  </w:style>
  <w:style w:type="character" w:customStyle="1" w:styleId="date-display-single">
    <w:name w:val="date-display-single"/>
    <w:basedOn w:val="Fuentedeprrafopredeter"/>
    <w:rsid w:val="00273423"/>
  </w:style>
  <w:style w:type="character" w:styleId="Hipervnculovisitado">
    <w:name w:val="FollowedHyperlink"/>
    <w:basedOn w:val="Fuentedeprrafopredeter"/>
    <w:uiPriority w:val="99"/>
    <w:semiHidden/>
    <w:unhideWhenUsed/>
    <w:rsid w:val="00E50AD6"/>
    <w:rPr>
      <w:color w:val="800080" w:themeColor="followedHyperlink"/>
      <w:u w:val="single"/>
    </w:rPr>
  </w:style>
  <w:style w:type="character" w:styleId="Textoennegrita">
    <w:name w:val="Strong"/>
    <w:basedOn w:val="Fuentedeprrafopredeter"/>
    <w:uiPriority w:val="22"/>
    <w:qFormat/>
    <w:rsid w:val="00186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3509">
      <w:bodyDiv w:val="1"/>
      <w:marLeft w:val="0"/>
      <w:marRight w:val="0"/>
      <w:marTop w:val="0"/>
      <w:marBottom w:val="0"/>
      <w:divBdr>
        <w:top w:val="none" w:sz="0" w:space="0" w:color="auto"/>
        <w:left w:val="none" w:sz="0" w:space="0" w:color="auto"/>
        <w:bottom w:val="none" w:sz="0" w:space="0" w:color="auto"/>
        <w:right w:val="none" w:sz="0" w:space="0" w:color="auto"/>
      </w:divBdr>
      <w:divsChild>
        <w:div w:id="773748176">
          <w:marLeft w:val="0"/>
          <w:marRight w:val="0"/>
          <w:marTop w:val="0"/>
          <w:marBottom w:val="225"/>
          <w:divBdr>
            <w:top w:val="none" w:sz="0" w:space="0" w:color="auto"/>
            <w:left w:val="none" w:sz="0" w:space="0" w:color="auto"/>
            <w:bottom w:val="none" w:sz="0" w:space="0" w:color="auto"/>
            <w:right w:val="none" w:sz="0" w:space="0" w:color="auto"/>
          </w:divBdr>
          <w:divsChild>
            <w:div w:id="237138436">
              <w:marLeft w:val="0"/>
              <w:marRight w:val="0"/>
              <w:marTop w:val="0"/>
              <w:marBottom w:val="0"/>
              <w:divBdr>
                <w:top w:val="none" w:sz="0" w:space="0" w:color="auto"/>
                <w:left w:val="none" w:sz="0" w:space="0" w:color="auto"/>
                <w:bottom w:val="none" w:sz="0" w:space="0" w:color="auto"/>
                <w:right w:val="none" w:sz="0" w:space="0" w:color="auto"/>
              </w:divBdr>
              <w:divsChild>
                <w:div w:id="2065639252">
                  <w:marLeft w:val="0"/>
                  <w:marRight w:val="0"/>
                  <w:marTop w:val="0"/>
                  <w:marBottom w:val="0"/>
                  <w:divBdr>
                    <w:top w:val="none" w:sz="0" w:space="0" w:color="auto"/>
                    <w:left w:val="none" w:sz="0" w:space="0" w:color="auto"/>
                    <w:bottom w:val="none" w:sz="0" w:space="0" w:color="auto"/>
                    <w:right w:val="none" w:sz="0" w:space="0" w:color="auto"/>
                  </w:divBdr>
                  <w:divsChild>
                    <w:div w:id="1108547165">
                      <w:marLeft w:val="0"/>
                      <w:marRight w:val="0"/>
                      <w:marTop w:val="0"/>
                      <w:marBottom w:val="150"/>
                      <w:divBdr>
                        <w:top w:val="none" w:sz="0" w:space="0" w:color="auto"/>
                        <w:left w:val="none" w:sz="0" w:space="0" w:color="auto"/>
                        <w:bottom w:val="none" w:sz="0" w:space="0" w:color="auto"/>
                        <w:right w:val="none" w:sz="0" w:space="0" w:color="auto"/>
                      </w:divBdr>
                    </w:div>
                    <w:div w:id="91822068">
                      <w:marLeft w:val="0"/>
                      <w:marRight w:val="0"/>
                      <w:marTop w:val="0"/>
                      <w:marBottom w:val="75"/>
                      <w:divBdr>
                        <w:top w:val="none" w:sz="0" w:space="0" w:color="auto"/>
                        <w:left w:val="none" w:sz="0" w:space="0" w:color="auto"/>
                        <w:bottom w:val="none" w:sz="0" w:space="0" w:color="auto"/>
                        <w:right w:val="none" w:sz="0" w:space="0" w:color="auto"/>
                      </w:divBdr>
                    </w:div>
                    <w:div w:id="1883857028">
                      <w:marLeft w:val="0"/>
                      <w:marRight w:val="0"/>
                      <w:marTop w:val="0"/>
                      <w:marBottom w:val="150"/>
                      <w:divBdr>
                        <w:top w:val="none" w:sz="0" w:space="0" w:color="auto"/>
                        <w:left w:val="none" w:sz="0" w:space="0" w:color="auto"/>
                        <w:bottom w:val="none" w:sz="0" w:space="0" w:color="auto"/>
                        <w:right w:val="none" w:sz="0" w:space="0" w:color="auto"/>
                      </w:divBdr>
                    </w:div>
                    <w:div w:id="9791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8691">
          <w:marLeft w:val="0"/>
          <w:marRight w:val="0"/>
          <w:marTop w:val="0"/>
          <w:marBottom w:val="0"/>
          <w:divBdr>
            <w:top w:val="none" w:sz="0" w:space="0" w:color="auto"/>
            <w:left w:val="none" w:sz="0" w:space="0" w:color="auto"/>
            <w:bottom w:val="none" w:sz="0" w:space="0" w:color="auto"/>
            <w:right w:val="none" w:sz="0" w:space="0" w:color="auto"/>
          </w:divBdr>
          <w:divsChild>
            <w:div w:id="60367967">
              <w:marLeft w:val="0"/>
              <w:marRight w:val="0"/>
              <w:marTop w:val="0"/>
              <w:marBottom w:val="150"/>
              <w:divBdr>
                <w:top w:val="none" w:sz="0" w:space="0" w:color="auto"/>
                <w:left w:val="none" w:sz="0" w:space="0" w:color="auto"/>
                <w:bottom w:val="none" w:sz="0" w:space="0" w:color="auto"/>
                <w:right w:val="none" w:sz="0" w:space="0" w:color="auto"/>
              </w:divBdr>
            </w:div>
            <w:div w:id="693314250">
              <w:marLeft w:val="0"/>
              <w:marRight w:val="0"/>
              <w:marTop w:val="0"/>
              <w:marBottom w:val="75"/>
              <w:divBdr>
                <w:top w:val="none" w:sz="0" w:space="0" w:color="auto"/>
                <w:left w:val="none" w:sz="0" w:space="0" w:color="auto"/>
                <w:bottom w:val="none" w:sz="0" w:space="0" w:color="auto"/>
                <w:right w:val="none" w:sz="0" w:space="0" w:color="auto"/>
              </w:divBdr>
            </w:div>
            <w:div w:id="419762201">
              <w:marLeft w:val="0"/>
              <w:marRight w:val="0"/>
              <w:marTop w:val="0"/>
              <w:marBottom w:val="150"/>
              <w:divBdr>
                <w:top w:val="none" w:sz="0" w:space="0" w:color="auto"/>
                <w:left w:val="none" w:sz="0" w:space="0" w:color="auto"/>
                <w:bottom w:val="none" w:sz="0" w:space="0" w:color="auto"/>
                <w:right w:val="none" w:sz="0" w:space="0" w:color="auto"/>
              </w:divBdr>
            </w:div>
            <w:div w:id="234434736">
              <w:marLeft w:val="0"/>
              <w:marRight w:val="0"/>
              <w:marTop w:val="0"/>
              <w:marBottom w:val="0"/>
              <w:divBdr>
                <w:top w:val="none" w:sz="0" w:space="0" w:color="auto"/>
                <w:left w:val="none" w:sz="0" w:space="0" w:color="auto"/>
                <w:bottom w:val="none" w:sz="0" w:space="0" w:color="auto"/>
                <w:right w:val="none" w:sz="0" w:space="0" w:color="auto"/>
              </w:divBdr>
            </w:div>
          </w:divsChild>
        </w:div>
        <w:div w:id="1265764636">
          <w:marLeft w:val="0"/>
          <w:marRight w:val="0"/>
          <w:marTop w:val="0"/>
          <w:marBottom w:val="225"/>
          <w:divBdr>
            <w:top w:val="none" w:sz="0" w:space="0" w:color="auto"/>
            <w:left w:val="none" w:sz="0" w:space="0" w:color="auto"/>
            <w:bottom w:val="none" w:sz="0" w:space="0" w:color="auto"/>
            <w:right w:val="none" w:sz="0" w:space="0" w:color="auto"/>
          </w:divBdr>
          <w:divsChild>
            <w:div w:id="1612738937">
              <w:marLeft w:val="0"/>
              <w:marRight w:val="0"/>
              <w:marTop w:val="0"/>
              <w:marBottom w:val="0"/>
              <w:divBdr>
                <w:top w:val="none" w:sz="0" w:space="0" w:color="auto"/>
                <w:left w:val="none" w:sz="0" w:space="0" w:color="auto"/>
                <w:bottom w:val="none" w:sz="0" w:space="0" w:color="auto"/>
                <w:right w:val="none" w:sz="0" w:space="0" w:color="auto"/>
              </w:divBdr>
              <w:divsChild>
                <w:div w:id="1441411631">
                  <w:marLeft w:val="0"/>
                  <w:marRight w:val="0"/>
                  <w:marTop w:val="0"/>
                  <w:marBottom w:val="0"/>
                  <w:divBdr>
                    <w:top w:val="none" w:sz="0" w:space="0" w:color="auto"/>
                    <w:left w:val="none" w:sz="0" w:space="0" w:color="auto"/>
                    <w:bottom w:val="none" w:sz="0" w:space="0" w:color="auto"/>
                    <w:right w:val="none" w:sz="0" w:space="0" w:color="auto"/>
                  </w:divBdr>
                  <w:divsChild>
                    <w:div w:id="1996257912">
                      <w:marLeft w:val="0"/>
                      <w:marRight w:val="0"/>
                      <w:marTop w:val="0"/>
                      <w:marBottom w:val="150"/>
                      <w:divBdr>
                        <w:top w:val="none" w:sz="0" w:space="0" w:color="auto"/>
                        <w:left w:val="none" w:sz="0" w:space="0" w:color="auto"/>
                        <w:bottom w:val="none" w:sz="0" w:space="0" w:color="auto"/>
                        <w:right w:val="none" w:sz="0" w:space="0" w:color="auto"/>
                      </w:divBdr>
                    </w:div>
                    <w:div w:id="9396041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56778371">
      <w:bodyDiv w:val="1"/>
      <w:marLeft w:val="0"/>
      <w:marRight w:val="0"/>
      <w:marTop w:val="0"/>
      <w:marBottom w:val="0"/>
      <w:divBdr>
        <w:top w:val="none" w:sz="0" w:space="0" w:color="auto"/>
        <w:left w:val="none" w:sz="0" w:space="0" w:color="auto"/>
        <w:bottom w:val="none" w:sz="0" w:space="0" w:color="auto"/>
        <w:right w:val="none" w:sz="0" w:space="0" w:color="auto"/>
      </w:divBdr>
    </w:div>
    <w:div w:id="433792752">
      <w:bodyDiv w:val="1"/>
      <w:marLeft w:val="0"/>
      <w:marRight w:val="0"/>
      <w:marTop w:val="0"/>
      <w:marBottom w:val="0"/>
      <w:divBdr>
        <w:top w:val="none" w:sz="0" w:space="0" w:color="auto"/>
        <w:left w:val="none" w:sz="0" w:space="0" w:color="auto"/>
        <w:bottom w:val="none" w:sz="0" w:space="0" w:color="auto"/>
        <w:right w:val="none" w:sz="0" w:space="0" w:color="auto"/>
      </w:divBdr>
    </w:div>
    <w:div w:id="463623888">
      <w:bodyDiv w:val="1"/>
      <w:marLeft w:val="0"/>
      <w:marRight w:val="0"/>
      <w:marTop w:val="0"/>
      <w:marBottom w:val="0"/>
      <w:divBdr>
        <w:top w:val="none" w:sz="0" w:space="0" w:color="auto"/>
        <w:left w:val="none" w:sz="0" w:space="0" w:color="auto"/>
        <w:bottom w:val="none" w:sz="0" w:space="0" w:color="auto"/>
        <w:right w:val="none" w:sz="0" w:space="0" w:color="auto"/>
      </w:divBdr>
    </w:div>
    <w:div w:id="470562882">
      <w:bodyDiv w:val="1"/>
      <w:marLeft w:val="0"/>
      <w:marRight w:val="0"/>
      <w:marTop w:val="0"/>
      <w:marBottom w:val="0"/>
      <w:divBdr>
        <w:top w:val="none" w:sz="0" w:space="0" w:color="auto"/>
        <w:left w:val="none" w:sz="0" w:space="0" w:color="auto"/>
        <w:bottom w:val="none" w:sz="0" w:space="0" w:color="auto"/>
        <w:right w:val="none" w:sz="0" w:space="0" w:color="auto"/>
      </w:divBdr>
    </w:div>
    <w:div w:id="511574261">
      <w:bodyDiv w:val="1"/>
      <w:marLeft w:val="0"/>
      <w:marRight w:val="0"/>
      <w:marTop w:val="0"/>
      <w:marBottom w:val="0"/>
      <w:divBdr>
        <w:top w:val="none" w:sz="0" w:space="0" w:color="auto"/>
        <w:left w:val="none" w:sz="0" w:space="0" w:color="auto"/>
        <w:bottom w:val="none" w:sz="0" w:space="0" w:color="auto"/>
        <w:right w:val="none" w:sz="0" w:space="0" w:color="auto"/>
      </w:divBdr>
    </w:div>
    <w:div w:id="584463271">
      <w:bodyDiv w:val="1"/>
      <w:marLeft w:val="0"/>
      <w:marRight w:val="0"/>
      <w:marTop w:val="0"/>
      <w:marBottom w:val="0"/>
      <w:divBdr>
        <w:top w:val="none" w:sz="0" w:space="0" w:color="auto"/>
        <w:left w:val="none" w:sz="0" w:space="0" w:color="auto"/>
        <w:bottom w:val="none" w:sz="0" w:space="0" w:color="auto"/>
        <w:right w:val="none" w:sz="0" w:space="0" w:color="auto"/>
      </w:divBdr>
    </w:div>
    <w:div w:id="604964098">
      <w:bodyDiv w:val="1"/>
      <w:marLeft w:val="0"/>
      <w:marRight w:val="0"/>
      <w:marTop w:val="0"/>
      <w:marBottom w:val="0"/>
      <w:divBdr>
        <w:top w:val="none" w:sz="0" w:space="0" w:color="auto"/>
        <w:left w:val="none" w:sz="0" w:space="0" w:color="auto"/>
        <w:bottom w:val="none" w:sz="0" w:space="0" w:color="auto"/>
        <w:right w:val="none" w:sz="0" w:space="0" w:color="auto"/>
      </w:divBdr>
    </w:div>
    <w:div w:id="642348620">
      <w:bodyDiv w:val="1"/>
      <w:marLeft w:val="0"/>
      <w:marRight w:val="0"/>
      <w:marTop w:val="0"/>
      <w:marBottom w:val="0"/>
      <w:divBdr>
        <w:top w:val="none" w:sz="0" w:space="0" w:color="auto"/>
        <w:left w:val="none" w:sz="0" w:space="0" w:color="auto"/>
        <w:bottom w:val="none" w:sz="0" w:space="0" w:color="auto"/>
        <w:right w:val="none" w:sz="0" w:space="0" w:color="auto"/>
      </w:divBdr>
    </w:div>
    <w:div w:id="771315904">
      <w:bodyDiv w:val="1"/>
      <w:marLeft w:val="0"/>
      <w:marRight w:val="0"/>
      <w:marTop w:val="0"/>
      <w:marBottom w:val="0"/>
      <w:divBdr>
        <w:top w:val="none" w:sz="0" w:space="0" w:color="auto"/>
        <w:left w:val="none" w:sz="0" w:space="0" w:color="auto"/>
        <w:bottom w:val="none" w:sz="0" w:space="0" w:color="auto"/>
        <w:right w:val="none" w:sz="0" w:space="0" w:color="auto"/>
      </w:divBdr>
      <w:divsChild>
        <w:div w:id="1947537660">
          <w:marLeft w:val="0"/>
          <w:marRight w:val="0"/>
          <w:marTop w:val="0"/>
          <w:marBottom w:val="0"/>
          <w:divBdr>
            <w:top w:val="none" w:sz="0" w:space="0" w:color="auto"/>
            <w:left w:val="none" w:sz="0" w:space="0" w:color="auto"/>
            <w:bottom w:val="none" w:sz="0" w:space="0" w:color="auto"/>
            <w:right w:val="none" w:sz="0" w:space="0" w:color="auto"/>
          </w:divBdr>
        </w:div>
      </w:divsChild>
    </w:div>
    <w:div w:id="819808103">
      <w:bodyDiv w:val="1"/>
      <w:marLeft w:val="0"/>
      <w:marRight w:val="0"/>
      <w:marTop w:val="0"/>
      <w:marBottom w:val="0"/>
      <w:divBdr>
        <w:top w:val="none" w:sz="0" w:space="0" w:color="auto"/>
        <w:left w:val="none" w:sz="0" w:space="0" w:color="auto"/>
        <w:bottom w:val="none" w:sz="0" w:space="0" w:color="auto"/>
        <w:right w:val="none" w:sz="0" w:space="0" w:color="auto"/>
      </w:divBdr>
    </w:div>
    <w:div w:id="895746221">
      <w:bodyDiv w:val="1"/>
      <w:marLeft w:val="0"/>
      <w:marRight w:val="0"/>
      <w:marTop w:val="0"/>
      <w:marBottom w:val="0"/>
      <w:divBdr>
        <w:top w:val="none" w:sz="0" w:space="0" w:color="auto"/>
        <w:left w:val="none" w:sz="0" w:space="0" w:color="auto"/>
        <w:bottom w:val="none" w:sz="0" w:space="0" w:color="auto"/>
        <w:right w:val="none" w:sz="0" w:space="0" w:color="auto"/>
      </w:divBdr>
    </w:div>
    <w:div w:id="922564902">
      <w:bodyDiv w:val="1"/>
      <w:marLeft w:val="0"/>
      <w:marRight w:val="0"/>
      <w:marTop w:val="0"/>
      <w:marBottom w:val="0"/>
      <w:divBdr>
        <w:top w:val="none" w:sz="0" w:space="0" w:color="auto"/>
        <w:left w:val="none" w:sz="0" w:space="0" w:color="auto"/>
        <w:bottom w:val="none" w:sz="0" w:space="0" w:color="auto"/>
        <w:right w:val="none" w:sz="0" w:space="0" w:color="auto"/>
      </w:divBdr>
    </w:div>
    <w:div w:id="982152788">
      <w:bodyDiv w:val="1"/>
      <w:marLeft w:val="0"/>
      <w:marRight w:val="0"/>
      <w:marTop w:val="0"/>
      <w:marBottom w:val="0"/>
      <w:divBdr>
        <w:top w:val="none" w:sz="0" w:space="0" w:color="auto"/>
        <w:left w:val="none" w:sz="0" w:space="0" w:color="auto"/>
        <w:bottom w:val="none" w:sz="0" w:space="0" w:color="auto"/>
        <w:right w:val="none" w:sz="0" w:space="0" w:color="auto"/>
      </w:divBdr>
    </w:div>
    <w:div w:id="1017150024">
      <w:bodyDiv w:val="1"/>
      <w:marLeft w:val="0"/>
      <w:marRight w:val="0"/>
      <w:marTop w:val="0"/>
      <w:marBottom w:val="0"/>
      <w:divBdr>
        <w:top w:val="none" w:sz="0" w:space="0" w:color="auto"/>
        <w:left w:val="none" w:sz="0" w:space="0" w:color="auto"/>
        <w:bottom w:val="none" w:sz="0" w:space="0" w:color="auto"/>
        <w:right w:val="none" w:sz="0" w:space="0" w:color="auto"/>
      </w:divBdr>
    </w:div>
    <w:div w:id="1057976637">
      <w:bodyDiv w:val="1"/>
      <w:marLeft w:val="0"/>
      <w:marRight w:val="0"/>
      <w:marTop w:val="0"/>
      <w:marBottom w:val="0"/>
      <w:divBdr>
        <w:top w:val="none" w:sz="0" w:space="0" w:color="auto"/>
        <w:left w:val="none" w:sz="0" w:space="0" w:color="auto"/>
        <w:bottom w:val="none" w:sz="0" w:space="0" w:color="auto"/>
        <w:right w:val="none" w:sz="0" w:space="0" w:color="auto"/>
      </w:divBdr>
      <w:divsChild>
        <w:div w:id="74784780">
          <w:marLeft w:val="0"/>
          <w:marRight w:val="0"/>
          <w:marTop w:val="0"/>
          <w:marBottom w:val="225"/>
          <w:divBdr>
            <w:top w:val="none" w:sz="0" w:space="0" w:color="auto"/>
            <w:left w:val="none" w:sz="0" w:space="0" w:color="auto"/>
            <w:bottom w:val="none" w:sz="0" w:space="0" w:color="auto"/>
            <w:right w:val="none" w:sz="0" w:space="0" w:color="auto"/>
          </w:divBdr>
          <w:divsChild>
            <w:div w:id="39257222">
              <w:marLeft w:val="0"/>
              <w:marRight w:val="0"/>
              <w:marTop w:val="0"/>
              <w:marBottom w:val="0"/>
              <w:divBdr>
                <w:top w:val="none" w:sz="0" w:space="0" w:color="auto"/>
                <w:left w:val="none" w:sz="0" w:space="0" w:color="auto"/>
                <w:bottom w:val="none" w:sz="0" w:space="0" w:color="auto"/>
                <w:right w:val="none" w:sz="0" w:space="0" w:color="auto"/>
              </w:divBdr>
              <w:divsChild>
                <w:div w:id="1068840893">
                  <w:marLeft w:val="0"/>
                  <w:marRight w:val="0"/>
                  <w:marTop w:val="0"/>
                  <w:marBottom w:val="0"/>
                  <w:divBdr>
                    <w:top w:val="none" w:sz="0" w:space="0" w:color="auto"/>
                    <w:left w:val="none" w:sz="0" w:space="0" w:color="auto"/>
                    <w:bottom w:val="none" w:sz="0" w:space="0" w:color="auto"/>
                    <w:right w:val="none" w:sz="0" w:space="0" w:color="auto"/>
                  </w:divBdr>
                  <w:divsChild>
                    <w:div w:id="2037003639">
                      <w:marLeft w:val="0"/>
                      <w:marRight w:val="0"/>
                      <w:marTop w:val="0"/>
                      <w:marBottom w:val="150"/>
                      <w:divBdr>
                        <w:top w:val="none" w:sz="0" w:space="0" w:color="auto"/>
                        <w:left w:val="none" w:sz="0" w:space="0" w:color="auto"/>
                        <w:bottom w:val="none" w:sz="0" w:space="0" w:color="auto"/>
                        <w:right w:val="none" w:sz="0" w:space="0" w:color="auto"/>
                      </w:divBdr>
                    </w:div>
                    <w:div w:id="746268900">
                      <w:marLeft w:val="0"/>
                      <w:marRight w:val="0"/>
                      <w:marTop w:val="0"/>
                      <w:marBottom w:val="75"/>
                      <w:divBdr>
                        <w:top w:val="none" w:sz="0" w:space="0" w:color="auto"/>
                        <w:left w:val="none" w:sz="0" w:space="0" w:color="auto"/>
                        <w:bottom w:val="none" w:sz="0" w:space="0" w:color="auto"/>
                        <w:right w:val="none" w:sz="0" w:space="0" w:color="auto"/>
                      </w:divBdr>
                    </w:div>
                    <w:div w:id="905725305">
                      <w:marLeft w:val="0"/>
                      <w:marRight w:val="0"/>
                      <w:marTop w:val="0"/>
                      <w:marBottom w:val="150"/>
                      <w:divBdr>
                        <w:top w:val="none" w:sz="0" w:space="0" w:color="auto"/>
                        <w:left w:val="none" w:sz="0" w:space="0" w:color="auto"/>
                        <w:bottom w:val="none" w:sz="0" w:space="0" w:color="auto"/>
                        <w:right w:val="none" w:sz="0" w:space="0" w:color="auto"/>
                      </w:divBdr>
                    </w:div>
                    <w:div w:id="13435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32656">
          <w:marLeft w:val="0"/>
          <w:marRight w:val="0"/>
          <w:marTop w:val="0"/>
          <w:marBottom w:val="0"/>
          <w:divBdr>
            <w:top w:val="none" w:sz="0" w:space="0" w:color="auto"/>
            <w:left w:val="none" w:sz="0" w:space="0" w:color="auto"/>
            <w:bottom w:val="none" w:sz="0" w:space="0" w:color="auto"/>
            <w:right w:val="none" w:sz="0" w:space="0" w:color="auto"/>
          </w:divBdr>
          <w:divsChild>
            <w:div w:id="1757550129">
              <w:marLeft w:val="0"/>
              <w:marRight w:val="0"/>
              <w:marTop w:val="0"/>
              <w:marBottom w:val="150"/>
              <w:divBdr>
                <w:top w:val="none" w:sz="0" w:space="0" w:color="auto"/>
                <w:left w:val="none" w:sz="0" w:space="0" w:color="auto"/>
                <w:bottom w:val="none" w:sz="0" w:space="0" w:color="auto"/>
                <w:right w:val="none" w:sz="0" w:space="0" w:color="auto"/>
              </w:divBdr>
            </w:div>
            <w:div w:id="2061243842">
              <w:marLeft w:val="0"/>
              <w:marRight w:val="0"/>
              <w:marTop w:val="0"/>
              <w:marBottom w:val="75"/>
              <w:divBdr>
                <w:top w:val="none" w:sz="0" w:space="0" w:color="auto"/>
                <w:left w:val="none" w:sz="0" w:space="0" w:color="auto"/>
                <w:bottom w:val="none" w:sz="0" w:space="0" w:color="auto"/>
                <w:right w:val="none" w:sz="0" w:space="0" w:color="auto"/>
              </w:divBdr>
            </w:div>
            <w:div w:id="180366072">
              <w:marLeft w:val="0"/>
              <w:marRight w:val="0"/>
              <w:marTop w:val="0"/>
              <w:marBottom w:val="150"/>
              <w:divBdr>
                <w:top w:val="none" w:sz="0" w:space="0" w:color="auto"/>
                <w:left w:val="none" w:sz="0" w:space="0" w:color="auto"/>
                <w:bottom w:val="none" w:sz="0" w:space="0" w:color="auto"/>
                <w:right w:val="none" w:sz="0" w:space="0" w:color="auto"/>
              </w:divBdr>
            </w:div>
            <w:div w:id="254243677">
              <w:marLeft w:val="0"/>
              <w:marRight w:val="0"/>
              <w:marTop w:val="0"/>
              <w:marBottom w:val="0"/>
              <w:divBdr>
                <w:top w:val="none" w:sz="0" w:space="0" w:color="auto"/>
                <w:left w:val="none" w:sz="0" w:space="0" w:color="auto"/>
                <w:bottom w:val="none" w:sz="0" w:space="0" w:color="auto"/>
                <w:right w:val="none" w:sz="0" w:space="0" w:color="auto"/>
              </w:divBdr>
            </w:div>
          </w:divsChild>
        </w:div>
        <w:div w:id="1322613690">
          <w:marLeft w:val="0"/>
          <w:marRight w:val="0"/>
          <w:marTop w:val="0"/>
          <w:marBottom w:val="225"/>
          <w:divBdr>
            <w:top w:val="none" w:sz="0" w:space="0" w:color="auto"/>
            <w:left w:val="none" w:sz="0" w:space="0" w:color="auto"/>
            <w:bottom w:val="none" w:sz="0" w:space="0" w:color="auto"/>
            <w:right w:val="none" w:sz="0" w:space="0" w:color="auto"/>
          </w:divBdr>
          <w:divsChild>
            <w:div w:id="258562546">
              <w:marLeft w:val="0"/>
              <w:marRight w:val="0"/>
              <w:marTop w:val="0"/>
              <w:marBottom w:val="0"/>
              <w:divBdr>
                <w:top w:val="none" w:sz="0" w:space="0" w:color="auto"/>
                <w:left w:val="none" w:sz="0" w:space="0" w:color="auto"/>
                <w:bottom w:val="none" w:sz="0" w:space="0" w:color="auto"/>
                <w:right w:val="none" w:sz="0" w:space="0" w:color="auto"/>
              </w:divBdr>
              <w:divsChild>
                <w:div w:id="428041476">
                  <w:marLeft w:val="0"/>
                  <w:marRight w:val="0"/>
                  <w:marTop w:val="0"/>
                  <w:marBottom w:val="0"/>
                  <w:divBdr>
                    <w:top w:val="none" w:sz="0" w:space="0" w:color="auto"/>
                    <w:left w:val="none" w:sz="0" w:space="0" w:color="auto"/>
                    <w:bottom w:val="none" w:sz="0" w:space="0" w:color="auto"/>
                    <w:right w:val="none" w:sz="0" w:space="0" w:color="auto"/>
                  </w:divBdr>
                  <w:divsChild>
                    <w:div w:id="1573000423">
                      <w:marLeft w:val="0"/>
                      <w:marRight w:val="0"/>
                      <w:marTop w:val="0"/>
                      <w:marBottom w:val="150"/>
                      <w:divBdr>
                        <w:top w:val="none" w:sz="0" w:space="0" w:color="auto"/>
                        <w:left w:val="none" w:sz="0" w:space="0" w:color="auto"/>
                        <w:bottom w:val="none" w:sz="0" w:space="0" w:color="auto"/>
                        <w:right w:val="none" w:sz="0" w:space="0" w:color="auto"/>
                      </w:divBdr>
                    </w:div>
                    <w:div w:id="558786716">
                      <w:marLeft w:val="0"/>
                      <w:marRight w:val="0"/>
                      <w:marTop w:val="0"/>
                      <w:marBottom w:val="75"/>
                      <w:divBdr>
                        <w:top w:val="none" w:sz="0" w:space="0" w:color="auto"/>
                        <w:left w:val="none" w:sz="0" w:space="0" w:color="auto"/>
                        <w:bottom w:val="none" w:sz="0" w:space="0" w:color="auto"/>
                        <w:right w:val="none" w:sz="0" w:space="0" w:color="auto"/>
                      </w:divBdr>
                    </w:div>
                    <w:div w:id="210197550">
                      <w:marLeft w:val="0"/>
                      <w:marRight w:val="0"/>
                      <w:marTop w:val="0"/>
                      <w:marBottom w:val="150"/>
                      <w:divBdr>
                        <w:top w:val="none" w:sz="0" w:space="0" w:color="auto"/>
                        <w:left w:val="none" w:sz="0" w:space="0" w:color="auto"/>
                        <w:bottom w:val="none" w:sz="0" w:space="0" w:color="auto"/>
                        <w:right w:val="none" w:sz="0" w:space="0" w:color="auto"/>
                      </w:divBdr>
                    </w:div>
                    <w:div w:id="1079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518437">
      <w:bodyDiv w:val="1"/>
      <w:marLeft w:val="0"/>
      <w:marRight w:val="0"/>
      <w:marTop w:val="0"/>
      <w:marBottom w:val="0"/>
      <w:divBdr>
        <w:top w:val="none" w:sz="0" w:space="0" w:color="auto"/>
        <w:left w:val="none" w:sz="0" w:space="0" w:color="auto"/>
        <w:bottom w:val="none" w:sz="0" w:space="0" w:color="auto"/>
        <w:right w:val="none" w:sz="0" w:space="0" w:color="auto"/>
      </w:divBdr>
    </w:div>
    <w:div w:id="1173909803">
      <w:bodyDiv w:val="1"/>
      <w:marLeft w:val="0"/>
      <w:marRight w:val="0"/>
      <w:marTop w:val="0"/>
      <w:marBottom w:val="0"/>
      <w:divBdr>
        <w:top w:val="none" w:sz="0" w:space="0" w:color="auto"/>
        <w:left w:val="none" w:sz="0" w:space="0" w:color="auto"/>
        <w:bottom w:val="none" w:sz="0" w:space="0" w:color="auto"/>
        <w:right w:val="none" w:sz="0" w:space="0" w:color="auto"/>
      </w:divBdr>
    </w:div>
    <w:div w:id="1201548948">
      <w:bodyDiv w:val="1"/>
      <w:marLeft w:val="0"/>
      <w:marRight w:val="0"/>
      <w:marTop w:val="0"/>
      <w:marBottom w:val="0"/>
      <w:divBdr>
        <w:top w:val="none" w:sz="0" w:space="0" w:color="auto"/>
        <w:left w:val="none" w:sz="0" w:space="0" w:color="auto"/>
        <w:bottom w:val="none" w:sz="0" w:space="0" w:color="auto"/>
        <w:right w:val="none" w:sz="0" w:space="0" w:color="auto"/>
      </w:divBdr>
    </w:div>
    <w:div w:id="1223176529">
      <w:bodyDiv w:val="1"/>
      <w:marLeft w:val="0"/>
      <w:marRight w:val="0"/>
      <w:marTop w:val="0"/>
      <w:marBottom w:val="0"/>
      <w:divBdr>
        <w:top w:val="none" w:sz="0" w:space="0" w:color="auto"/>
        <w:left w:val="none" w:sz="0" w:space="0" w:color="auto"/>
        <w:bottom w:val="none" w:sz="0" w:space="0" w:color="auto"/>
        <w:right w:val="none" w:sz="0" w:space="0" w:color="auto"/>
      </w:divBdr>
    </w:div>
    <w:div w:id="1327397519">
      <w:bodyDiv w:val="1"/>
      <w:marLeft w:val="0"/>
      <w:marRight w:val="0"/>
      <w:marTop w:val="0"/>
      <w:marBottom w:val="0"/>
      <w:divBdr>
        <w:top w:val="none" w:sz="0" w:space="0" w:color="auto"/>
        <w:left w:val="none" w:sz="0" w:space="0" w:color="auto"/>
        <w:bottom w:val="none" w:sz="0" w:space="0" w:color="auto"/>
        <w:right w:val="none" w:sz="0" w:space="0" w:color="auto"/>
      </w:divBdr>
    </w:div>
    <w:div w:id="1578595539">
      <w:bodyDiv w:val="1"/>
      <w:marLeft w:val="0"/>
      <w:marRight w:val="0"/>
      <w:marTop w:val="0"/>
      <w:marBottom w:val="0"/>
      <w:divBdr>
        <w:top w:val="none" w:sz="0" w:space="0" w:color="auto"/>
        <w:left w:val="none" w:sz="0" w:space="0" w:color="auto"/>
        <w:bottom w:val="none" w:sz="0" w:space="0" w:color="auto"/>
        <w:right w:val="none" w:sz="0" w:space="0" w:color="auto"/>
      </w:divBdr>
    </w:div>
    <w:div w:id="1680810236">
      <w:bodyDiv w:val="1"/>
      <w:marLeft w:val="0"/>
      <w:marRight w:val="0"/>
      <w:marTop w:val="0"/>
      <w:marBottom w:val="0"/>
      <w:divBdr>
        <w:top w:val="none" w:sz="0" w:space="0" w:color="auto"/>
        <w:left w:val="none" w:sz="0" w:space="0" w:color="auto"/>
        <w:bottom w:val="none" w:sz="0" w:space="0" w:color="auto"/>
        <w:right w:val="none" w:sz="0" w:space="0" w:color="auto"/>
      </w:divBdr>
    </w:div>
    <w:div w:id="1864443001">
      <w:bodyDiv w:val="1"/>
      <w:marLeft w:val="0"/>
      <w:marRight w:val="0"/>
      <w:marTop w:val="0"/>
      <w:marBottom w:val="0"/>
      <w:divBdr>
        <w:top w:val="none" w:sz="0" w:space="0" w:color="auto"/>
        <w:left w:val="none" w:sz="0" w:space="0" w:color="auto"/>
        <w:bottom w:val="none" w:sz="0" w:space="0" w:color="auto"/>
        <w:right w:val="none" w:sz="0" w:space="0" w:color="auto"/>
      </w:divBdr>
    </w:div>
    <w:div w:id="1941447079">
      <w:bodyDiv w:val="1"/>
      <w:marLeft w:val="0"/>
      <w:marRight w:val="0"/>
      <w:marTop w:val="0"/>
      <w:marBottom w:val="0"/>
      <w:divBdr>
        <w:top w:val="none" w:sz="0" w:space="0" w:color="auto"/>
        <w:left w:val="none" w:sz="0" w:space="0" w:color="auto"/>
        <w:bottom w:val="none" w:sz="0" w:space="0" w:color="auto"/>
        <w:right w:val="none" w:sz="0" w:space="0" w:color="auto"/>
      </w:divBdr>
    </w:div>
    <w:div w:id="1950310793">
      <w:bodyDiv w:val="1"/>
      <w:marLeft w:val="0"/>
      <w:marRight w:val="0"/>
      <w:marTop w:val="0"/>
      <w:marBottom w:val="0"/>
      <w:divBdr>
        <w:top w:val="none" w:sz="0" w:space="0" w:color="auto"/>
        <w:left w:val="none" w:sz="0" w:space="0" w:color="auto"/>
        <w:bottom w:val="none" w:sz="0" w:space="0" w:color="auto"/>
        <w:right w:val="none" w:sz="0" w:space="0" w:color="auto"/>
      </w:divBdr>
    </w:div>
    <w:div w:id="203915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yes.senado.gov.co/proyectos/index.php/textos-radicados-senado/p-ley-2020-2021/2128-proyecto-de-ley-365-de-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1.upme.gov.co/Paginas/Plan-Energetico-Nacional-2050.asp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13159-41A6-4DAB-A8A1-6D8B5488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1942</Words>
  <Characters>10687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CNO</dc:creator>
  <cp:keywords/>
  <dc:description/>
  <cp:lastModifiedBy>ALBERTO OLARTE</cp:lastModifiedBy>
  <cp:revision>2</cp:revision>
  <dcterms:created xsi:type="dcterms:W3CDTF">2021-02-04T12:50:00Z</dcterms:created>
  <dcterms:modified xsi:type="dcterms:W3CDTF">2021-02-04T12:50:00Z</dcterms:modified>
</cp:coreProperties>
</file>