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03B3DE6E"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w:t>
      </w:r>
      <w:r w:rsidR="002A3149">
        <w:rPr>
          <w:rFonts w:ascii="Verdana" w:eastAsia="Verdana" w:hAnsi="Verdana" w:cs="Verdana"/>
          <w:b/>
          <w:sz w:val="32"/>
          <w:szCs w:val="32"/>
        </w:rPr>
        <w:t>2</w:t>
      </w:r>
      <w:r w:rsidR="0057254E">
        <w:rPr>
          <w:rFonts w:ascii="Verdana" w:eastAsia="Verdana" w:hAnsi="Verdana" w:cs="Verdana"/>
          <w:b/>
          <w:sz w:val="32"/>
          <w:szCs w:val="32"/>
        </w:rPr>
        <w:t>6</w:t>
      </w:r>
    </w:p>
    <w:p w14:paraId="2938B4BE" w14:textId="77777777" w:rsidR="0078364C" w:rsidRPr="00D3052A" w:rsidRDefault="0078364C" w:rsidP="00556094">
      <w:pPr>
        <w:jc w:val="both"/>
        <w:rPr>
          <w:rFonts w:ascii="Verdana" w:eastAsia="Verdana" w:hAnsi="Verdana" w:cs="Verdana"/>
          <w:sz w:val="22"/>
          <w:szCs w:val="22"/>
        </w:rPr>
      </w:pPr>
    </w:p>
    <w:p w14:paraId="457FA286" w14:textId="3456DEF3"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57254E">
        <w:rPr>
          <w:rFonts w:ascii="Verdana" w:eastAsia="Verdana" w:hAnsi="Verdana" w:cs="Verdana"/>
          <w:sz w:val="22"/>
          <w:szCs w:val="22"/>
        </w:rPr>
        <w:t xml:space="preserve"> enero 14 de 2021</w:t>
      </w:r>
      <w:r w:rsidRPr="00D3052A">
        <w:rPr>
          <w:rFonts w:ascii="Verdana" w:eastAsia="Verdana" w:hAnsi="Verdana" w:cs="Verdana"/>
          <w:sz w:val="22"/>
          <w:szCs w:val="22"/>
        </w:rPr>
        <w:t>.</w:t>
      </w:r>
    </w:p>
    <w:p w14:paraId="40A9B7ED" w14:textId="53C72D21" w:rsidR="00303520" w:rsidRDefault="00303520" w:rsidP="00303520">
      <w:pPr>
        <w:jc w:val="both"/>
        <w:rPr>
          <w:rFonts w:ascii="Verdana" w:eastAsia="Verdana" w:hAnsi="Verdana" w:cs="Verdana"/>
          <w:sz w:val="22"/>
          <w:szCs w:val="22"/>
        </w:rPr>
      </w:pPr>
    </w:p>
    <w:p w14:paraId="1B1B2A26" w14:textId="57B70CAD" w:rsidR="009D2922" w:rsidRPr="00E801AF" w:rsidRDefault="009D2922" w:rsidP="00E801AF">
      <w:pPr>
        <w:jc w:val="both"/>
        <w:rPr>
          <w:rFonts w:ascii="Verdana" w:eastAsia="Verdana" w:hAnsi="Verdana" w:cs="Verdana"/>
          <w:b/>
          <w:bCs/>
          <w:sz w:val="22"/>
          <w:szCs w:val="22"/>
          <w:u w:val="single"/>
        </w:rPr>
      </w:pPr>
      <w:r w:rsidRPr="00E801AF">
        <w:rPr>
          <w:rFonts w:ascii="Verdana" w:eastAsia="Verdana" w:hAnsi="Verdana" w:cs="Verdana"/>
          <w:b/>
          <w:bCs/>
          <w:sz w:val="22"/>
          <w:szCs w:val="22"/>
          <w:u w:val="single"/>
        </w:rPr>
        <w:t>Aspectos Administrativos:</w:t>
      </w:r>
    </w:p>
    <w:p w14:paraId="3E5B0EE9" w14:textId="4657C4AE" w:rsidR="00B9267A" w:rsidRDefault="00B9267A" w:rsidP="006B6E22">
      <w:pPr>
        <w:pStyle w:val="Prrafodelista"/>
        <w:ind w:left="360"/>
        <w:jc w:val="both"/>
        <w:rPr>
          <w:rFonts w:ascii="Verdana" w:hAnsi="Verdana"/>
          <w:bCs/>
          <w:sz w:val="22"/>
          <w:szCs w:val="22"/>
        </w:rPr>
      </w:pPr>
    </w:p>
    <w:p w14:paraId="32A2E97A" w14:textId="4307AE16" w:rsidR="002E158A" w:rsidRDefault="002E158A" w:rsidP="002E158A">
      <w:pPr>
        <w:pStyle w:val="Prrafodelista"/>
        <w:numPr>
          <w:ilvl w:val="0"/>
          <w:numId w:val="4"/>
        </w:numPr>
        <w:jc w:val="both"/>
        <w:rPr>
          <w:rFonts w:ascii="Verdana" w:hAnsi="Verdana"/>
          <w:bCs/>
          <w:sz w:val="22"/>
          <w:szCs w:val="22"/>
        </w:rPr>
      </w:pPr>
      <w:r w:rsidRPr="00203ACD">
        <w:rPr>
          <w:rFonts w:ascii="Verdana" w:hAnsi="Verdana"/>
          <w:bCs/>
          <w:sz w:val="22"/>
          <w:szCs w:val="22"/>
        </w:rPr>
        <w:t>Se presenta el Presupuesto ejecutado de funcionamiento del Consejo para el año 2020</w:t>
      </w:r>
      <w:r>
        <w:rPr>
          <w:rFonts w:ascii="Verdana" w:hAnsi="Verdana"/>
          <w:bCs/>
          <w:sz w:val="22"/>
          <w:szCs w:val="22"/>
        </w:rPr>
        <w:t xml:space="preserve"> (cifras en millones de $)</w:t>
      </w:r>
      <w:r w:rsidRPr="00203ACD">
        <w:rPr>
          <w:rFonts w:ascii="Verdana" w:hAnsi="Verdana"/>
          <w:bCs/>
          <w:sz w:val="22"/>
          <w:szCs w:val="22"/>
        </w:rPr>
        <w:t xml:space="preserve">. </w:t>
      </w:r>
    </w:p>
    <w:p w14:paraId="2EE3BF71" w14:textId="77777777" w:rsidR="002E158A" w:rsidRDefault="002E158A" w:rsidP="002E158A">
      <w:pPr>
        <w:jc w:val="both"/>
        <w:rPr>
          <w:rFonts w:ascii="Verdana" w:hAnsi="Verdana"/>
          <w:bCs/>
          <w:sz w:val="22"/>
          <w:szCs w:val="22"/>
        </w:rPr>
      </w:pPr>
    </w:p>
    <w:p w14:paraId="72342EE2" w14:textId="77777777" w:rsidR="002E158A" w:rsidRPr="00186FF0" w:rsidRDefault="002E158A" w:rsidP="002E158A">
      <w:pPr>
        <w:ind w:left="360"/>
        <w:rPr>
          <w:rFonts w:ascii="Verdana" w:hAnsi="Verdana"/>
          <w:sz w:val="22"/>
          <w:szCs w:val="22"/>
        </w:rPr>
      </w:pPr>
      <w:r w:rsidRPr="00186FF0">
        <w:rPr>
          <w:rFonts w:ascii="Verdana" w:hAnsi="Verdana"/>
          <w:sz w:val="22"/>
          <w:szCs w:val="22"/>
        </w:rPr>
        <w:t>Saldo dic 31 2019    -------------------------- 42.6</w:t>
      </w:r>
    </w:p>
    <w:p w14:paraId="56F79653" w14:textId="77777777" w:rsidR="002E158A" w:rsidRPr="00186FF0" w:rsidRDefault="002E158A" w:rsidP="002E158A">
      <w:pPr>
        <w:ind w:left="360"/>
        <w:rPr>
          <w:rFonts w:ascii="Verdana" w:hAnsi="Verdana"/>
          <w:sz w:val="22"/>
          <w:szCs w:val="22"/>
        </w:rPr>
      </w:pPr>
      <w:r w:rsidRPr="00186FF0">
        <w:rPr>
          <w:rFonts w:ascii="Verdana" w:hAnsi="Verdana"/>
          <w:sz w:val="22"/>
          <w:szCs w:val="22"/>
        </w:rPr>
        <w:t xml:space="preserve">Ingresos 2020: ------------------------------1538.0 </w:t>
      </w:r>
    </w:p>
    <w:p w14:paraId="734EE2AA" w14:textId="77777777" w:rsidR="002E158A" w:rsidRPr="00186FF0" w:rsidRDefault="002E158A" w:rsidP="002E158A">
      <w:pPr>
        <w:ind w:left="360"/>
        <w:rPr>
          <w:rFonts w:ascii="Verdana" w:hAnsi="Verdana"/>
          <w:sz w:val="22"/>
          <w:szCs w:val="22"/>
        </w:rPr>
      </w:pPr>
      <w:r w:rsidRPr="00186FF0">
        <w:rPr>
          <w:rFonts w:ascii="Verdana" w:hAnsi="Verdana"/>
          <w:sz w:val="22"/>
          <w:szCs w:val="22"/>
        </w:rPr>
        <w:t>Gastos 2020--------------------------------- 1525.0</w:t>
      </w:r>
    </w:p>
    <w:p w14:paraId="345A7EE8" w14:textId="77777777" w:rsidR="002E158A" w:rsidRPr="00186FF0" w:rsidRDefault="002E158A" w:rsidP="002E158A">
      <w:pPr>
        <w:ind w:left="360"/>
        <w:rPr>
          <w:rFonts w:ascii="Verdana" w:hAnsi="Verdana"/>
          <w:sz w:val="22"/>
          <w:szCs w:val="22"/>
        </w:rPr>
      </w:pPr>
      <w:r w:rsidRPr="00186FF0">
        <w:rPr>
          <w:rFonts w:ascii="Verdana" w:hAnsi="Verdana"/>
          <w:sz w:val="22"/>
          <w:szCs w:val="22"/>
        </w:rPr>
        <w:t>Saldo dic 31 2020------------------------------55.6</w:t>
      </w:r>
    </w:p>
    <w:p w14:paraId="0EC35A88" w14:textId="77777777" w:rsidR="002E158A" w:rsidRPr="00186FF0" w:rsidRDefault="002E158A" w:rsidP="002E158A">
      <w:pPr>
        <w:jc w:val="both"/>
        <w:rPr>
          <w:rFonts w:ascii="Verdana" w:hAnsi="Verdana"/>
          <w:bCs/>
          <w:sz w:val="22"/>
          <w:szCs w:val="22"/>
        </w:rPr>
      </w:pPr>
    </w:p>
    <w:p w14:paraId="7774DB7C" w14:textId="77777777" w:rsidR="002E158A" w:rsidRDefault="002E158A" w:rsidP="002E158A">
      <w:pPr>
        <w:ind w:left="360"/>
        <w:jc w:val="both"/>
        <w:rPr>
          <w:rFonts w:ascii="Verdana" w:hAnsi="Verdana"/>
          <w:bCs/>
          <w:sz w:val="22"/>
          <w:szCs w:val="22"/>
        </w:rPr>
      </w:pPr>
      <w:r w:rsidRPr="00186FF0">
        <w:rPr>
          <w:rFonts w:ascii="Verdana" w:hAnsi="Verdana"/>
          <w:bCs/>
          <w:sz w:val="22"/>
          <w:szCs w:val="22"/>
        </w:rPr>
        <w:t>Con este saldo se cubre el pago restante de la consultoría con Governance Consultants:47.6 millones</w:t>
      </w:r>
      <w:r>
        <w:rPr>
          <w:rFonts w:ascii="Verdana" w:hAnsi="Verdana"/>
          <w:bCs/>
          <w:sz w:val="22"/>
          <w:szCs w:val="22"/>
        </w:rPr>
        <w:t>.</w:t>
      </w:r>
      <w:r w:rsidRPr="00186FF0">
        <w:rPr>
          <w:rFonts w:ascii="Verdana" w:hAnsi="Verdana"/>
          <w:bCs/>
          <w:sz w:val="22"/>
          <w:szCs w:val="22"/>
        </w:rPr>
        <w:t xml:space="preserve">  </w:t>
      </w:r>
    </w:p>
    <w:p w14:paraId="320E70BA" w14:textId="77777777" w:rsidR="00ED7D07" w:rsidRPr="00ED7D07" w:rsidRDefault="00ED7D07" w:rsidP="00ED7D07">
      <w:pPr>
        <w:jc w:val="both"/>
        <w:rPr>
          <w:rFonts w:ascii="Verdana" w:hAnsi="Verdana"/>
          <w:bCs/>
          <w:sz w:val="22"/>
          <w:szCs w:val="22"/>
        </w:rPr>
      </w:pPr>
    </w:p>
    <w:p w14:paraId="51E90625" w14:textId="2FAB61AB" w:rsidR="00ED7D07" w:rsidRPr="00886CFD" w:rsidRDefault="00886CFD" w:rsidP="002E158A">
      <w:pPr>
        <w:pStyle w:val="Prrafodelista"/>
        <w:numPr>
          <w:ilvl w:val="0"/>
          <w:numId w:val="4"/>
        </w:numPr>
        <w:jc w:val="both"/>
        <w:rPr>
          <w:rFonts w:ascii="Verdana" w:hAnsi="Verdana"/>
          <w:bCs/>
          <w:sz w:val="22"/>
          <w:szCs w:val="22"/>
        </w:rPr>
      </w:pPr>
      <w:r w:rsidRPr="00886CFD">
        <w:rPr>
          <w:rFonts w:ascii="Verdana" w:hAnsi="Verdana"/>
          <w:bCs/>
          <w:sz w:val="22"/>
          <w:szCs w:val="22"/>
        </w:rPr>
        <w:t>Según lo previsto en el Reglamento Interno del CNO, s</w:t>
      </w:r>
      <w:r w:rsidR="00ED7D07" w:rsidRPr="00886CFD">
        <w:rPr>
          <w:rFonts w:ascii="Verdana" w:hAnsi="Verdana"/>
          <w:bCs/>
          <w:sz w:val="22"/>
          <w:szCs w:val="22"/>
        </w:rPr>
        <w:t>e iniciará el proceso de inducción en los comités y subcomités</w:t>
      </w:r>
      <w:r w:rsidRPr="00886CFD">
        <w:rPr>
          <w:rFonts w:ascii="Verdana" w:hAnsi="Verdana"/>
          <w:bCs/>
          <w:sz w:val="22"/>
          <w:szCs w:val="22"/>
        </w:rPr>
        <w:t>, y se incluirá una actividad de autoevaluación. Los resultados de esta actividad se presentarán en la reunión del mes de febrero</w:t>
      </w:r>
      <w:r w:rsidR="00522E99">
        <w:rPr>
          <w:rFonts w:ascii="Verdana" w:hAnsi="Verdana"/>
          <w:bCs/>
          <w:sz w:val="22"/>
          <w:szCs w:val="22"/>
        </w:rPr>
        <w:t xml:space="preserve"> de 2021</w:t>
      </w:r>
      <w:r w:rsidRPr="00886CFD">
        <w:rPr>
          <w:rFonts w:ascii="Verdana" w:hAnsi="Verdana"/>
          <w:bCs/>
          <w:sz w:val="22"/>
          <w:szCs w:val="22"/>
        </w:rPr>
        <w:t>.</w:t>
      </w:r>
    </w:p>
    <w:p w14:paraId="0C847E2C" w14:textId="77777777" w:rsidR="00ED7D07" w:rsidRPr="00ED7D07" w:rsidRDefault="00ED7D07" w:rsidP="00ED7D07">
      <w:pPr>
        <w:jc w:val="both"/>
        <w:rPr>
          <w:rFonts w:ascii="Verdana" w:hAnsi="Verdana"/>
          <w:bCs/>
          <w:sz w:val="22"/>
          <w:szCs w:val="22"/>
        </w:rPr>
      </w:pPr>
    </w:p>
    <w:p w14:paraId="61211B7C" w14:textId="31DB1CBB" w:rsidR="00ED7D07" w:rsidRDefault="00ED7D07" w:rsidP="00ED7267">
      <w:pPr>
        <w:pStyle w:val="Prrafodelista"/>
        <w:numPr>
          <w:ilvl w:val="0"/>
          <w:numId w:val="4"/>
        </w:numPr>
        <w:jc w:val="both"/>
        <w:rPr>
          <w:rFonts w:ascii="Verdana" w:hAnsi="Verdana"/>
          <w:bCs/>
          <w:sz w:val="22"/>
          <w:szCs w:val="22"/>
        </w:rPr>
      </w:pPr>
      <w:r>
        <w:rPr>
          <w:rFonts w:ascii="Verdana" w:hAnsi="Verdana"/>
          <w:bCs/>
          <w:sz w:val="22"/>
          <w:szCs w:val="22"/>
        </w:rPr>
        <w:t xml:space="preserve">En la reunión ordinaria del mes de febrero se procederá </w:t>
      </w:r>
      <w:r w:rsidR="00522E99">
        <w:rPr>
          <w:rFonts w:ascii="Verdana" w:hAnsi="Verdana"/>
          <w:bCs/>
          <w:sz w:val="22"/>
          <w:szCs w:val="22"/>
        </w:rPr>
        <w:t>con la</w:t>
      </w:r>
      <w:r>
        <w:rPr>
          <w:rFonts w:ascii="Verdana" w:hAnsi="Verdana"/>
          <w:bCs/>
          <w:sz w:val="22"/>
          <w:szCs w:val="22"/>
        </w:rPr>
        <w:t xml:space="preserve"> elección de</w:t>
      </w:r>
      <w:r w:rsidR="00886CFD">
        <w:rPr>
          <w:rFonts w:ascii="Verdana" w:hAnsi="Verdana"/>
          <w:bCs/>
          <w:sz w:val="22"/>
          <w:szCs w:val="22"/>
        </w:rPr>
        <w:t>l</w:t>
      </w:r>
      <w:r>
        <w:rPr>
          <w:rFonts w:ascii="Verdana" w:hAnsi="Verdana"/>
          <w:bCs/>
          <w:sz w:val="22"/>
          <w:szCs w:val="22"/>
        </w:rPr>
        <w:t xml:space="preserve"> presidente del CNO para el </w:t>
      </w:r>
      <w:r w:rsidR="00886CFD">
        <w:rPr>
          <w:rFonts w:ascii="Verdana" w:hAnsi="Verdana"/>
          <w:bCs/>
          <w:sz w:val="22"/>
          <w:szCs w:val="22"/>
        </w:rPr>
        <w:t xml:space="preserve">año calendario </w:t>
      </w:r>
      <w:r>
        <w:rPr>
          <w:rFonts w:ascii="Verdana" w:hAnsi="Verdana"/>
          <w:bCs/>
          <w:sz w:val="22"/>
          <w:szCs w:val="22"/>
        </w:rPr>
        <w:t>2021</w:t>
      </w:r>
      <w:r w:rsidR="00886CFD">
        <w:rPr>
          <w:rFonts w:ascii="Verdana" w:hAnsi="Verdana"/>
          <w:bCs/>
          <w:sz w:val="22"/>
          <w:szCs w:val="22"/>
        </w:rPr>
        <w:t xml:space="preserve"> y los integrantes del Comité Asesor de Estrategia.</w:t>
      </w:r>
    </w:p>
    <w:p w14:paraId="02721F7F" w14:textId="7B4C649A" w:rsidR="00C660E7" w:rsidRDefault="00C660E7" w:rsidP="00C660E7">
      <w:pPr>
        <w:jc w:val="both"/>
        <w:rPr>
          <w:rFonts w:ascii="Verdana" w:hAnsi="Verdana"/>
          <w:bCs/>
          <w:sz w:val="22"/>
          <w:szCs w:val="22"/>
        </w:rPr>
      </w:pPr>
    </w:p>
    <w:p w14:paraId="3CBC5ABC" w14:textId="52886E01" w:rsidR="00C660E7" w:rsidRDefault="00522E99" w:rsidP="00C660E7">
      <w:pPr>
        <w:pStyle w:val="Prrafodelista"/>
        <w:numPr>
          <w:ilvl w:val="0"/>
          <w:numId w:val="4"/>
        </w:numPr>
        <w:jc w:val="both"/>
        <w:rPr>
          <w:rFonts w:ascii="Verdana" w:hAnsi="Verdana"/>
          <w:bCs/>
          <w:sz w:val="22"/>
          <w:szCs w:val="22"/>
        </w:rPr>
      </w:pPr>
      <w:r>
        <w:rPr>
          <w:rFonts w:ascii="Verdana" w:hAnsi="Verdana"/>
          <w:bCs/>
          <w:sz w:val="22"/>
          <w:szCs w:val="22"/>
        </w:rPr>
        <w:t>El martes 19 de enero de 2021 a las</w:t>
      </w:r>
      <w:r w:rsidR="007B21B9">
        <w:rPr>
          <w:rFonts w:ascii="Verdana" w:hAnsi="Verdana"/>
          <w:bCs/>
          <w:sz w:val="22"/>
          <w:szCs w:val="22"/>
        </w:rPr>
        <w:t xml:space="preserve"> 4 p.m.,</w:t>
      </w:r>
      <w:r w:rsidR="00C660E7">
        <w:rPr>
          <w:rFonts w:ascii="Verdana" w:hAnsi="Verdana"/>
          <w:bCs/>
          <w:sz w:val="22"/>
          <w:szCs w:val="22"/>
        </w:rPr>
        <w:t xml:space="preserve"> se programará una reunión especial del Consejo para la presentación del plan de acción y hoja de ruta del Consejo como resultado del análisis interno con Governance Consultants. </w:t>
      </w:r>
    </w:p>
    <w:p w14:paraId="6A6F36E1" w14:textId="77777777" w:rsidR="00886CFD" w:rsidRPr="002E158A" w:rsidRDefault="00886CFD" w:rsidP="002E158A">
      <w:pPr>
        <w:pStyle w:val="Prrafodelista"/>
        <w:rPr>
          <w:rFonts w:ascii="Verdana" w:hAnsi="Verdana"/>
          <w:bCs/>
          <w:sz w:val="22"/>
          <w:szCs w:val="22"/>
        </w:rPr>
      </w:pPr>
    </w:p>
    <w:p w14:paraId="6E1D05AA" w14:textId="4989C80D" w:rsidR="00886CFD" w:rsidRDefault="00886CFD" w:rsidP="00C660E7">
      <w:pPr>
        <w:pStyle w:val="Prrafodelista"/>
        <w:numPr>
          <w:ilvl w:val="0"/>
          <w:numId w:val="4"/>
        </w:numPr>
        <w:jc w:val="both"/>
        <w:rPr>
          <w:rFonts w:ascii="Verdana" w:hAnsi="Verdana"/>
          <w:bCs/>
          <w:sz w:val="22"/>
          <w:szCs w:val="22"/>
        </w:rPr>
      </w:pPr>
      <w:r>
        <w:rPr>
          <w:rFonts w:ascii="Verdana" w:hAnsi="Verdana"/>
          <w:bCs/>
          <w:sz w:val="22"/>
          <w:szCs w:val="22"/>
        </w:rPr>
        <w:t>Se publicó y envió la Circular 62 a los agentes generadores, transmisores y distribuidores</w:t>
      </w:r>
      <w:r w:rsidR="00522E99">
        <w:rPr>
          <w:rFonts w:ascii="Verdana" w:hAnsi="Verdana"/>
          <w:bCs/>
          <w:sz w:val="22"/>
          <w:szCs w:val="22"/>
        </w:rPr>
        <w:t>,</w:t>
      </w:r>
      <w:r>
        <w:rPr>
          <w:rFonts w:ascii="Verdana" w:hAnsi="Verdana"/>
          <w:bCs/>
          <w:sz w:val="22"/>
          <w:szCs w:val="22"/>
        </w:rPr>
        <w:t xml:space="preserve"> informándoles el plazo para que comuniquen al CNO su deseo de ser invitados a los Comités y Subcomités del C</w:t>
      </w:r>
      <w:r w:rsidR="00522E99">
        <w:rPr>
          <w:rFonts w:ascii="Verdana" w:hAnsi="Verdana"/>
          <w:bCs/>
          <w:sz w:val="22"/>
          <w:szCs w:val="22"/>
        </w:rPr>
        <w:t>onsejo</w:t>
      </w:r>
      <w:r>
        <w:rPr>
          <w:rFonts w:ascii="Verdana" w:hAnsi="Verdana"/>
          <w:bCs/>
          <w:sz w:val="22"/>
          <w:szCs w:val="22"/>
        </w:rPr>
        <w:t xml:space="preserve"> (</w:t>
      </w:r>
      <w:r w:rsidR="009A438D">
        <w:rPr>
          <w:rFonts w:ascii="Verdana" w:hAnsi="Verdana"/>
          <w:bCs/>
          <w:sz w:val="22"/>
          <w:szCs w:val="22"/>
        </w:rPr>
        <w:t>31/0</w:t>
      </w:r>
      <w:r w:rsidR="00F47E82">
        <w:rPr>
          <w:rFonts w:ascii="Verdana" w:hAnsi="Verdana"/>
          <w:bCs/>
          <w:sz w:val="22"/>
          <w:szCs w:val="22"/>
        </w:rPr>
        <w:t>1</w:t>
      </w:r>
      <w:r w:rsidR="009A438D">
        <w:rPr>
          <w:rFonts w:ascii="Verdana" w:hAnsi="Verdana"/>
          <w:bCs/>
          <w:sz w:val="22"/>
          <w:szCs w:val="22"/>
        </w:rPr>
        <w:t>/2021</w:t>
      </w:r>
      <w:r>
        <w:rPr>
          <w:rFonts w:ascii="Verdana" w:hAnsi="Verdana"/>
          <w:bCs/>
          <w:sz w:val="22"/>
          <w:szCs w:val="22"/>
        </w:rPr>
        <w:t>).</w:t>
      </w:r>
    </w:p>
    <w:p w14:paraId="3CDA6E07" w14:textId="77777777" w:rsidR="00F96332" w:rsidRPr="002E158A" w:rsidRDefault="00F96332" w:rsidP="002E158A">
      <w:pPr>
        <w:pStyle w:val="Prrafodelista"/>
        <w:rPr>
          <w:rFonts w:ascii="Verdana" w:hAnsi="Verdana"/>
          <w:bCs/>
          <w:sz w:val="22"/>
          <w:szCs w:val="22"/>
        </w:rPr>
      </w:pPr>
    </w:p>
    <w:p w14:paraId="38B96EBF" w14:textId="189BF539" w:rsidR="00F96332" w:rsidRPr="00C660E7" w:rsidRDefault="00F96332" w:rsidP="00C660E7">
      <w:pPr>
        <w:pStyle w:val="Prrafodelista"/>
        <w:numPr>
          <w:ilvl w:val="0"/>
          <w:numId w:val="4"/>
        </w:numPr>
        <w:jc w:val="both"/>
        <w:rPr>
          <w:rFonts w:ascii="Verdana" w:hAnsi="Verdana"/>
          <w:bCs/>
          <w:sz w:val="22"/>
          <w:szCs w:val="22"/>
        </w:rPr>
      </w:pPr>
      <w:r>
        <w:rPr>
          <w:rFonts w:ascii="Verdana" w:hAnsi="Verdana"/>
          <w:bCs/>
          <w:sz w:val="22"/>
          <w:szCs w:val="22"/>
        </w:rPr>
        <w:t xml:space="preserve">Se solicita a los miembros del CNO que no han definido y enviado la comunicación correspondiente sobre sus representantes en los diferentes Comités y Subcomités del Consejo, hacerlo antes del viernes 15 de enero del año en curso.   </w:t>
      </w:r>
    </w:p>
    <w:p w14:paraId="19FDBF5B" w14:textId="77777777" w:rsidR="007A1A0B" w:rsidRDefault="007A1A0B" w:rsidP="007A1A0B">
      <w:pPr>
        <w:jc w:val="both"/>
        <w:rPr>
          <w:rFonts w:ascii="Verdana" w:eastAsia="Verdana" w:hAnsi="Verdana" w:cs="Verdana"/>
          <w:b/>
          <w:bCs/>
          <w:sz w:val="22"/>
          <w:szCs w:val="22"/>
          <w:u w:val="single"/>
        </w:rPr>
      </w:pPr>
    </w:p>
    <w:p w14:paraId="74F33B51" w14:textId="05CCB9BA" w:rsidR="0071693F" w:rsidRPr="007A1A0B" w:rsidRDefault="007439BF" w:rsidP="007A1A0B">
      <w:pPr>
        <w:jc w:val="both"/>
        <w:rPr>
          <w:rFonts w:ascii="Verdana" w:eastAsia="Verdana" w:hAnsi="Verdana" w:cs="Verdana"/>
          <w:b/>
          <w:bCs/>
          <w:sz w:val="22"/>
          <w:szCs w:val="22"/>
          <w:u w:val="single"/>
        </w:rPr>
      </w:pPr>
      <w:r w:rsidRPr="007A1A0B">
        <w:rPr>
          <w:rFonts w:ascii="Verdana" w:eastAsia="Verdana" w:hAnsi="Verdana" w:cs="Verdana"/>
          <w:b/>
          <w:bCs/>
          <w:sz w:val="22"/>
          <w:szCs w:val="22"/>
          <w:u w:val="single"/>
        </w:rPr>
        <w:t>A</w:t>
      </w:r>
      <w:r w:rsidR="0071693F" w:rsidRPr="007A1A0B">
        <w:rPr>
          <w:rFonts w:ascii="Verdana" w:eastAsia="Verdana" w:hAnsi="Verdana" w:cs="Verdana"/>
          <w:b/>
          <w:bCs/>
          <w:sz w:val="22"/>
          <w:szCs w:val="22"/>
          <w:u w:val="single"/>
        </w:rPr>
        <w:t>spectos Técnicos:</w:t>
      </w:r>
    </w:p>
    <w:p w14:paraId="5FC62EC5" w14:textId="50FD33FA" w:rsidR="002B752C" w:rsidRDefault="002B752C" w:rsidP="007A1A0B">
      <w:pPr>
        <w:jc w:val="both"/>
        <w:rPr>
          <w:rFonts w:ascii="Verdana" w:hAnsi="Verdana"/>
          <w:bCs/>
          <w:sz w:val="22"/>
          <w:szCs w:val="22"/>
        </w:rPr>
      </w:pPr>
    </w:p>
    <w:p w14:paraId="67C7FB3C" w14:textId="614A1C93" w:rsidR="002B752C" w:rsidRDefault="002B752C" w:rsidP="002B752C">
      <w:pPr>
        <w:pStyle w:val="Prrafodelista"/>
        <w:numPr>
          <w:ilvl w:val="0"/>
          <w:numId w:val="4"/>
        </w:numPr>
        <w:jc w:val="both"/>
        <w:rPr>
          <w:rFonts w:ascii="Verdana" w:hAnsi="Verdana"/>
          <w:bCs/>
          <w:sz w:val="22"/>
          <w:szCs w:val="22"/>
        </w:rPr>
      </w:pPr>
      <w:r w:rsidRPr="002E158A">
        <w:rPr>
          <w:rFonts w:ascii="Verdana" w:hAnsi="Verdana"/>
          <w:bCs/>
          <w:sz w:val="22"/>
          <w:szCs w:val="22"/>
        </w:rPr>
        <w:t>Tal como lo manifestó el CND en las dos reuniones extraordinarias del mes de diciembre de 2020 del Subcomité de Plantas, se presentará por parte de XM la segunda versión de su estudio de Flexibilidad en el SIN</w:t>
      </w:r>
      <w:r w:rsidR="00B128D5">
        <w:rPr>
          <w:rFonts w:ascii="Verdana" w:hAnsi="Verdana"/>
          <w:bCs/>
          <w:sz w:val="22"/>
          <w:szCs w:val="22"/>
        </w:rPr>
        <w:t xml:space="preserve"> en el próximo mes</w:t>
      </w:r>
      <w:r w:rsidRPr="002E158A">
        <w:rPr>
          <w:rFonts w:ascii="Verdana" w:hAnsi="Verdana"/>
          <w:bCs/>
          <w:sz w:val="22"/>
          <w:szCs w:val="22"/>
        </w:rPr>
        <w:t>. Si bien los principales resultados se socializa</w:t>
      </w:r>
      <w:r w:rsidR="00B128D5">
        <w:rPr>
          <w:rFonts w:ascii="Verdana" w:hAnsi="Verdana"/>
          <w:bCs/>
          <w:sz w:val="22"/>
          <w:szCs w:val="22"/>
        </w:rPr>
        <w:t>ran</w:t>
      </w:r>
      <w:r w:rsidRPr="002E158A">
        <w:rPr>
          <w:rFonts w:ascii="Verdana" w:hAnsi="Verdana"/>
          <w:bCs/>
          <w:sz w:val="22"/>
          <w:szCs w:val="22"/>
        </w:rPr>
        <w:t xml:space="preserve"> con el Consejo, </w:t>
      </w:r>
      <w:r w:rsidR="00743456">
        <w:rPr>
          <w:rFonts w:ascii="Verdana" w:hAnsi="Verdana"/>
          <w:bCs/>
          <w:sz w:val="22"/>
          <w:szCs w:val="22"/>
        </w:rPr>
        <w:t xml:space="preserve">se </w:t>
      </w:r>
      <w:r w:rsidRPr="002E158A">
        <w:rPr>
          <w:rFonts w:ascii="Verdana" w:hAnsi="Verdana"/>
          <w:bCs/>
          <w:sz w:val="22"/>
          <w:szCs w:val="22"/>
        </w:rPr>
        <w:t xml:space="preserve">recomienda la programación de una reunión conjunta con los subcomités de Planeamiento Operativo-SPO, Análisis y Planeamiento Eléctrico-SAPE y Plantas-SP, para el análisis detallado de dicho estudio. Lo anterior es fundamental para validar las observaciones hechas por el Consejo a la primera versión, y continuar con la elaboración de los Términos de Referencia del estudio </w:t>
      </w:r>
      <w:r w:rsidR="00743456">
        <w:rPr>
          <w:rFonts w:ascii="Verdana" w:hAnsi="Verdana"/>
          <w:bCs/>
          <w:sz w:val="22"/>
          <w:szCs w:val="22"/>
        </w:rPr>
        <w:t xml:space="preserve">propuesto </w:t>
      </w:r>
      <w:r w:rsidRPr="002E158A">
        <w:rPr>
          <w:rFonts w:ascii="Verdana" w:hAnsi="Verdana"/>
          <w:bCs/>
          <w:sz w:val="22"/>
          <w:szCs w:val="22"/>
        </w:rPr>
        <w:t>de Flexibilidad del SIN</w:t>
      </w:r>
      <w:r w:rsidR="00743456">
        <w:rPr>
          <w:rFonts w:ascii="Verdana" w:hAnsi="Verdana"/>
          <w:bCs/>
          <w:sz w:val="22"/>
          <w:szCs w:val="22"/>
        </w:rPr>
        <w:t>.</w:t>
      </w:r>
    </w:p>
    <w:p w14:paraId="3406084F" w14:textId="66799B89" w:rsidR="002B752C" w:rsidRDefault="002B752C" w:rsidP="002B752C">
      <w:pPr>
        <w:pStyle w:val="Prrafodelista"/>
        <w:ind w:left="360"/>
        <w:jc w:val="both"/>
        <w:rPr>
          <w:rFonts w:ascii="Verdana" w:hAnsi="Verdana"/>
          <w:bCs/>
          <w:sz w:val="22"/>
          <w:szCs w:val="22"/>
        </w:rPr>
      </w:pPr>
    </w:p>
    <w:p w14:paraId="6250B2A1" w14:textId="65CF81CD" w:rsidR="002B752C" w:rsidRPr="002E158A" w:rsidRDefault="002B752C" w:rsidP="002E158A">
      <w:pPr>
        <w:pStyle w:val="Prrafodelista"/>
        <w:numPr>
          <w:ilvl w:val="0"/>
          <w:numId w:val="4"/>
        </w:numPr>
        <w:jc w:val="both"/>
        <w:rPr>
          <w:rFonts w:ascii="Verdana" w:hAnsi="Verdana"/>
          <w:bCs/>
          <w:sz w:val="22"/>
          <w:szCs w:val="22"/>
        </w:rPr>
      </w:pPr>
      <w:r>
        <w:rPr>
          <w:rFonts w:ascii="Verdana" w:hAnsi="Verdana"/>
          <w:bCs/>
          <w:sz w:val="22"/>
          <w:szCs w:val="22"/>
        </w:rPr>
        <w:lastRenderedPageBreak/>
        <w:t>En el marco de lo establecido por la Resolución CREG 209 de 2020, que modificó el Estatuto para Situaciones de Riesgo de Desabastecimiento (Resolución CREG 026 de 2014), la Comisión actualizó la senda de referencia del volumen útil agregado del SIN para la estación de verano. A continuación, se presenta dicha senda y las propuestas enviadas por el CND y el CNO previamente.</w:t>
      </w:r>
    </w:p>
    <w:p w14:paraId="43E6DF28" w14:textId="174D8BF5" w:rsidR="002B752C" w:rsidRDefault="002B752C" w:rsidP="002B752C">
      <w:pPr>
        <w:pStyle w:val="Prrafodelista"/>
        <w:ind w:left="360"/>
        <w:jc w:val="both"/>
        <w:rPr>
          <w:rFonts w:ascii="Verdana" w:hAnsi="Verdana"/>
          <w:bCs/>
          <w:sz w:val="22"/>
          <w:szCs w:val="22"/>
        </w:rPr>
      </w:pPr>
      <w:r w:rsidRPr="000B5ACC">
        <w:rPr>
          <w:noProof/>
        </w:rPr>
        <w:drawing>
          <wp:inline distT="0" distB="0" distL="0" distR="0" wp14:anchorId="0B0BC81E" wp14:editId="035AC945">
            <wp:extent cx="5543550" cy="35060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40" t="2724" r="532" b="10550"/>
                    <a:stretch/>
                  </pic:blipFill>
                  <pic:spPr bwMode="auto">
                    <a:xfrm>
                      <a:off x="0" y="0"/>
                      <a:ext cx="5577592" cy="3527552"/>
                    </a:xfrm>
                    <a:prstGeom prst="rect">
                      <a:avLst/>
                    </a:prstGeom>
                    <a:noFill/>
                    <a:ln>
                      <a:noFill/>
                    </a:ln>
                    <a:extLst>
                      <a:ext uri="{53640926-AAD7-44D8-BBD7-CCE9431645EC}">
                        <a14:shadowObscured xmlns:a14="http://schemas.microsoft.com/office/drawing/2010/main"/>
                      </a:ext>
                    </a:extLst>
                  </pic:spPr>
                </pic:pic>
              </a:graphicData>
            </a:graphic>
          </wp:inline>
        </w:drawing>
      </w:r>
    </w:p>
    <w:p w14:paraId="14FEE31E" w14:textId="77777777" w:rsidR="002B752C" w:rsidRDefault="002B752C" w:rsidP="002B752C">
      <w:pPr>
        <w:pStyle w:val="Prrafodelista"/>
        <w:ind w:left="360"/>
        <w:jc w:val="both"/>
        <w:rPr>
          <w:rFonts w:ascii="Verdana" w:hAnsi="Verdana"/>
          <w:bCs/>
          <w:sz w:val="22"/>
          <w:szCs w:val="22"/>
        </w:rPr>
      </w:pPr>
    </w:p>
    <w:p w14:paraId="1A02131D" w14:textId="3B837B29" w:rsidR="00522E99" w:rsidRDefault="002446A7" w:rsidP="00522E99">
      <w:pPr>
        <w:pStyle w:val="Prrafodelista"/>
        <w:numPr>
          <w:ilvl w:val="0"/>
          <w:numId w:val="4"/>
        </w:numPr>
        <w:jc w:val="both"/>
        <w:rPr>
          <w:rFonts w:ascii="Verdana" w:hAnsi="Verdana"/>
          <w:bCs/>
          <w:sz w:val="22"/>
          <w:szCs w:val="22"/>
        </w:rPr>
      </w:pPr>
      <w:r w:rsidRPr="007B21B9">
        <w:rPr>
          <w:rFonts w:ascii="Verdana" w:hAnsi="Verdana"/>
          <w:bCs/>
          <w:sz w:val="22"/>
          <w:szCs w:val="22"/>
        </w:rPr>
        <w:t>Se adelantan</w:t>
      </w:r>
      <w:r w:rsidR="00522E99">
        <w:rPr>
          <w:rFonts w:ascii="Verdana" w:hAnsi="Verdana"/>
          <w:bCs/>
          <w:sz w:val="22"/>
          <w:szCs w:val="22"/>
        </w:rPr>
        <w:t>,</w:t>
      </w:r>
      <w:r w:rsidRPr="007B21B9">
        <w:rPr>
          <w:rFonts w:ascii="Verdana" w:hAnsi="Verdana"/>
          <w:bCs/>
          <w:sz w:val="22"/>
          <w:szCs w:val="22"/>
        </w:rPr>
        <w:t xml:space="preserve"> con el desarrollador de la p</w:t>
      </w:r>
      <w:r w:rsidR="00453291" w:rsidRPr="007B21B9">
        <w:rPr>
          <w:rFonts w:ascii="Verdana" w:hAnsi="Verdana"/>
          <w:bCs/>
          <w:sz w:val="22"/>
          <w:szCs w:val="22"/>
        </w:rPr>
        <w:t>á</w:t>
      </w:r>
      <w:r w:rsidRPr="007B21B9">
        <w:rPr>
          <w:rFonts w:ascii="Verdana" w:hAnsi="Verdana"/>
          <w:bCs/>
          <w:sz w:val="22"/>
          <w:szCs w:val="22"/>
        </w:rPr>
        <w:t>gina</w:t>
      </w:r>
      <w:r w:rsidR="00522E99">
        <w:rPr>
          <w:rFonts w:ascii="Verdana" w:hAnsi="Verdana"/>
          <w:bCs/>
          <w:sz w:val="22"/>
          <w:szCs w:val="22"/>
        </w:rPr>
        <w:t>,</w:t>
      </w:r>
      <w:r w:rsidRPr="007B21B9">
        <w:rPr>
          <w:rFonts w:ascii="Verdana" w:hAnsi="Verdana"/>
          <w:bCs/>
          <w:sz w:val="22"/>
          <w:szCs w:val="22"/>
        </w:rPr>
        <w:t xml:space="preserve"> </w:t>
      </w:r>
      <w:r w:rsidR="007B21B9" w:rsidRPr="007B21B9">
        <w:rPr>
          <w:rFonts w:ascii="Verdana" w:hAnsi="Verdana"/>
          <w:bCs/>
          <w:sz w:val="22"/>
          <w:szCs w:val="22"/>
        </w:rPr>
        <w:t xml:space="preserve">las </w:t>
      </w:r>
      <w:r w:rsidRPr="007B21B9">
        <w:rPr>
          <w:rFonts w:ascii="Verdana" w:hAnsi="Verdana"/>
          <w:bCs/>
          <w:sz w:val="22"/>
          <w:szCs w:val="22"/>
        </w:rPr>
        <w:t>implementaciones</w:t>
      </w:r>
      <w:r w:rsidR="007B21B9" w:rsidRPr="007B21B9">
        <w:rPr>
          <w:rFonts w:ascii="Verdana" w:hAnsi="Verdana"/>
          <w:bCs/>
          <w:sz w:val="22"/>
          <w:szCs w:val="22"/>
        </w:rPr>
        <w:t xml:space="preserve"> de seguimiento a la condición del volumen útil agregado del SIN, teniendo en cuenta las disposiciones del Estatuto para Situaciones de Riesgo de Desabastecimiento, contenidas en la Resolución CREG 209 de 2020</w:t>
      </w:r>
      <w:r w:rsidR="009A438D">
        <w:rPr>
          <w:rFonts w:ascii="Verdana" w:hAnsi="Verdana"/>
          <w:bCs/>
          <w:sz w:val="22"/>
          <w:szCs w:val="22"/>
        </w:rPr>
        <w:t>.</w:t>
      </w:r>
      <w:r w:rsidR="007B21B9" w:rsidRPr="007B21B9">
        <w:rPr>
          <w:rFonts w:ascii="Verdana" w:hAnsi="Verdana"/>
          <w:bCs/>
          <w:sz w:val="22"/>
          <w:szCs w:val="22"/>
        </w:rPr>
        <w:t xml:space="preserve"> </w:t>
      </w:r>
      <w:r w:rsidR="00522E99">
        <w:rPr>
          <w:rFonts w:ascii="Verdana" w:hAnsi="Verdana"/>
          <w:bCs/>
          <w:sz w:val="22"/>
          <w:szCs w:val="22"/>
        </w:rPr>
        <w:t>Como lo estableció el CNO en la reunión de diciembre de 2020</w:t>
      </w:r>
      <w:r w:rsidR="007B21B9" w:rsidRPr="007B21B9">
        <w:rPr>
          <w:rFonts w:ascii="Verdana" w:hAnsi="Verdana"/>
          <w:bCs/>
          <w:sz w:val="22"/>
          <w:szCs w:val="22"/>
        </w:rPr>
        <w:t xml:space="preserve">, </w:t>
      </w:r>
      <w:r w:rsidR="009A438D">
        <w:rPr>
          <w:rFonts w:ascii="Verdana" w:hAnsi="Verdana"/>
          <w:bCs/>
          <w:sz w:val="22"/>
          <w:szCs w:val="22"/>
        </w:rPr>
        <w:t xml:space="preserve">se está </w:t>
      </w:r>
      <w:r w:rsidR="00522E99">
        <w:rPr>
          <w:rFonts w:ascii="Verdana" w:hAnsi="Verdana"/>
          <w:bCs/>
          <w:sz w:val="22"/>
          <w:szCs w:val="22"/>
        </w:rPr>
        <w:t>implementando</w:t>
      </w:r>
      <w:r w:rsidR="009A438D">
        <w:rPr>
          <w:rFonts w:ascii="Verdana" w:hAnsi="Verdana"/>
          <w:bCs/>
          <w:sz w:val="22"/>
          <w:szCs w:val="22"/>
        </w:rPr>
        <w:t xml:space="preserve"> el desarrollo que permita </w:t>
      </w:r>
      <w:r w:rsidR="007B21B9" w:rsidRPr="007B21B9">
        <w:rPr>
          <w:rFonts w:ascii="Verdana" w:hAnsi="Verdana"/>
          <w:bCs/>
          <w:sz w:val="22"/>
          <w:szCs w:val="22"/>
        </w:rPr>
        <w:t xml:space="preserve">contrastar la evolución real del </w:t>
      </w:r>
      <w:r w:rsidR="009A438D">
        <w:rPr>
          <w:rFonts w:ascii="Verdana" w:hAnsi="Verdana"/>
          <w:bCs/>
          <w:sz w:val="22"/>
          <w:szCs w:val="22"/>
        </w:rPr>
        <w:t xml:space="preserve">nivel del </w:t>
      </w:r>
      <w:r w:rsidR="007B21B9" w:rsidRPr="007B21B9">
        <w:rPr>
          <w:rFonts w:ascii="Verdana" w:hAnsi="Verdana"/>
          <w:bCs/>
          <w:sz w:val="22"/>
          <w:szCs w:val="22"/>
        </w:rPr>
        <w:t>embalse con la senda</w:t>
      </w:r>
      <w:r w:rsidR="00522E99">
        <w:rPr>
          <w:rFonts w:ascii="Verdana" w:hAnsi="Verdana"/>
          <w:bCs/>
          <w:sz w:val="22"/>
          <w:szCs w:val="22"/>
        </w:rPr>
        <w:t xml:space="preserve"> de referencia de la CREG y las</w:t>
      </w:r>
      <w:r w:rsidR="007B21B9" w:rsidRPr="007B21B9">
        <w:rPr>
          <w:rFonts w:ascii="Verdana" w:hAnsi="Verdana"/>
          <w:bCs/>
          <w:sz w:val="22"/>
          <w:szCs w:val="22"/>
        </w:rPr>
        <w:t xml:space="preserve"> planteadas por el CNO y el CND.</w:t>
      </w:r>
    </w:p>
    <w:p w14:paraId="18E8092E" w14:textId="77777777" w:rsidR="00522E99" w:rsidRDefault="00522E99" w:rsidP="00522E99">
      <w:pPr>
        <w:pStyle w:val="Prrafodelista"/>
        <w:ind w:left="360"/>
        <w:jc w:val="both"/>
        <w:rPr>
          <w:rFonts w:ascii="Verdana" w:hAnsi="Verdana"/>
          <w:bCs/>
          <w:sz w:val="22"/>
          <w:szCs w:val="22"/>
        </w:rPr>
      </w:pPr>
    </w:p>
    <w:p w14:paraId="77905921" w14:textId="2633414B" w:rsidR="00374CCA" w:rsidRPr="002E158A" w:rsidRDefault="00DE318A" w:rsidP="002E158A">
      <w:pPr>
        <w:pStyle w:val="Prrafodelista"/>
        <w:ind w:left="360"/>
        <w:jc w:val="both"/>
        <w:rPr>
          <w:rFonts w:ascii="Verdana" w:hAnsi="Verdana"/>
          <w:bCs/>
          <w:sz w:val="22"/>
          <w:szCs w:val="22"/>
        </w:rPr>
      </w:pPr>
      <w:r>
        <w:rPr>
          <w:rFonts w:ascii="Verdana" w:hAnsi="Verdana"/>
          <w:bCs/>
          <w:sz w:val="22"/>
          <w:szCs w:val="22"/>
        </w:rPr>
        <w:t>Adicionalmente, s</w:t>
      </w:r>
      <w:r w:rsidR="00453291" w:rsidRPr="007B21B9">
        <w:rPr>
          <w:rFonts w:ascii="Verdana" w:hAnsi="Verdana"/>
          <w:bCs/>
          <w:sz w:val="22"/>
          <w:szCs w:val="22"/>
        </w:rPr>
        <w:t xml:space="preserve">e propone enviar </w:t>
      </w:r>
      <w:r>
        <w:rPr>
          <w:rFonts w:ascii="Verdana" w:hAnsi="Verdana"/>
          <w:bCs/>
          <w:sz w:val="22"/>
          <w:szCs w:val="22"/>
        </w:rPr>
        <w:t xml:space="preserve">la siguiente </w:t>
      </w:r>
      <w:r w:rsidR="00453291" w:rsidRPr="007B21B9">
        <w:rPr>
          <w:rFonts w:ascii="Verdana" w:hAnsi="Verdana"/>
          <w:bCs/>
          <w:sz w:val="22"/>
          <w:szCs w:val="22"/>
        </w:rPr>
        <w:t>comunicación</w:t>
      </w:r>
      <w:r>
        <w:rPr>
          <w:rFonts w:ascii="Verdana" w:hAnsi="Verdana"/>
          <w:bCs/>
          <w:sz w:val="22"/>
          <w:szCs w:val="22"/>
        </w:rPr>
        <w:t xml:space="preserve"> </w:t>
      </w:r>
      <w:r w:rsidR="00453291" w:rsidRPr="007B21B9">
        <w:rPr>
          <w:rFonts w:ascii="Verdana" w:hAnsi="Verdana"/>
          <w:bCs/>
          <w:sz w:val="22"/>
          <w:szCs w:val="22"/>
        </w:rPr>
        <w:t>a la CREG</w:t>
      </w:r>
      <w:r>
        <w:rPr>
          <w:rFonts w:ascii="Verdana" w:hAnsi="Verdana"/>
          <w:bCs/>
          <w:sz w:val="22"/>
          <w:szCs w:val="22"/>
        </w:rPr>
        <w:t xml:space="preserve"> (adjunta a esta acta),</w:t>
      </w:r>
      <w:r w:rsidR="00453291" w:rsidRPr="007B21B9">
        <w:rPr>
          <w:rFonts w:ascii="Verdana" w:hAnsi="Verdana"/>
          <w:bCs/>
          <w:sz w:val="22"/>
          <w:szCs w:val="22"/>
        </w:rPr>
        <w:t xml:space="preserve"> recalcando la importancia de conocer</w:t>
      </w:r>
      <w:r>
        <w:rPr>
          <w:rFonts w:ascii="Verdana" w:hAnsi="Verdana"/>
          <w:bCs/>
          <w:sz w:val="22"/>
          <w:szCs w:val="22"/>
        </w:rPr>
        <w:t>,</w:t>
      </w:r>
      <w:r w:rsidR="00453291" w:rsidRPr="007B21B9">
        <w:rPr>
          <w:rFonts w:ascii="Verdana" w:hAnsi="Verdana"/>
          <w:bCs/>
          <w:sz w:val="22"/>
          <w:szCs w:val="22"/>
        </w:rPr>
        <w:t xml:space="preserve"> </w:t>
      </w:r>
      <w:r w:rsidR="009A438D">
        <w:rPr>
          <w:rFonts w:ascii="Verdana" w:hAnsi="Verdana"/>
          <w:bCs/>
          <w:sz w:val="22"/>
          <w:szCs w:val="22"/>
        </w:rPr>
        <w:t>de manera oportuna</w:t>
      </w:r>
      <w:r>
        <w:rPr>
          <w:rFonts w:ascii="Verdana" w:hAnsi="Verdana"/>
          <w:bCs/>
          <w:sz w:val="22"/>
          <w:szCs w:val="22"/>
        </w:rPr>
        <w:t>,</w:t>
      </w:r>
      <w:r w:rsidR="009A438D">
        <w:rPr>
          <w:rFonts w:ascii="Verdana" w:hAnsi="Verdana"/>
          <w:bCs/>
          <w:sz w:val="22"/>
          <w:szCs w:val="22"/>
        </w:rPr>
        <w:t xml:space="preserve"> </w:t>
      </w:r>
      <w:r>
        <w:rPr>
          <w:rFonts w:ascii="Verdana" w:hAnsi="Verdana"/>
          <w:bCs/>
          <w:sz w:val="22"/>
          <w:szCs w:val="22"/>
        </w:rPr>
        <w:t xml:space="preserve">toda </w:t>
      </w:r>
      <w:r w:rsidR="00453291" w:rsidRPr="007B21B9">
        <w:rPr>
          <w:rFonts w:ascii="Verdana" w:hAnsi="Verdana"/>
          <w:bCs/>
          <w:sz w:val="22"/>
          <w:szCs w:val="22"/>
        </w:rPr>
        <w:t xml:space="preserve">la información </w:t>
      </w:r>
      <w:r>
        <w:rPr>
          <w:rFonts w:ascii="Verdana" w:hAnsi="Verdana"/>
          <w:bCs/>
          <w:sz w:val="22"/>
          <w:szCs w:val="22"/>
        </w:rPr>
        <w:t xml:space="preserve">relacionada al cálculo </w:t>
      </w:r>
      <w:r w:rsidR="00453291" w:rsidRPr="007B21B9">
        <w:rPr>
          <w:rFonts w:ascii="Verdana" w:hAnsi="Verdana"/>
          <w:bCs/>
          <w:sz w:val="22"/>
          <w:szCs w:val="22"/>
        </w:rPr>
        <w:t xml:space="preserve">de </w:t>
      </w:r>
      <w:r w:rsidR="009A438D">
        <w:rPr>
          <w:rFonts w:ascii="Verdana" w:hAnsi="Verdana"/>
          <w:bCs/>
          <w:sz w:val="22"/>
          <w:szCs w:val="22"/>
        </w:rPr>
        <w:t>l</w:t>
      </w:r>
      <w:r w:rsidR="00C65CDD">
        <w:rPr>
          <w:rFonts w:ascii="Verdana" w:hAnsi="Verdana"/>
          <w:bCs/>
          <w:sz w:val="22"/>
          <w:szCs w:val="22"/>
        </w:rPr>
        <w:t>a condición del sistema en función del índice Nivel del Embalse-NE</w:t>
      </w:r>
      <w:r w:rsidR="009A438D">
        <w:rPr>
          <w:rFonts w:ascii="Verdana" w:hAnsi="Verdana"/>
          <w:bCs/>
          <w:sz w:val="22"/>
          <w:szCs w:val="22"/>
        </w:rPr>
        <w:t>.</w:t>
      </w:r>
    </w:p>
    <w:p w14:paraId="00E957AE" w14:textId="77777777" w:rsidR="00992FA4" w:rsidRPr="00C11B6A" w:rsidRDefault="00992FA4" w:rsidP="00992FA4">
      <w:pPr>
        <w:rPr>
          <w:rFonts w:ascii="Verdana" w:hAnsi="Verdana"/>
          <w:bCs/>
          <w:sz w:val="22"/>
          <w:szCs w:val="22"/>
        </w:rPr>
      </w:pPr>
    </w:p>
    <w:p w14:paraId="220C2298" w14:textId="2F94776A" w:rsidR="008E1151" w:rsidRDefault="001C7636" w:rsidP="00EC2154">
      <w:pPr>
        <w:pStyle w:val="Prrafodelista"/>
        <w:numPr>
          <w:ilvl w:val="0"/>
          <w:numId w:val="4"/>
        </w:numPr>
        <w:jc w:val="both"/>
        <w:rPr>
          <w:rFonts w:ascii="Verdana" w:hAnsi="Verdana"/>
          <w:bCs/>
          <w:sz w:val="22"/>
          <w:szCs w:val="22"/>
        </w:rPr>
      </w:pPr>
      <w:r w:rsidRPr="0057254E">
        <w:rPr>
          <w:rFonts w:ascii="Verdana" w:hAnsi="Verdana"/>
          <w:bCs/>
          <w:sz w:val="22"/>
          <w:szCs w:val="22"/>
        </w:rPr>
        <w:t>Se env</w:t>
      </w:r>
      <w:r w:rsidR="00C34C27" w:rsidRPr="0057254E">
        <w:rPr>
          <w:rFonts w:ascii="Verdana" w:hAnsi="Verdana"/>
          <w:bCs/>
          <w:sz w:val="22"/>
          <w:szCs w:val="22"/>
        </w:rPr>
        <w:t>ío</w:t>
      </w:r>
      <w:r w:rsidRPr="0057254E">
        <w:rPr>
          <w:rFonts w:ascii="Verdana" w:hAnsi="Verdana"/>
          <w:bCs/>
          <w:sz w:val="22"/>
          <w:szCs w:val="22"/>
        </w:rPr>
        <w:t xml:space="preserve"> </w:t>
      </w:r>
      <w:r w:rsidR="001C2F67">
        <w:rPr>
          <w:rFonts w:ascii="Verdana" w:hAnsi="Verdana"/>
          <w:bCs/>
          <w:sz w:val="22"/>
          <w:szCs w:val="22"/>
        </w:rPr>
        <w:t xml:space="preserve">a la CREG la </w:t>
      </w:r>
      <w:r w:rsidRPr="0057254E">
        <w:rPr>
          <w:rFonts w:ascii="Verdana" w:hAnsi="Verdana"/>
          <w:bCs/>
          <w:sz w:val="22"/>
          <w:szCs w:val="22"/>
        </w:rPr>
        <w:t>comunicación, que tiene como asunto “</w:t>
      </w:r>
      <w:r w:rsidRPr="0057254E">
        <w:rPr>
          <w:rFonts w:ascii="Verdana" w:hAnsi="Verdana"/>
          <w:bCs/>
          <w:i/>
          <w:iCs/>
          <w:sz w:val="22"/>
          <w:szCs w:val="22"/>
        </w:rPr>
        <w:t>Posibilidad de definir un criterio de confiabilidad adicional para la asignación de las reservas de Regulación Secundaria de Frecuencia-AGC</w:t>
      </w:r>
      <w:r w:rsidRPr="0057254E">
        <w:rPr>
          <w:rFonts w:ascii="Verdana" w:hAnsi="Verdana"/>
          <w:bCs/>
          <w:sz w:val="22"/>
          <w:szCs w:val="22"/>
        </w:rPr>
        <w:t xml:space="preserve">”. </w:t>
      </w:r>
      <w:r w:rsidR="00106E1D">
        <w:rPr>
          <w:rFonts w:ascii="Verdana" w:hAnsi="Verdana"/>
          <w:bCs/>
          <w:sz w:val="22"/>
          <w:szCs w:val="22"/>
        </w:rPr>
        <w:t xml:space="preserve">La misma puede ser consultada en la página web del CNO. </w:t>
      </w:r>
    </w:p>
    <w:p w14:paraId="69CAE17E" w14:textId="77777777" w:rsidR="008E1151" w:rsidRDefault="008E1151" w:rsidP="002E158A">
      <w:pPr>
        <w:pStyle w:val="Prrafodelista"/>
        <w:ind w:left="360"/>
        <w:jc w:val="both"/>
        <w:rPr>
          <w:rFonts w:ascii="Verdana" w:hAnsi="Verdana"/>
          <w:bCs/>
          <w:sz w:val="22"/>
          <w:szCs w:val="22"/>
        </w:rPr>
      </w:pPr>
    </w:p>
    <w:p w14:paraId="5373AB3E" w14:textId="136E80F5" w:rsidR="0057254E" w:rsidRPr="002E158A" w:rsidRDefault="008E1151" w:rsidP="002E158A">
      <w:pPr>
        <w:pStyle w:val="Prrafodelista"/>
        <w:numPr>
          <w:ilvl w:val="0"/>
          <w:numId w:val="4"/>
        </w:numPr>
        <w:jc w:val="both"/>
        <w:rPr>
          <w:rFonts w:ascii="Verdana" w:hAnsi="Verdana"/>
          <w:bCs/>
          <w:sz w:val="22"/>
          <w:szCs w:val="22"/>
        </w:rPr>
      </w:pPr>
      <w:r>
        <w:rPr>
          <w:rFonts w:ascii="Verdana" w:hAnsi="Verdana"/>
          <w:bCs/>
          <w:sz w:val="22"/>
          <w:szCs w:val="22"/>
        </w:rPr>
        <w:t xml:space="preserve">Se envió a MINENERGÍA la comunicación con comentarios </w:t>
      </w:r>
      <w:r w:rsidRPr="008E1151">
        <w:rPr>
          <w:rFonts w:ascii="Verdana" w:hAnsi="Verdana"/>
          <w:bCs/>
          <w:sz w:val="22"/>
          <w:szCs w:val="22"/>
        </w:rPr>
        <w:t>al proyecto normativo “</w:t>
      </w:r>
      <w:r w:rsidRPr="002E158A">
        <w:rPr>
          <w:rFonts w:ascii="Verdana" w:hAnsi="Verdana"/>
          <w:bCs/>
          <w:i/>
          <w:iCs/>
          <w:sz w:val="22"/>
          <w:szCs w:val="22"/>
        </w:rPr>
        <w:t>Por la cual se definen criterios de resiliencia, seguridad y confiabilidad para el suministro de energía eléctrica</w:t>
      </w:r>
      <w:r>
        <w:rPr>
          <w:rFonts w:ascii="Verdana" w:hAnsi="Verdana"/>
          <w:bCs/>
          <w:sz w:val="22"/>
          <w:szCs w:val="22"/>
        </w:rPr>
        <w:t>”</w:t>
      </w:r>
      <w:r w:rsidR="000E64C4">
        <w:rPr>
          <w:rFonts w:ascii="Verdana" w:hAnsi="Verdana"/>
          <w:bCs/>
          <w:sz w:val="22"/>
          <w:szCs w:val="22"/>
        </w:rPr>
        <w:t xml:space="preserve">. La misma puede ser consultada en la página web del CNO. </w:t>
      </w:r>
      <w:r>
        <w:rPr>
          <w:rFonts w:ascii="Verdana" w:hAnsi="Verdana"/>
          <w:bCs/>
          <w:sz w:val="22"/>
          <w:szCs w:val="22"/>
        </w:rPr>
        <w:t xml:space="preserve"> </w:t>
      </w:r>
    </w:p>
    <w:p w14:paraId="2C6F97C3" w14:textId="2CDC1A77" w:rsidR="001C7636" w:rsidRDefault="001C7636" w:rsidP="001C7636">
      <w:pPr>
        <w:pStyle w:val="Prrafodelista"/>
        <w:ind w:left="360"/>
        <w:jc w:val="both"/>
        <w:rPr>
          <w:rFonts w:ascii="Verdana" w:hAnsi="Verdana"/>
          <w:bCs/>
          <w:sz w:val="22"/>
          <w:szCs w:val="22"/>
        </w:rPr>
      </w:pPr>
    </w:p>
    <w:p w14:paraId="6E2E72DD" w14:textId="46821AC5" w:rsidR="000218D9" w:rsidRPr="002E158A" w:rsidRDefault="000218D9" w:rsidP="00EC2154">
      <w:pPr>
        <w:pStyle w:val="Prrafodelista"/>
        <w:numPr>
          <w:ilvl w:val="0"/>
          <w:numId w:val="4"/>
        </w:numPr>
        <w:jc w:val="both"/>
        <w:rPr>
          <w:rFonts w:ascii="Verdana" w:hAnsi="Verdana"/>
          <w:bCs/>
          <w:color w:val="000000" w:themeColor="text1"/>
          <w:sz w:val="22"/>
          <w:szCs w:val="22"/>
        </w:rPr>
      </w:pPr>
      <w:r>
        <w:rPr>
          <w:rFonts w:ascii="Verdana" w:hAnsi="Verdana"/>
          <w:bCs/>
          <w:sz w:val="22"/>
          <w:szCs w:val="22"/>
        </w:rPr>
        <w:t>Respecto a</w:t>
      </w:r>
      <w:r w:rsidR="003A1E1F" w:rsidRPr="001C2F67">
        <w:rPr>
          <w:rFonts w:ascii="Verdana" w:hAnsi="Verdana"/>
          <w:bCs/>
          <w:sz w:val="22"/>
          <w:szCs w:val="22"/>
        </w:rPr>
        <w:t xml:space="preserve"> la situación actual de ajuste de los </w:t>
      </w:r>
      <w:r w:rsidR="000B5ACC">
        <w:rPr>
          <w:rFonts w:ascii="Verdana" w:hAnsi="Verdana"/>
          <w:bCs/>
          <w:sz w:val="22"/>
          <w:szCs w:val="22"/>
        </w:rPr>
        <w:t>E</w:t>
      </w:r>
      <w:r w:rsidR="003A1E1F" w:rsidRPr="001C2F67">
        <w:rPr>
          <w:rFonts w:ascii="Verdana" w:hAnsi="Verdana"/>
          <w:bCs/>
          <w:sz w:val="22"/>
          <w:szCs w:val="22"/>
        </w:rPr>
        <w:t>stabilizadores</w:t>
      </w:r>
      <w:r w:rsidR="000B5ACC">
        <w:rPr>
          <w:rFonts w:ascii="Verdana" w:hAnsi="Verdana"/>
          <w:bCs/>
          <w:sz w:val="22"/>
          <w:szCs w:val="22"/>
        </w:rPr>
        <w:t xml:space="preserve"> de Potencia</w:t>
      </w:r>
      <w:r w:rsidR="003A1E1F" w:rsidRPr="001C2F67">
        <w:rPr>
          <w:rFonts w:ascii="Verdana" w:hAnsi="Verdana"/>
          <w:bCs/>
          <w:sz w:val="22"/>
          <w:szCs w:val="22"/>
        </w:rPr>
        <w:t>-PSS del SIN</w:t>
      </w:r>
      <w:r>
        <w:rPr>
          <w:rFonts w:ascii="Verdana" w:hAnsi="Verdana"/>
          <w:bCs/>
          <w:sz w:val="22"/>
          <w:szCs w:val="22"/>
        </w:rPr>
        <w:t>, en la reunión del mes de diciembre de 2020 del Subcomité de Controles</w:t>
      </w:r>
      <w:r w:rsidR="000B5ACC">
        <w:rPr>
          <w:rFonts w:ascii="Verdana" w:hAnsi="Verdana"/>
          <w:bCs/>
          <w:sz w:val="22"/>
          <w:szCs w:val="22"/>
        </w:rPr>
        <w:t>-SC</w:t>
      </w:r>
      <w:r>
        <w:rPr>
          <w:rFonts w:ascii="Verdana" w:hAnsi="Verdana"/>
          <w:bCs/>
          <w:sz w:val="22"/>
          <w:szCs w:val="22"/>
        </w:rPr>
        <w:t xml:space="preserve"> se estableció:</w:t>
      </w:r>
      <w:r w:rsidR="003A1E1F" w:rsidRPr="001C2F67">
        <w:rPr>
          <w:rFonts w:ascii="Verdana" w:hAnsi="Verdana"/>
          <w:bCs/>
          <w:sz w:val="22"/>
          <w:szCs w:val="22"/>
        </w:rPr>
        <w:t xml:space="preserve"> </w:t>
      </w:r>
    </w:p>
    <w:p w14:paraId="69EE4CFC" w14:textId="77777777" w:rsidR="000B5ACC" w:rsidRPr="002E158A" w:rsidRDefault="000B5ACC" w:rsidP="002E158A">
      <w:pPr>
        <w:pStyle w:val="Prrafodelista"/>
        <w:ind w:left="360"/>
        <w:jc w:val="both"/>
        <w:rPr>
          <w:rFonts w:ascii="Verdana" w:hAnsi="Verdana"/>
          <w:bCs/>
          <w:color w:val="000000" w:themeColor="text1"/>
          <w:sz w:val="22"/>
          <w:szCs w:val="22"/>
        </w:rPr>
      </w:pPr>
    </w:p>
    <w:p w14:paraId="1A9C097C" w14:textId="555A13C1" w:rsidR="000B5ACC" w:rsidRPr="002E158A" w:rsidRDefault="000218D9" w:rsidP="000218D9">
      <w:pPr>
        <w:pStyle w:val="Prrafodelista"/>
        <w:numPr>
          <w:ilvl w:val="0"/>
          <w:numId w:val="6"/>
        </w:numPr>
        <w:jc w:val="both"/>
        <w:rPr>
          <w:rFonts w:ascii="Verdana" w:hAnsi="Verdana"/>
          <w:bCs/>
          <w:color w:val="000000" w:themeColor="text1"/>
          <w:sz w:val="22"/>
          <w:szCs w:val="22"/>
        </w:rPr>
      </w:pPr>
      <w:r>
        <w:rPr>
          <w:rFonts w:ascii="Verdana" w:hAnsi="Verdana"/>
          <w:bCs/>
          <w:sz w:val="22"/>
          <w:szCs w:val="22"/>
        </w:rPr>
        <w:t>El CND</w:t>
      </w:r>
      <w:r w:rsidR="001C2F67" w:rsidRPr="00453291">
        <w:rPr>
          <w:rFonts w:ascii="Verdana" w:hAnsi="Verdana"/>
          <w:color w:val="000000" w:themeColor="text1"/>
          <w:sz w:val="22"/>
          <w:szCs w:val="22"/>
          <w:shd w:val="clear" w:color="auto" w:fill="FFFFFF"/>
        </w:rPr>
        <w:t xml:space="preserve"> solicita</w:t>
      </w:r>
      <w:r>
        <w:rPr>
          <w:rFonts w:ascii="Verdana" w:hAnsi="Verdana"/>
          <w:color w:val="000000" w:themeColor="text1"/>
          <w:sz w:val="22"/>
          <w:szCs w:val="22"/>
          <w:shd w:val="clear" w:color="auto" w:fill="FFFFFF"/>
        </w:rPr>
        <w:t>rá</w:t>
      </w:r>
      <w:r w:rsidR="001C2F67" w:rsidRPr="00453291">
        <w:rPr>
          <w:rFonts w:ascii="Verdana" w:hAnsi="Verdana"/>
          <w:color w:val="000000" w:themeColor="text1"/>
          <w:sz w:val="22"/>
          <w:szCs w:val="22"/>
          <w:shd w:val="clear" w:color="auto" w:fill="FFFFFF"/>
        </w:rPr>
        <w:t xml:space="preserve"> </w:t>
      </w:r>
      <w:r w:rsidR="000B5ACC">
        <w:rPr>
          <w:rFonts w:ascii="Verdana" w:hAnsi="Verdana"/>
          <w:bCs/>
          <w:sz w:val="22"/>
          <w:szCs w:val="22"/>
        </w:rPr>
        <w:t>a</w:t>
      </w:r>
      <w:r w:rsidR="001C2F67" w:rsidRPr="00453291">
        <w:rPr>
          <w:rFonts w:ascii="Verdana" w:hAnsi="Verdana"/>
          <w:color w:val="000000" w:themeColor="text1"/>
          <w:sz w:val="22"/>
          <w:szCs w:val="22"/>
          <w:shd w:val="clear" w:color="auto" w:fill="FFFFFF"/>
        </w:rPr>
        <w:t xml:space="preserve"> todas las empresas </w:t>
      </w:r>
      <w:r w:rsidR="000B5ACC">
        <w:rPr>
          <w:rFonts w:ascii="Verdana" w:hAnsi="Verdana"/>
          <w:color w:val="000000" w:themeColor="text1"/>
          <w:sz w:val="22"/>
          <w:szCs w:val="22"/>
          <w:shd w:val="clear" w:color="auto" w:fill="FFFFFF"/>
        </w:rPr>
        <w:t xml:space="preserve">que </w:t>
      </w:r>
      <w:r w:rsidR="001C2F67" w:rsidRPr="00453291">
        <w:rPr>
          <w:rFonts w:ascii="Verdana" w:hAnsi="Verdana"/>
          <w:color w:val="000000" w:themeColor="text1"/>
          <w:sz w:val="22"/>
          <w:szCs w:val="22"/>
          <w:shd w:val="clear" w:color="auto" w:fill="FFFFFF"/>
        </w:rPr>
        <w:t>contemplen </w:t>
      </w:r>
      <w:r w:rsidR="000B5ACC">
        <w:rPr>
          <w:rFonts w:ascii="Verdana" w:hAnsi="Verdana"/>
          <w:color w:val="000000" w:themeColor="text1"/>
          <w:sz w:val="22"/>
          <w:szCs w:val="22"/>
          <w:shd w:val="clear" w:color="auto" w:fill="FFFFFF"/>
        </w:rPr>
        <w:t>un</w:t>
      </w:r>
      <w:r w:rsidR="000B5ACC" w:rsidRPr="00453291">
        <w:rPr>
          <w:rFonts w:ascii="Verdana" w:hAnsi="Verdana"/>
          <w:color w:val="000000" w:themeColor="text1"/>
          <w:sz w:val="22"/>
          <w:szCs w:val="22"/>
          <w:shd w:val="clear" w:color="auto" w:fill="FFFFFF"/>
        </w:rPr>
        <w:t xml:space="preserve"> </w:t>
      </w:r>
      <w:r w:rsidR="001C2F67" w:rsidRPr="00453291">
        <w:rPr>
          <w:rFonts w:ascii="Verdana" w:hAnsi="Verdana"/>
          <w:color w:val="000000" w:themeColor="text1"/>
          <w:sz w:val="22"/>
          <w:szCs w:val="22"/>
          <w:shd w:val="clear" w:color="auto" w:fill="FFFFFF"/>
        </w:rPr>
        <w:t xml:space="preserve">plan de ajuste de los </w:t>
      </w:r>
      <w:r w:rsidR="000B5ACC">
        <w:rPr>
          <w:rFonts w:ascii="Verdana" w:hAnsi="Verdana"/>
          <w:color w:val="000000" w:themeColor="text1"/>
          <w:sz w:val="22"/>
          <w:szCs w:val="22"/>
          <w:shd w:val="clear" w:color="auto" w:fill="FFFFFF"/>
        </w:rPr>
        <w:t>PSS</w:t>
      </w:r>
      <w:r w:rsidR="001C2F67" w:rsidRPr="00453291">
        <w:rPr>
          <w:rFonts w:ascii="Verdana" w:hAnsi="Verdana"/>
          <w:color w:val="000000" w:themeColor="text1"/>
          <w:sz w:val="22"/>
          <w:szCs w:val="22"/>
          <w:shd w:val="clear" w:color="auto" w:fill="FFFFFF"/>
        </w:rPr>
        <w:t xml:space="preserve">. </w:t>
      </w:r>
    </w:p>
    <w:p w14:paraId="3B09D482" w14:textId="77777777" w:rsidR="000B5ACC" w:rsidRPr="002E158A" w:rsidRDefault="000B5ACC" w:rsidP="002E158A">
      <w:pPr>
        <w:pStyle w:val="Prrafodelista"/>
        <w:ind w:left="720"/>
        <w:jc w:val="both"/>
        <w:rPr>
          <w:rFonts w:ascii="Verdana" w:hAnsi="Verdana"/>
          <w:bCs/>
          <w:color w:val="000000" w:themeColor="text1"/>
          <w:sz w:val="22"/>
          <w:szCs w:val="22"/>
        </w:rPr>
      </w:pPr>
    </w:p>
    <w:p w14:paraId="234861AD" w14:textId="00466811" w:rsidR="000B5ACC" w:rsidRPr="002E158A" w:rsidRDefault="000B5ACC" w:rsidP="000218D9">
      <w:pPr>
        <w:pStyle w:val="Prrafodelista"/>
        <w:numPr>
          <w:ilvl w:val="0"/>
          <w:numId w:val="6"/>
        </w:numPr>
        <w:jc w:val="both"/>
        <w:rPr>
          <w:rFonts w:ascii="Verdana" w:hAnsi="Verdana"/>
          <w:bCs/>
          <w:color w:val="000000" w:themeColor="text1"/>
          <w:sz w:val="22"/>
          <w:szCs w:val="22"/>
        </w:rPr>
      </w:pPr>
      <w:r>
        <w:rPr>
          <w:rFonts w:ascii="Verdana" w:hAnsi="Verdana"/>
          <w:color w:val="000000" w:themeColor="text1"/>
          <w:sz w:val="22"/>
          <w:szCs w:val="22"/>
          <w:shd w:val="clear" w:color="auto" w:fill="FFFFFF"/>
        </w:rPr>
        <w:t>S</w:t>
      </w:r>
      <w:r w:rsidR="001C2F67" w:rsidRPr="00453291">
        <w:rPr>
          <w:rFonts w:ascii="Verdana" w:hAnsi="Verdana"/>
          <w:color w:val="000000" w:themeColor="text1"/>
          <w:sz w:val="22"/>
          <w:szCs w:val="22"/>
          <w:shd w:val="clear" w:color="auto" w:fill="FFFFFF"/>
        </w:rPr>
        <w:t>e elabor</w:t>
      </w:r>
      <w:r>
        <w:rPr>
          <w:rFonts w:ascii="Verdana" w:hAnsi="Verdana"/>
          <w:color w:val="000000" w:themeColor="text1"/>
          <w:sz w:val="22"/>
          <w:szCs w:val="22"/>
          <w:shd w:val="clear" w:color="auto" w:fill="FFFFFF"/>
        </w:rPr>
        <w:t>ará</w:t>
      </w:r>
      <w:r w:rsidR="001C2F67" w:rsidRPr="00453291">
        <w:rPr>
          <w:rFonts w:ascii="Verdana" w:hAnsi="Verdana"/>
          <w:color w:val="000000" w:themeColor="text1"/>
          <w:sz w:val="22"/>
          <w:szCs w:val="22"/>
          <w:shd w:val="clear" w:color="auto" w:fill="FFFFFF"/>
        </w:rPr>
        <w:t xml:space="preserve"> un documento</w:t>
      </w:r>
      <w:r>
        <w:rPr>
          <w:rFonts w:ascii="Verdana" w:hAnsi="Verdana"/>
          <w:color w:val="000000" w:themeColor="text1"/>
          <w:sz w:val="22"/>
          <w:szCs w:val="22"/>
          <w:shd w:val="clear" w:color="auto" w:fill="FFFFFF"/>
        </w:rPr>
        <w:t xml:space="preserve"> CNO</w:t>
      </w:r>
      <w:r w:rsidR="001C2F67" w:rsidRPr="00453291">
        <w:rPr>
          <w:rFonts w:ascii="Verdana" w:hAnsi="Verdana"/>
          <w:color w:val="000000" w:themeColor="text1"/>
          <w:sz w:val="22"/>
          <w:szCs w:val="22"/>
          <w:shd w:val="clear" w:color="auto" w:fill="FFFFFF"/>
        </w:rPr>
        <w:t xml:space="preserve"> con los requisitos que se deben cumplir </w:t>
      </w:r>
      <w:r>
        <w:rPr>
          <w:rFonts w:ascii="Verdana" w:hAnsi="Verdana"/>
          <w:color w:val="000000" w:themeColor="text1"/>
          <w:sz w:val="22"/>
          <w:szCs w:val="22"/>
          <w:shd w:val="clear" w:color="auto" w:fill="FFFFFF"/>
        </w:rPr>
        <w:t>p</w:t>
      </w:r>
      <w:r>
        <w:rPr>
          <w:rFonts w:ascii="Verdana" w:hAnsi="Verdana"/>
          <w:bCs/>
          <w:sz w:val="22"/>
          <w:szCs w:val="22"/>
        </w:rPr>
        <w:t>ara el ajuste de los PSS</w:t>
      </w:r>
      <w:r w:rsidR="001C2F67" w:rsidRPr="00453291">
        <w:rPr>
          <w:rFonts w:ascii="Verdana" w:hAnsi="Verdana"/>
          <w:color w:val="000000" w:themeColor="text1"/>
          <w:sz w:val="22"/>
          <w:szCs w:val="22"/>
          <w:shd w:val="clear" w:color="auto" w:fill="FFFFFF"/>
        </w:rPr>
        <w:t xml:space="preserve"> </w:t>
      </w:r>
      <w:r>
        <w:rPr>
          <w:rFonts w:ascii="Verdana" w:hAnsi="Verdana"/>
          <w:color w:val="000000" w:themeColor="text1"/>
          <w:sz w:val="22"/>
          <w:szCs w:val="22"/>
          <w:shd w:val="clear" w:color="auto" w:fill="FFFFFF"/>
        </w:rPr>
        <w:t>y</w:t>
      </w:r>
      <w:r w:rsidR="001C2F67" w:rsidRPr="00453291">
        <w:rPr>
          <w:rFonts w:ascii="Verdana" w:hAnsi="Verdana"/>
          <w:color w:val="000000" w:themeColor="text1"/>
          <w:sz w:val="22"/>
          <w:szCs w:val="22"/>
          <w:shd w:val="clear" w:color="auto" w:fill="FFFFFF"/>
        </w:rPr>
        <w:t xml:space="preserve"> la forma en la que se contrata</w:t>
      </w:r>
      <w:r>
        <w:rPr>
          <w:rFonts w:ascii="Verdana" w:hAnsi="Verdana"/>
          <w:color w:val="000000" w:themeColor="text1"/>
          <w:sz w:val="22"/>
          <w:szCs w:val="22"/>
          <w:shd w:val="clear" w:color="auto" w:fill="FFFFFF"/>
        </w:rPr>
        <w:t>rí</w:t>
      </w:r>
      <w:r>
        <w:rPr>
          <w:rFonts w:ascii="Verdana" w:hAnsi="Verdana"/>
          <w:bCs/>
          <w:sz w:val="22"/>
          <w:szCs w:val="22"/>
        </w:rPr>
        <w:t>a</w:t>
      </w:r>
      <w:r w:rsidR="001C2F67" w:rsidRPr="00453291">
        <w:rPr>
          <w:rFonts w:ascii="Verdana" w:hAnsi="Verdana"/>
          <w:color w:val="000000" w:themeColor="text1"/>
          <w:sz w:val="22"/>
          <w:szCs w:val="22"/>
          <w:shd w:val="clear" w:color="auto" w:fill="FFFFFF"/>
        </w:rPr>
        <w:t xml:space="preserve"> </w:t>
      </w:r>
      <w:r>
        <w:rPr>
          <w:rFonts w:ascii="Verdana" w:hAnsi="Verdana"/>
          <w:color w:val="000000" w:themeColor="text1"/>
          <w:sz w:val="22"/>
          <w:szCs w:val="22"/>
          <w:shd w:val="clear" w:color="auto" w:fill="FFFFFF"/>
        </w:rPr>
        <w:t>dicho</w:t>
      </w:r>
      <w:r w:rsidRPr="00453291">
        <w:rPr>
          <w:rFonts w:ascii="Verdana" w:hAnsi="Verdana"/>
          <w:color w:val="000000" w:themeColor="text1"/>
          <w:sz w:val="22"/>
          <w:szCs w:val="22"/>
          <w:shd w:val="clear" w:color="auto" w:fill="FFFFFF"/>
        </w:rPr>
        <w:t xml:space="preserve"> </w:t>
      </w:r>
      <w:r w:rsidR="001C2F67" w:rsidRPr="00453291">
        <w:rPr>
          <w:rFonts w:ascii="Verdana" w:hAnsi="Verdana"/>
          <w:color w:val="000000" w:themeColor="text1"/>
          <w:sz w:val="22"/>
          <w:szCs w:val="22"/>
          <w:shd w:val="clear" w:color="auto" w:fill="FFFFFF"/>
        </w:rPr>
        <w:t>ajuste</w:t>
      </w:r>
      <w:r>
        <w:rPr>
          <w:rFonts w:ascii="Verdana" w:hAnsi="Verdana"/>
          <w:color w:val="000000" w:themeColor="text1"/>
          <w:sz w:val="22"/>
          <w:szCs w:val="22"/>
          <w:shd w:val="clear" w:color="auto" w:fill="FFFFFF"/>
        </w:rPr>
        <w:t xml:space="preserve"> (de ser neces</w:t>
      </w:r>
      <w:r>
        <w:rPr>
          <w:rFonts w:ascii="Verdana" w:hAnsi="Verdana"/>
          <w:bCs/>
          <w:sz w:val="22"/>
          <w:szCs w:val="22"/>
        </w:rPr>
        <w:t>ario</w:t>
      </w:r>
      <w:r>
        <w:rPr>
          <w:rFonts w:ascii="Verdana" w:hAnsi="Verdana"/>
          <w:color w:val="000000" w:themeColor="text1"/>
          <w:sz w:val="22"/>
          <w:szCs w:val="22"/>
          <w:shd w:val="clear" w:color="auto" w:fill="FFFFFF"/>
        </w:rPr>
        <w:t>)</w:t>
      </w:r>
      <w:r w:rsidR="001C2F67" w:rsidRPr="00453291">
        <w:rPr>
          <w:rFonts w:ascii="Verdana" w:hAnsi="Verdana"/>
          <w:color w:val="000000" w:themeColor="text1"/>
          <w:sz w:val="22"/>
          <w:szCs w:val="22"/>
          <w:shd w:val="clear" w:color="auto" w:fill="FFFFFF"/>
        </w:rPr>
        <w:t xml:space="preserve">. </w:t>
      </w:r>
    </w:p>
    <w:p w14:paraId="09E9FB63" w14:textId="77777777" w:rsidR="000B5ACC" w:rsidRPr="002E158A" w:rsidRDefault="000B5ACC" w:rsidP="002E158A">
      <w:pPr>
        <w:pStyle w:val="Prrafodelista"/>
        <w:ind w:left="720"/>
        <w:jc w:val="both"/>
        <w:rPr>
          <w:rFonts w:ascii="Verdana" w:hAnsi="Verdana"/>
          <w:bCs/>
          <w:color w:val="000000" w:themeColor="text1"/>
          <w:sz w:val="22"/>
          <w:szCs w:val="22"/>
        </w:rPr>
      </w:pPr>
    </w:p>
    <w:p w14:paraId="45D097A0" w14:textId="5B70F4F0" w:rsidR="003A1E1F" w:rsidRPr="00453291" w:rsidRDefault="001C2F67" w:rsidP="002E158A">
      <w:pPr>
        <w:pStyle w:val="Prrafodelista"/>
        <w:numPr>
          <w:ilvl w:val="0"/>
          <w:numId w:val="6"/>
        </w:numPr>
        <w:jc w:val="both"/>
        <w:rPr>
          <w:rFonts w:ascii="Verdana" w:hAnsi="Verdana"/>
          <w:bCs/>
          <w:color w:val="000000" w:themeColor="text1"/>
          <w:sz w:val="22"/>
          <w:szCs w:val="22"/>
        </w:rPr>
      </w:pPr>
      <w:r w:rsidRPr="00453291">
        <w:rPr>
          <w:rFonts w:ascii="Verdana" w:hAnsi="Verdana"/>
          <w:color w:val="000000" w:themeColor="text1"/>
          <w:sz w:val="22"/>
          <w:szCs w:val="22"/>
          <w:shd w:val="clear" w:color="auto" w:fill="FFFFFF"/>
        </w:rPr>
        <w:t>En la reunión de enero</w:t>
      </w:r>
      <w:r w:rsidR="000B5ACC">
        <w:rPr>
          <w:rFonts w:ascii="Verdana" w:hAnsi="Verdana"/>
          <w:color w:val="000000" w:themeColor="text1"/>
          <w:sz w:val="22"/>
          <w:szCs w:val="22"/>
          <w:shd w:val="clear" w:color="auto" w:fill="FFFFFF"/>
        </w:rPr>
        <w:t xml:space="preserve"> de 2021</w:t>
      </w:r>
      <w:r w:rsidRPr="00453291">
        <w:rPr>
          <w:rFonts w:ascii="Verdana" w:hAnsi="Verdana"/>
          <w:color w:val="000000" w:themeColor="text1"/>
          <w:sz w:val="22"/>
          <w:szCs w:val="22"/>
          <w:shd w:val="clear" w:color="auto" w:fill="FFFFFF"/>
        </w:rPr>
        <w:t xml:space="preserve"> </w:t>
      </w:r>
      <w:r w:rsidR="009A438D">
        <w:rPr>
          <w:rFonts w:ascii="Verdana" w:hAnsi="Verdana"/>
          <w:color w:val="000000" w:themeColor="text1"/>
          <w:sz w:val="22"/>
          <w:szCs w:val="22"/>
          <w:shd w:val="clear" w:color="auto" w:fill="FFFFFF"/>
        </w:rPr>
        <w:t xml:space="preserve">del </w:t>
      </w:r>
      <w:r w:rsidR="000B5ACC">
        <w:rPr>
          <w:rFonts w:ascii="Verdana" w:hAnsi="Verdana"/>
          <w:color w:val="000000" w:themeColor="text1"/>
          <w:sz w:val="22"/>
          <w:szCs w:val="22"/>
          <w:shd w:val="clear" w:color="auto" w:fill="FFFFFF"/>
        </w:rPr>
        <w:t>SC</w:t>
      </w:r>
      <w:r w:rsidR="009A438D">
        <w:rPr>
          <w:rFonts w:ascii="Verdana" w:hAnsi="Verdana"/>
          <w:color w:val="000000" w:themeColor="text1"/>
          <w:sz w:val="22"/>
          <w:szCs w:val="22"/>
          <w:shd w:val="clear" w:color="auto" w:fill="FFFFFF"/>
        </w:rPr>
        <w:t xml:space="preserve"> </w:t>
      </w:r>
      <w:r w:rsidRPr="00453291">
        <w:rPr>
          <w:rFonts w:ascii="Verdana" w:hAnsi="Verdana"/>
          <w:color w:val="000000" w:themeColor="text1"/>
          <w:sz w:val="22"/>
          <w:szCs w:val="22"/>
          <w:shd w:val="clear" w:color="auto" w:fill="FFFFFF"/>
        </w:rPr>
        <w:t>se revisará el documento de requisitos y se revisará la pertinencia de definir un Acuerdo</w:t>
      </w:r>
      <w:r w:rsidR="000B5ACC">
        <w:rPr>
          <w:rFonts w:ascii="Verdana" w:hAnsi="Verdana"/>
          <w:color w:val="000000" w:themeColor="text1"/>
          <w:sz w:val="22"/>
          <w:szCs w:val="22"/>
          <w:shd w:val="clear" w:color="auto" w:fill="FFFFFF"/>
        </w:rPr>
        <w:t>,</w:t>
      </w:r>
      <w:r w:rsidRPr="00453291">
        <w:rPr>
          <w:rFonts w:ascii="Verdana" w:hAnsi="Verdana"/>
          <w:color w:val="000000" w:themeColor="text1"/>
          <w:sz w:val="22"/>
          <w:szCs w:val="22"/>
          <w:shd w:val="clear" w:color="auto" w:fill="FFFFFF"/>
        </w:rPr>
        <w:t xml:space="preserve"> que establezca el procedimiento de ajuste, el encargado de hacer</w:t>
      </w:r>
      <w:r w:rsidR="000B5ACC">
        <w:rPr>
          <w:rFonts w:ascii="Verdana" w:hAnsi="Verdana"/>
          <w:color w:val="000000" w:themeColor="text1"/>
          <w:sz w:val="22"/>
          <w:szCs w:val="22"/>
          <w:shd w:val="clear" w:color="auto" w:fill="FFFFFF"/>
        </w:rPr>
        <w:t>lo</w:t>
      </w:r>
      <w:r w:rsidRPr="00453291">
        <w:rPr>
          <w:rFonts w:ascii="Verdana" w:hAnsi="Verdana"/>
          <w:color w:val="000000" w:themeColor="text1"/>
          <w:sz w:val="22"/>
          <w:szCs w:val="22"/>
          <w:shd w:val="clear" w:color="auto" w:fill="FFFFFF"/>
        </w:rPr>
        <w:t xml:space="preserve"> y el cronograma </w:t>
      </w:r>
      <w:r w:rsidR="000B5ACC">
        <w:rPr>
          <w:rFonts w:ascii="Verdana" w:hAnsi="Verdana"/>
          <w:color w:val="000000" w:themeColor="text1"/>
          <w:sz w:val="22"/>
          <w:szCs w:val="22"/>
          <w:shd w:val="clear" w:color="auto" w:fill="FFFFFF"/>
        </w:rPr>
        <w:t xml:space="preserve">de </w:t>
      </w:r>
      <w:r w:rsidR="000B5ACC">
        <w:rPr>
          <w:rFonts w:ascii="Verdana" w:hAnsi="Verdana"/>
          <w:bCs/>
          <w:sz w:val="22"/>
          <w:szCs w:val="22"/>
        </w:rPr>
        <w:t>actividades</w:t>
      </w:r>
      <w:r w:rsidRPr="00453291">
        <w:rPr>
          <w:rFonts w:ascii="Verdana" w:hAnsi="Verdana"/>
          <w:color w:val="000000" w:themeColor="text1"/>
          <w:sz w:val="22"/>
          <w:szCs w:val="22"/>
          <w:shd w:val="clear" w:color="auto" w:fill="FFFFFF"/>
        </w:rPr>
        <w:t>.</w:t>
      </w:r>
    </w:p>
    <w:p w14:paraId="3AC635AE" w14:textId="51FC8892" w:rsidR="006B6E22" w:rsidRDefault="006B6E22" w:rsidP="00992FA4">
      <w:pPr>
        <w:pStyle w:val="Prrafodelista"/>
        <w:ind w:left="360"/>
        <w:jc w:val="both"/>
        <w:rPr>
          <w:rFonts w:ascii="Verdana" w:hAnsi="Verdana"/>
          <w:bCs/>
          <w:sz w:val="22"/>
          <w:szCs w:val="22"/>
        </w:rPr>
      </w:pPr>
    </w:p>
    <w:p w14:paraId="3D626100" w14:textId="2B00AF3B" w:rsidR="009916DC" w:rsidRDefault="00816E8F" w:rsidP="002B752C">
      <w:pPr>
        <w:pStyle w:val="Prrafodelista"/>
        <w:numPr>
          <w:ilvl w:val="0"/>
          <w:numId w:val="4"/>
        </w:numPr>
        <w:jc w:val="both"/>
        <w:rPr>
          <w:rFonts w:ascii="Verdana" w:hAnsi="Verdana"/>
          <w:bCs/>
          <w:sz w:val="22"/>
          <w:szCs w:val="22"/>
        </w:rPr>
      </w:pPr>
      <w:r>
        <w:rPr>
          <w:rFonts w:ascii="Verdana" w:hAnsi="Verdana"/>
          <w:bCs/>
          <w:sz w:val="22"/>
          <w:szCs w:val="22"/>
        </w:rPr>
        <w:t>La CREG expidió para observaciones hasta el 22 de enero de 2021</w:t>
      </w:r>
      <w:r w:rsidR="009916DC">
        <w:rPr>
          <w:rFonts w:ascii="Verdana" w:hAnsi="Verdana"/>
          <w:bCs/>
          <w:sz w:val="22"/>
          <w:szCs w:val="22"/>
        </w:rPr>
        <w:t>,</w:t>
      </w:r>
      <w:r>
        <w:rPr>
          <w:rFonts w:ascii="Verdana" w:hAnsi="Verdana"/>
          <w:bCs/>
          <w:sz w:val="22"/>
          <w:szCs w:val="22"/>
        </w:rPr>
        <w:t xml:space="preserve"> la </w:t>
      </w:r>
      <w:r w:rsidR="002B752C">
        <w:rPr>
          <w:rFonts w:ascii="Verdana" w:hAnsi="Verdana"/>
          <w:bCs/>
          <w:sz w:val="22"/>
          <w:szCs w:val="22"/>
        </w:rPr>
        <w:t>Resolución CREG 233</w:t>
      </w:r>
      <w:r>
        <w:rPr>
          <w:rFonts w:ascii="Verdana" w:hAnsi="Verdana"/>
          <w:bCs/>
          <w:sz w:val="22"/>
          <w:szCs w:val="22"/>
        </w:rPr>
        <w:t xml:space="preserve"> de 2020, “</w:t>
      </w:r>
      <w:r w:rsidRPr="002E158A">
        <w:rPr>
          <w:rFonts w:ascii="Verdana" w:hAnsi="Verdana"/>
          <w:bCs/>
          <w:i/>
          <w:iCs/>
          <w:sz w:val="22"/>
          <w:szCs w:val="22"/>
        </w:rPr>
        <w:t>por la cual se ordena hacer público un proyecto de resolución</w:t>
      </w:r>
      <w:r>
        <w:rPr>
          <w:rFonts w:ascii="Verdana" w:hAnsi="Verdana"/>
          <w:bCs/>
          <w:i/>
          <w:iCs/>
          <w:sz w:val="22"/>
          <w:szCs w:val="22"/>
        </w:rPr>
        <w:t>-</w:t>
      </w:r>
      <w:r w:rsidRPr="002E158A">
        <w:rPr>
          <w:rFonts w:ascii="Verdana" w:hAnsi="Verdana"/>
          <w:bCs/>
          <w:i/>
          <w:iCs/>
          <w:sz w:val="22"/>
          <w:szCs w:val="22"/>
        </w:rPr>
        <w:t>Disposiciones y procedimientos para la asignación de capacidad de transporte en el Sistema Interconectado Nacional</w:t>
      </w:r>
      <w:r>
        <w:rPr>
          <w:rFonts w:ascii="Verdana" w:hAnsi="Verdana"/>
          <w:bCs/>
          <w:i/>
          <w:iCs/>
          <w:sz w:val="22"/>
          <w:szCs w:val="22"/>
        </w:rPr>
        <w:t>-</w:t>
      </w:r>
      <w:r>
        <w:rPr>
          <w:rFonts w:ascii="Verdana" w:hAnsi="Verdana"/>
          <w:bCs/>
          <w:sz w:val="22"/>
          <w:szCs w:val="22"/>
        </w:rPr>
        <w:t xml:space="preserve">”. En ella la Comisión plantea un ajuste a los procedimientos contenidos en la Resolución CREG 106 de 2006 para la asignación de puntos de conexión, define nuevas reglas y requisitos según el tipo y clase de solicitud, plantea una ventanilla única para la revisión de </w:t>
      </w:r>
      <w:r w:rsidR="009916DC">
        <w:rPr>
          <w:rFonts w:ascii="Verdana" w:hAnsi="Verdana"/>
          <w:bCs/>
          <w:sz w:val="22"/>
          <w:szCs w:val="22"/>
        </w:rPr>
        <w:t>los estudios de conexión, ajusta algunas disposiciones en materia de garantías, contratos de conexión y conexión profunda, al igual que planea una transición para acogerse a dicha Resolución.</w:t>
      </w:r>
    </w:p>
    <w:p w14:paraId="07F1FE6A" w14:textId="77777777" w:rsidR="009916DC" w:rsidRDefault="009916DC" w:rsidP="009916DC">
      <w:pPr>
        <w:pStyle w:val="Prrafodelista"/>
        <w:ind w:left="360"/>
        <w:jc w:val="both"/>
        <w:rPr>
          <w:rFonts w:ascii="Verdana" w:hAnsi="Verdana"/>
          <w:bCs/>
          <w:sz w:val="22"/>
          <w:szCs w:val="22"/>
        </w:rPr>
      </w:pPr>
    </w:p>
    <w:p w14:paraId="44947EDB" w14:textId="75B03307" w:rsidR="00F96332" w:rsidRDefault="009916DC" w:rsidP="00F96332">
      <w:pPr>
        <w:pStyle w:val="Prrafodelista"/>
        <w:ind w:left="360"/>
        <w:jc w:val="both"/>
        <w:rPr>
          <w:rFonts w:ascii="Verdana" w:hAnsi="Verdana"/>
          <w:bCs/>
          <w:sz w:val="22"/>
          <w:szCs w:val="22"/>
        </w:rPr>
      </w:pPr>
      <w:r>
        <w:rPr>
          <w:rFonts w:ascii="Verdana" w:hAnsi="Verdana"/>
          <w:bCs/>
          <w:sz w:val="22"/>
          <w:szCs w:val="22"/>
        </w:rPr>
        <w:t xml:space="preserve">Teniendo en cuenta la importancia de este proyecto normativo, </w:t>
      </w:r>
      <w:r w:rsidR="00743456">
        <w:rPr>
          <w:rFonts w:ascii="Verdana" w:hAnsi="Verdana"/>
          <w:bCs/>
          <w:sz w:val="22"/>
          <w:szCs w:val="22"/>
        </w:rPr>
        <w:t xml:space="preserve">se </w:t>
      </w:r>
      <w:r>
        <w:rPr>
          <w:rFonts w:ascii="Verdana" w:hAnsi="Verdana"/>
          <w:bCs/>
          <w:sz w:val="22"/>
          <w:szCs w:val="22"/>
        </w:rPr>
        <w:t xml:space="preserve">sugiere conformar un grupo de trabajo de los Comités de Transmisión y Distribución, para hacer los comentarios </w:t>
      </w:r>
      <w:r w:rsidR="00F96332">
        <w:rPr>
          <w:rFonts w:ascii="Verdana" w:hAnsi="Verdana"/>
          <w:bCs/>
          <w:sz w:val="22"/>
          <w:szCs w:val="22"/>
        </w:rPr>
        <w:t>respectivos.</w:t>
      </w:r>
    </w:p>
    <w:p w14:paraId="7FA1E5CE" w14:textId="00F9FF42" w:rsidR="00F96332" w:rsidRDefault="00F96332" w:rsidP="00F96332">
      <w:pPr>
        <w:pStyle w:val="Prrafodelista"/>
        <w:ind w:left="360"/>
        <w:jc w:val="both"/>
        <w:rPr>
          <w:rFonts w:ascii="Verdana" w:hAnsi="Verdana"/>
          <w:bCs/>
          <w:sz w:val="22"/>
          <w:szCs w:val="22"/>
        </w:rPr>
      </w:pPr>
    </w:p>
    <w:p w14:paraId="687027BB" w14:textId="77777777" w:rsidR="002B752C" w:rsidRPr="00C11B6A" w:rsidRDefault="002B752C" w:rsidP="002E158A">
      <w:pPr>
        <w:pStyle w:val="Prrafodelista"/>
        <w:ind w:left="360"/>
        <w:jc w:val="both"/>
        <w:rPr>
          <w:rFonts w:ascii="Verdana" w:hAnsi="Verdana"/>
          <w:bCs/>
          <w:sz w:val="22"/>
          <w:szCs w:val="22"/>
        </w:rPr>
      </w:pPr>
    </w:p>
    <w:p w14:paraId="08DAB701" w14:textId="77777777" w:rsidR="00B2419B" w:rsidRPr="00C11B6A" w:rsidRDefault="00B2419B" w:rsidP="00C11B6A">
      <w:pPr>
        <w:pStyle w:val="Prrafodelista"/>
        <w:rPr>
          <w:rFonts w:ascii="Verdana" w:hAnsi="Verdana"/>
          <w:bCs/>
          <w:sz w:val="22"/>
          <w:szCs w:val="22"/>
        </w:rPr>
      </w:pPr>
    </w:p>
    <w:p w14:paraId="0A6D6A2A" w14:textId="74EDA0C2" w:rsidR="00A91586" w:rsidRDefault="00A91586" w:rsidP="00A91586">
      <w:pPr>
        <w:jc w:val="both"/>
        <w:rPr>
          <w:rFonts w:ascii="Verdana" w:hAnsi="Verdana"/>
          <w:color w:val="000000" w:themeColor="text1"/>
          <w:sz w:val="22"/>
          <w:szCs w:val="22"/>
        </w:rPr>
      </w:pPr>
    </w:p>
    <w:p w14:paraId="5B3D19F4" w14:textId="77777777" w:rsidR="00A91586" w:rsidRPr="00A91586" w:rsidRDefault="00A91586" w:rsidP="00A91586">
      <w:pPr>
        <w:jc w:val="both"/>
        <w:rPr>
          <w:rFonts w:ascii="Verdana" w:hAnsi="Verdana"/>
          <w:color w:val="000000" w:themeColor="text1"/>
          <w:sz w:val="22"/>
          <w:szCs w:val="22"/>
        </w:rPr>
      </w:pPr>
    </w:p>
    <w:p w14:paraId="00596B79" w14:textId="017CA4A1" w:rsidR="00003D40" w:rsidRDefault="00003D40" w:rsidP="00003D40">
      <w:pPr>
        <w:pStyle w:val="Prrafodelista"/>
        <w:ind w:left="720"/>
        <w:jc w:val="both"/>
        <w:rPr>
          <w:rFonts w:ascii="Verdana" w:hAnsi="Verdana"/>
          <w:color w:val="000000" w:themeColor="text1"/>
          <w:sz w:val="22"/>
          <w:szCs w:val="22"/>
        </w:rPr>
      </w:pPr>
    </w:p>
    <w:p w14:paraId="403C2F48" w14:textId="5FEEA5C3" w:rsidR="00826338" w:rsidRDefault="00826338" w:rsidP="00826338">
      <w:pPr>
        <w:pStyle w:val="Prrafodelista"/>
        <w:ind w:left="720"/>
        <w:jc w:val="both"/>
        <w:rPr>
          <w:rFonts w:ascii="Verdana" w:hAnsi="Verdana"/>
          <w:bCs/>
          <w:sz w:val="22"/>
          <w:szCs w:val="22"/>
        </w:rPr>
      </w:pPr>
    </w:p>
    <w:p w14:paraId="05182908" w14:textId="0F8D7131" w:rsidR="00820DF3" w:rsidRPr="005976AD" w:rsidRDefault="00826338" w:rsidP="00826338">
      <w:pPr>
        <w:pStyle w:val="Prrafodelista"/>
        <w:ind w:left="720"/>
        <w:jc w:val="both"/>
        <w:rPr>
          <w:rFonts w:ascii="Verdana" w:hAnsi="Verdana"/>
          <w:bCs/>
          <w:sz w:val="22"/>
          <w:szCs w:val="22"/>
        </w:rPr>
      </w:pPr>
      <w:r>
        <w:rPr>
          <w:rFonts w:ascii="Verdana" w:hAnsi="Verdana"/>
          <w:bCs/>
          <w:sz w:val="22"/>
          <w:szCs w:val="22"/>
        </w:rPr>
        <w:t xml:space="preserve"> </w:t>
      </w:r>
      <w:r w:rsidR="005D2E4A">
        <w:rPr>
          <w:rFonts w:ascii="Verdana" w:hAnsi="Verdana"/>
          <w:bCs/>
          <w:sz w:val="22"/>
          <w:szCs w:val="22"/>
        </w:rPr>
        <w:t xml:space="preserve"> </w:t>
      </w:r>
      <w:r w:rsidR="00BC2A2E">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09D5C" w14:textId="77777777" w:rsidR="00B26EAB" w:rsidRDefault="00B26EAB">
      <w:r>
        <w:separator/>
      </w:r>
    </w:p>
  </w:endnote>
  <w:endnote w:type="continuationSeparator" w:id="0">
    <w:p w14:paraId="2DDE5C27" w14:textId="77777777" w:rsidR="00B26EAB" w:rsidRDefault="00B2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0D5A8258" w:rsidR="00EC2154" w:rsidRPr="00AE4128" w:rsidRDefault="00EC2154">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w:t>
    </w:r>
    <w:r>
      <w:rPr>
        <w:rFonts w:ascii="Verdana" w:eastAsia="Verdana" w:hAnsi="Verdana" w:cs="Verdana"/>
        <w:color w:val="000000"/>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6291" w14:textId="77777777" w:rsidR="00B26EAB" w:rsidRDefault="00B26EAB">
      <w:r>
        <w:separator/>
      </w:r>
    </w:p>
  </w:footnote>
  <w:footnote w:type="continuationSeparator" w:id="0">
    <w:p w14:paraId="73C59405" w14:textId="77777777" w:rsidR="00B26EAB" w:rsidRDefault="00B2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EC2154" w:rsidRDefault="00EC2154">
    <w:pPr>
      <w:pBdr>
        <w:top w:val="nil"/>
        <w:left w:val="nil"/>
        <w:bottom w:val="nil"/>
        <w:right w:val="nil"/>
        <w:between w:val="nil"/>
      </w:pBdr>
      <w:tabs>
        <w:tab w:val="center" w:pos="4419"/>
        <w:tab w:val="left" w:pos="7180"/>
      </w:tabs>
      <w:rPr>
        <w:b/>
        <w:color w:val="000000"/>
        <w:sz w:val="40"/>
        <w:szCs w:val="40"/>
      </w:rPr>
    </w:pPr>
  </w:p>
  <w:p w14:paraId="35C99D28" w14:textId="77777777" w:rsidR="00EC2154" w:rsidRDefault="00EC2154">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E4F"/>
    <w:multiLevelType w:val="hybridMultilevel"/>
    <w:tmpl w:val="642413E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EE56FC5"/>
    <w:multiLevelType w:val="hybridMultilevel"/>
    <w:tmpl w:val="727440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F93B62"/>
    <w:multiLevelType w:val="hybridMultilevel"/>
    <w:tmpl w:val="50A42B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3A35CB4"/>
    <w:multiLevelType w:val="hybridMultilevel"/>
    <w:tmpl w:val="683077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441404A"/>
    <w:multiLevelType w:val="hybridMultilevel"/>
    <w:tmpl w:val="00E223BE"/>
    <w:lvl w:ilvl="0" w:tplc="28FEFC8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0"/>
  </w:num>
  <w:num w:numId="4">
    <w:abstractNumId w:val="2"/>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25BE"/>
    <w:rsid w:val="00003D40"/>
    <w:rsid w:val="00006C18"/>
    <w:rsid w:val="00007307"/>
    <w:rsid w:val="00014A98"/>
    <w:rsid w:val="00016F5E"/>
    <w:rsid w:val="00020762"/>
    <w:rsid w:val="0002100F"/>
    <w:rsid w:val="000218D9"/>
    <w:rsid w:val="00024171"/>
    <w:rsid w:val="00024740"/>
    <w:rsid w:val="00034F05"/>
    <w:rsid w:val="00037547"/>
    <w:rsid w:val="000378FB"/>
    <w:rsid w:val="0004076A"/>
    <w:rsid w:val="00040CA2"/>
    <w:rsid w:val="0004170E"/>
    <w:rsid w:val="00050144"/>
    <w:rsid w:val="000507CA"/>
    <w:rsid w:val="00051257"/>
    <w:rsid w:val="00051482"/>
    <w:rsid w:val="00052450"/>
    <w:rsid w:val="00072642"/>
    <w:rsid w:val="00072CB8"/>
    <w:rsid w:val="00072CFB"/>
    <w:rsid w:val="00072D7C"/>
    <w:rsid w:val="000742F8"/>
    <w:rsid w:val="00075B3F"/>
    <w:rsid w:val="00076B3C"/>
    <w:rsid w:val="00080889"/>
    <w:rsid w:val="0008210D"/>
    <w:rsid w:val="0008226B"/>
    <w:rsid w:val="00084002"/>
    <w:rsid w:val="0008742F"/>
    <w:rsid w:val="00092041"/>
    <w:rsid w:val="000932B7"/>
    <w:rsid w:val="000958F0"/>
    <w:rsid w:val="00097077"/>
    <w:rsid w:val="000970DA"/>
    <w:rsid w:val="000A2032"/>
    <w:rsid w:val="000A27B6"/>
    <w:rsid w:val="000A2B0C"/>
    <w:rsid w:val="000A2C2A"/>
    <w:rsid w:val="000A459F"/>
    <w:rsid w:val="000B039D"/>
    <w:rsid w:val="000B5ACC"/>
    <w:rsid w:val="000C0190"/>
    <w:rsid w:val="000C2ED4"/>
    <w:rsid w:val="000C35D9"/>
    <w:rsid w:val="000C5A39"/>
    <w:rsid w:val="000D0278"/>
    <w:rsid w:val="000D0FE5"/>
    <w:rsid w:val="000D12E1"/>
    <w:rsid w:val="000D2F11"/>
    <w:rsid w:val="000D5E88"/>
    <w:rsid w:val="000E24EB"/>
    <w:rsid w:val="000E64C4"/>
    <w:rsid w:val="000F099A"/>
    <w:rsid w:val="000F403F"/>
    <w:rsid w:val="000F525F"/>
    <w:rsid w:val="000F7AB8"/>
    <w:rsid w:val="000F7D73"/>
    <w:rsid w:val="00106E1D"/>
    <w:rsid w:val="001113E5"/>
    <w:rsid w:val="001116E9"/>
    <w:rsid w:val="0011288E"/>
    <w:rsid w:val="00112C06"/>
    <w:rsid w:val="001208BF"/>
    <w:rsid w:val="00122CB9"/>
    <w:rsid w:val="0012350D"/>
    <w:rsid w:val="00123AA8"/>
    <w:rsid w:val="00124416"/>
    <w:rsid w:val="001313A0"/>
    <w:rsid w:val="0013508F"/>
    <w:rsid w:val="001375A7"/>
    <w:rsid w:val="00137792"/>
    <w:rsid w:val="00137C47"/>
    <w:rsid w:val="0014233E"/>
    <w:rsid w:val="001427A3"/>
    <w:rsid w:val="00142CB9"/>
    <w:rsid w:val="0014580B"/>
    <w:rsid w:val="00150974"/>
    <w:rsid w:val="00157CBD"/>
    <w:rsid w:val="00164CCA"/>
    <w:rsid w:val="00171D43"/>
    <w:rsid w:val="00175A38"/>
    <w:rsid w:val="00184F68"/>
    <w:rsid w:val="00184F80"/>
    <w:rsid w:val="00185CE1"/>
    <w:rsid w:val="001939BB"/>
    <w:rsid w:val="00194C37"/>
    <w:rsid w:val="0019552B"/>
    <w:rsid w:val="001A59B0"/>
    <w:rsid w:val="001B0466"/>
    <w:rsid w:val="001B2AC6"/>
    <w:rsid w:val="001B36E2"/>
    <w:rsid w:val="001B528C"/>
    <w:rsid w:val="001B5848"/>
    <w:rsid w:val="001B655C"/>
    <w:rsid w:val="001B6888"/>
    <w:rsid w:val="001C10B9"/>
    <w:rsid w:val="001C2C40"/>
    <w:rsid w:val="001C2F67"/>
    <w:rsid w:val="001C4065"/>
    <w:rsid w:val="001C486F"/>
    <w:rsid w:val="001C4A97"/>
    <w:rsid w:val="001C50E6"/>
    <w:rsid w:val="001C7636"/>
    <w:rsid w:val="001D01B2"/>
    <w:rsid w:val="001D02E0"/>
    <w:rsid w:val="001D1DF8"/>
    <w:rsid w:val="001D21E7"/>
    <w:rsid w:val="001D3366"/>
    <w:rsid w:val="001E36F0"/>
    <w:rsid w:val="001E75B0"/>
    <w:rsid w:val="001F0127"/>
    <w:rsid w:val="001F2A0A"/>
    <w:rsid w:val="001F2DDB"/>
    <w:rsid w:val="001F7F53"/>
    <w:rsid w:val="0020013A"/>
    <w:rsid w:val="00200562"/>
    <w:rsid w:val="002013FA"/>
    <w:rsid w:val="00201D31"/>
    <w:rsid w:val="00203036"/>
    <w:rsid w:val="002049AE"/>
    <w:rsid w:val="0020536E"/>
    <w:rsid w:val="0020693D"/>
    <w:rsid w:val="0021167D"/>
    <w:rsid w:val="00213180"/>
    <w:rsid w:val="002137B2"/>
    <w:rsid w:val="002157DF"/>
    <w:rsid w:val="00217887"/>
    <w:rsid w:val="002200A0"/>
    <w:rsid w:val="002200AB"/>
    <w:rsid w:val="00220CFF"/>
    <w:rsid w:val="0022132E"/>
    <w:rsid w:val="0022257E"/>
    <w:rsid w:val="00223CA5"/>
    <w:rsid w:val="00225B17"/>
    <w:rsid w:val="00225D8B"/>
    <w:rsid w:val="0023663C"/>
    <w:rsid w:val="002446A7"/>
    <w:rsid w:val="00246608"/>
    <w:rsid w:val="0025017B"/>
    <w:rsid w:val="0025028F"/>
    <w:rsid w:val="0025096A"/>
    <w:rsid w:val="00251A8B"/>
    <w:rsid w:val="002537BC"/>
    <w:rsid w:val="00256FEC"/>
    <w:rsid w:val="00257C13"/>
    <w:rsid w:val="002600C9"/>
    <w:rsid w:val="00260892"/>
    <w:rsid w:val="0026220B"/>
    <w:rsid w:val="00262AAF"/>
    <w:rsid w:val="0026412D"/>
    <w:rsid w:val="002651C8"/>
    <w:rsid w:val="002655EC"/>
    <w:rsid w:val="00267C1D"/>
    <w:rsid w:val="002703C3"/>
    <w:rsid w:val="00273423"/>
    <w:rsid w:val="00275415"/>
    <w:rsid w:val="002758D8"/>
    <w:rsid w:val="00280F9A"/>
    <w:rsid w:val="00282C44"/>
    <w:rsid w:val="002906DE"/>
    <w:rsid w:val="002925D2"/>
    <w:rsid w:val="00292DBE"/>
    <w:rsid w:val="00297358"/>
    <w:rsid w:val="002A139B"/>
    <w:rsid w:val="002A3149"/>
    <w:rsid w:val="002A3FDD"/>
    <w:rsid w:val="002A4CED"/>
    <w:rsid w:val="002B0B29"/>
    <w:rsid w:val="002B4A9E"/>
    <w:rsid w:val="002B752C"/>
    <w:rsid w:val="002C20FC"/>
    <w:rsid w:val="002C23F3"/>
    <w:rsid w:val="002C4C15"/>
    <w:rsid w:val="002C55F3"/>
    <w:rsid w:val="002C66AB"/>
    <w:rsid w:val="002D2FD6"/>
    <w:rsid w:val="002D2FEC"/>
    <w:rsid w:val="002D5B71"/>
    <w:rsid w:val="002E158A"/>
    <w:rsid w:val="002E67EE"/>
    <w:rsid w:val="002F48AD"/>
    <w:rsid w:val="002F6519"/>
    <w:rsid w:val="00303520"/>
    <w:rsid w:val="00305BB3"/>
    <w:rsid w:val="00307A0C"/>
    <w:rsid w:val="0031268D"/>
    <w:rsid w:val="00313043"/>
    <w:rsid w:val="00314DA5"/>
    <w:rsid w:val="00314FC9"/>
    <w:rsid w:val="00315216"/>
    <w:rsid w:val="00316206"/>
    <w:rsid w:val="00316A82"/>
    <w:rsid w:val="003202B4"/>
    <w:rsid w:val="00321268"/>
    <w:rsid w:val="00321A94"/>
    <w:rsid w:val="00322A99"/>
    <w:rsid w:val="00323968"/>
    <w:rsid w:val="00326F04"/>
    <w:rsid w:val="00327EE9"/>
    <w:rsid w:val="00332075"/>
    <w:rsid w:val="00335915"/>
    <w:rsid w:val="00340C3C"/>
    <w:rsid w:val="0034727B"/>
    <w:rsid w:val="00350364"/>
    <w:rsid w:val="00355717"/>
    <w:rsid w:val="003561F1"/>
    <w:rsid w:val="003611EF"/>
    <w:rsid w:val="0036314B"/>
    <w:rsid w:val="003639CF"/>
    <w:rsid w:val="00366091"/>
    <w:rsid w:val="003740A7"/>
    <w:rsid w:val="00374CCA"/>
    <w:rsid w:val="00375F83"/>
    <w:rsid w:val="00381BE0"/>
    <w:rsid w:val="00384434"/>
    <w:rsid w:val="003853A2"/>
    <w:rsid w:val="0038624D"/>
    <w:rsid w:val="00387DDA"/>
    <w:rsid w:val="0039082B"/>
    <w:rsid w:val="00394C9F"/>
    <w:rsid w:val="0039784B"/>
    <w:rsid w:val="003A0094"/>
    <w:rsid w:val="003A093D"/>
    <w:rsid w:val="003A1E1F"/>
    <w:rsid w:val="003A7EEB"/>
    <w:rsid w:val="003B499D"/>
    <w:rsid w:val="003B4ED7"/>
    <w:rsid w:val="003B759E"/>
    <w:rsid w:val="003B7E66"/>
    <w:rsid w:val="003C3859"/>
    <w:rsid w:val="003C70F6"/>
    <w:rsid w:val="003D234B"/>
    <w:rsid w:val="003D61F5"/>
    <w:rsid w:val="003D7626"/>
    <w:rsid w:val="003E0186"/>
    <w:rsid w:val="003E0243"/>
    <w:rsid w:val="003E2065"/>
    <w:rsid w:val="003E2D64"/>
    <w:rsid w:val="003E7004"/>
    <w:rsid w:val="003F28E4"/>
    <w:rsid w:val="003F5C6F"/>
    <w:rsid w:val="003F5C95"/>
    <w:rsid w:val="003F7758"/>
    <w:rsid w:val="0040158E"/>
    <w:rsid w:val="004020EB"/>
    <w:rsid w:val="00402555"/>
    <w:rsid w:val="00405022"/>
    <w:rsid w:val="0041139D"/>
    <w:rsid w:val="00412969"/>
    <w:rsid w:val="00412FC8"/>
    <w:rsid w:val="00414024"/>
    <w:rsid w:val="00414DDF"/>
    <w:rsid w:val="004156BC"/>
    <w:rsid w:val="00416C5F"/>
    <w:rsid w:val="00421ABA"/>
    <w:rsid w:val="0043199B"/>
    <w:rsid w:val="0044159B"/>
    <w:rsid w:val="004418FE"/>
    <w:rsid w:val="00442F08"/>
    <w:rsid w:val="004475E8"/>
    <w:rsid w:val="00450862"/>
    <w:rsid w:val="00453291"/>
    <w:rsid w:val="004548C0"/>
    <w:rsid w:val="00460EAE"/>
    <w:rsid w:val="00462EA8"/>
    <w:rsid w:val="004637E1"/>
    <w:rsid w:val="004652A1"/>
    <w:rsid w:val="00466B8F"/>
    <w:rsid w:val="00466C32"/>
    <w:rsid w:val="0046776D"/>
    <w:rsid w:val="00470C3C"/>
    <w:rsid w:val="00470CA8"/>
    <w:rsid w:val="004712E3"/>
    <w:rsid w:val="00473DC0"/>
    <w:rsid w:val="0048478B"/>
    <w:rsid w:val="0048656D"/>
    <w:rsid w:val="00486CC1"/>
    <w:rsid w:val="0049230B"/>
    <w:rsid w:val="00493ACF"/>
    <w:rsid w:val="00495975"/>
    <w:rsid w:val="004A0280"/>
    <w:rsid w:val="004A73EE"/>
    <w:rsid w:val="004B0855"/>
    <w:rsid w:val="004B2286"/>
    <w:rsid w:val="004B2B5D"/>
    <w:rsid w:val="004B3AB5"/>
    <w:rsid w:val="004C0B9B"/>
    <w:rsid w:val="004C251A"/>
    <w:rsid w:val="004C362E"/>
    <w:rsid w:val="004C3E57"/>
    <w:rsid w:val="004C4342"/>
    <w:rsid w:val="004C6147"/>
    <w:rsid w:val="004D046F"/>
    <w:rsid w:val="004D36EE"/>
    <w:rsid w:val="004D6E62"/>
    <w:rsid w:val="004E3D43"/>
    <w:rsid w:val="004E5458"/>
    <w:rsid w:val="004F2C9B"/>
    <w:rsid w:val="004F31D7"/>
    <w:rsid w:val="004F4733"/>
    <w:rsid w:val="00500734"/>
    <w:rsid w:val="00506CC8"/>
    <w:rsid w:val="00511962"/>
    <w:rsid w:val="00512257"/>
    <w:rsid w:val="0051616B"/>
    <w:rsid w:val="00520F8F"/>
    <w:rsid w:val="00522087"/>
    <w:rsid w:val="00522E99"/>
    <w:rsid w:val="005245FA"/>
    <w:rsid w:val="00524F3C"/>
    <w:rsid w:val="00530852"/>
    <w:rsid w:val="00530A9F"/>
    <w:rsid w:val="00540587"/>
    <w:rsid w:val="00544684"/>
    <w:rsid w:val="005452DF"/>
    <w:rsid w:val="005529E6"/>
    <w:rsid w:val="0055398A"/>
    <w:rsid w:val="00555CD5"/>
    <w:rsid w:val="00555D67"/>
    <w:rsid w:val="00556094"/>
    <w:rsid w:val="00561CF0"/>
    <w:rsid w:val="0056565F"/>
    <w:rsid w:val="005662C5"/>
    <w:rsid w:val="00566CD8"/>
    <w:rsid w:val="005675E9"/>
    <w:rsid w:val="0057254E"/>
    <w:rsid w:val="00572EFD"/>
    <w:rsid w:val="005742F0"/>
    <w:rsid w:val="005771B0"/>
    <w:rsid w:val="00580C49"/>
    <w:rsid w:val="005814CA"/>
    <w:rsid w:val="005817B8"/>
    <w:rsid w:val="0058226B"/>
    <w:rsid w:val="00583D82"/>
    <w:rsid w:val="00587626"/>
    <w:rsid w:val="00592780"/>
    <w:rsid w:val="00595B59"/>
    <w:rsid w:val="005976AD"/>
    <w:rsid w:val="005B3CAD"/>
    <w:rsid w:val="005B53E6"/>
    <w:rsid w:val="005B7807"/>
    <w:rsid w:val="005C379E"/>
    <w:rsid w:val="005C75B2"/>
    <w:rsid w:val="005D0B2D"/>
    <w:rsid w:val="005D2E4A"/>
    <w:rsid w:val="005D37C7"/>
    <w:rsid w:val="005D48D3"/>
    <w:rsid w:val="005D6282"/>
    <w:rsid w:val="005D687A"/>
    <w:rsid w:val="005D73FD"/>
    <w:rsid w:val="005D7C4C"/>
    <w:rsid w:val="005E1CE1"/>
    <w:rsid w:val="005E3522"/>
    <w:rsid w:val="005E3BC6"/>
    <w:rsid w:val="005E5BED"/>
    <w:rsid w:val="005E70DF"/>
    <w:rsid w:val="005E7B46"/>
    <w:rsid w:val="005F359D"/>
    <w:rsid w:val="005F56D1"/>
    <w:rsid w:val="00600502"/>
    <w:rsid w:val="0060078E"/>
    <w:rsid w:val="00601157"/>
    <w:rsid w:val="00601AF6"/>
    <w:rsid w:val="00605D71"/>
    <w:rsid w:val="00607A6C"/>
    <w:rsid w:val="00611156"/>
    <w:rsid w:val="00611338"/>
    <w:rsid w:val="00612225"/>
    <w:rsid w:val="00614F89"/>
    <w:rsid w:val="006152C2"/>
    <w:rsid w:val="00626891"/>
    <w:rsid w:val="006308DA"/>
    <w:rsid w:val="00631932"/>
    <w:rsid w:val="0064007B"/>
    <w:rsid w:val="00643788"/>
    <w:rsid w:val="006469F4"/>
    <w:rsid w:val="00647489"/>
    <w:rsid w:val="00650D27"/>
    <w:rsid w:val="00660087"/>
    <w:rsid w:val="006644DF"/>
    <w:rsid w:val="00664BF7"/>
    <w:rsid w:val="00665C00"/>
    <w:rsid w:val="00671A32"/>
    <w:rsid w:val="0067256F"/>
    <w:rsid w:val="0067477E"/>
    <w:rsid w:val="0067485E"/>
    <w:rsid w:val="0067737C"/>
    <w:rsid w:val="00680231"/>
    <w:rsid w:val="006810C0"/>
    <w:rsid w:val="00683179"/>
    <w:rsid w:val="006834DB"/>
    <w:rsid w:val="006915E5"/>
    <w:rsid w:val="006936DC"/>
    <w:rsid w:val="006957C6"/>
    <w:rsid w:val="00697E7A"/>
    <w:rsid w:val="006A41B8"/>
    <w:rsid w:val="006A69FE"/>
    <w:rsid w:val="006B20B8"/>
    <w:rsid w:val="006B3684"/>
    <w:rsid w:val="006B36C7"/>
    <w:rsid w:val="006B4F86"/>
    <w:rsid w:val="006B580F"/>
    <w:rsid w:val="006B6E22"/>
    <w:rsid w:val="006C0492"/>
    <w:rsid w:val="006C10C3"/>
    <w:rsid w:val="006C505E"/>
    <w:rsid w:val="006D363D"/>
    <w:rsid w:val="006D3835"/>
    <w:rsid w:val="006D554C"/>
    <w:rsid w:val="006D63B8"/>
    <w:rsid w:val="006D6954"/>
    <w:rsid w:val="006D7F4F"/>
    <w:rsid w:val="006E2A9D"/>
    <w:rsid w:val="006E56A5"/>
    <w:rsid w:val="006F0F5E"/>
    <w:rsid w:val="006F4547"/>
    <w:rsid w:val="006F461C"/>
    <w:rsid w:val="00701B04"/>
    <w:rsid w:val="00702C1E"/>
    <w:rsid w:val="00711503"/>
    <w:rsid w:val="007150B1"/>
    <w:rsid w:val="007152A7"/>
    <w:rsid w:val="0071532A"/>
    <w:rsid w:val="0071693F"/>
    <w:rsid w:val="00716AC9"/>
    <w:rsid w:val="00720EA5"/>
    <w:rsid w:val="007235DD"/>
    <w:rsid w:val="00723CA5"/>
    <w:rsid w:val="00723FDC"/>
    <w:rsid w:val="00724A47"/>
    <w:rsid w:val="00726CB9"/>
    <w:rsid w:val="00727C2C"/>
    <w:rsid w:val="007342DB"/>
    <w:rsid w:val="0073501C"/>
    <w:rsid w:val="00735928"/>
    <w:rsid w:val="00737211"/>
    <w:rsid w:val="00743456"/>
    <w:rsid w:val="007439BF"/>
    <w:rsid w:val="00751956"/>
    <w:rsid w:val="007550AA"/>
    <w:rsid w:val="00765481"/>
    <w:rsid w:val="00765EF4"/>
    <w:rsid w:val="00767508"/>
    <w:rsid w:val="0078188C"/>
    <w:rsid w:val="0078212B"/>
    <w:rsid w:val="00782CC8"/>
    <w:rsid w:val="00783292"/>
    <w:rsid w:val="0078364C"/>
    <w:rsid w:val="007849E0"/>
    <w:rsid w:val="0078530C"/>
    <w:rsid w:val="007854B7"/>
    <w:rsid w:val="007864B2"/>
    <w:rsid w:val="007908A2"/>
    <w:rsid w:val="00790902"/>
    <w:rsid w:val="00790928"/>
    <w:rsid w:val="00795BD1"/>
    <w:rsid w:val="007A0ABB"/>
    <w:rsid w:val="007A0C35"/>
    <w:rsid w:val="007A1A0B"/>
    <w:rsid w:val="007A36DD"/>
    <w:rsid w:val="007A40B0"/>
    <w:rsid w:val="007A77AF"/>
    <w:rsid w:val="007A78F9"/>
    <w:rsid w:val="007B21B9"/>
    <w:rsid w:val="007B6024"/>
    <w:rsid w:val="007B6C13"/>
    <w:rsid w:val="007B763B"/>
    <w:rsid w:val="007C279E"/>
    <w:rsid w:val="007C2C4B"/>
    <w:rsid w:val="007C4EA0"/>
    <w:rsid w:val="007C5635"/>
    <w:rsid w:val="007C6E0F"/>
    <w:rsid w:val="007D0A41"/>
    <w:rsid w:val="007D7F79"/>
    <w:rsid w:val="007F2F35"/>
    <w:rsid w:val="007F56F2"/>
    <w:rsid w:val="007F605E"/>
    <w:rsid w:val="007F640A"/>
    <w:rsid w:val="007F65BB"/>
    <w:rsid w:val="007F76E8"/>
    <w:rsid w:val="0080295F"/>
    <w:rsid w:val="0081003D"/>
    <w:rsid w:val="00811C44"/>
    <w:rsid w:val="00811D95"/>
    <w:rsid w:val="00811F60"/>
    <w:rsid w:val="00813D73"/>
    <w:rsid w:val="00816E8F"/>
    <w:rsid w:val="008175FB"/>
    <w:rsid w:val="00817794"/>
    <w:rsid w:val="00820C6F"/>
    <w:rsid w:val="00820DF3"/>
    <w:rsid w:val="00822410"/>
    <w:rsid w:val="00824BA4"/>
    <w:rsid w:val="00825382"/>
    <w:rsid w:val="00826338"/>
    <w:rsid w:val="0082756F"/>
    <w:rsid w:val="00831F43"/>
    <w:rsid w:val="00844DDC"/>
    <w:rsid w:val="008536DA"/>
    <w:rsid w:val="00853B5D"/>
    <w:rsid w:val="008546B0"/>
    <w:rsid w:val="00856A47"/>
    <w:rsid w:val="00863B90"/>
    <w:rsid w:val="00865EB8"/>
    <w:rsid w:val="0086798E"/>
    <w:rsid w:val="00867A24"/>
    <w:rsid w:val="008708BF"/>
    <w:rsid w:val="008714D9"/>
    <w:rsid w:val="00871BBE"/>
    <w:rsid w:val="00875D71"/>
    <w:rsid w:val="0087660E"/>
    <w:rsid w:val="008812A7"/>
    <w:rsid w:val="008845CA"/>
    <w:rsid w:val="00886CFD"/>
    <w:rsid w:val="008916B0"/>
    <w:rsid w:val="00893D9F"/>
    <w:rsid w:val="00896F24"/>
    <w:rsid w:val="00897BA0"/>
    <w:rsid w:val="008A2C42"/>
    <w:rsid w:val="008B2C35"/>
    <w:rsid w:val="008B4949"/>
    <w:rsid w:val="008C128A"/>
    <w:rsid w:val="008C2BE0"/>
    <w:rsid w:val="008C3C1E"/>
    <w:rsid w:val="008C6D48"/>
    <w:rsid w:val="008C7333"/>
    <w:rsid w:val="008D043A"/>
    <w:rsid w:val="008D20B5"/>
    <w:rsid w:val="008D5386"/>
    <w:rsid w:val="008D6CC0"/>
    <w:rsid w:val="008D7568"/>
    <w:rsid w:val="008D7F77"/>
    <w:rsid w:val="008E1151"/>
    <w:rsid w:val="008E1DB6"/>
    <w:rsid w:val="008E27C2"/>
    <w:rsid w:val="008E30DE"/>
    <w:rsid w:val="008F3C55"/>
    <w:rsid w:val="009013E1"/>
    <w:rsid w:val="00901D8F"/>
    <w:rsid w:val="00901E60"/>
    <w:rsid w:val="00902E85"/>
    <w:rsid w:val="00906EBD"/>
    <w:rsid w:val="0091073A"/>
    <w:rsid w:val="00911F7E"/>
    <w:rsid w:val="0091312F"/>
    <w:rsid w:val="009132CB"/>
    <w:rsid w:val="009132D1"/>
    <w:rsid w:val="00913D2C"/>
    <w:rsid w:val="00914416"/>
    <w:rsid w:val="009242BD"/>
    <w:rsid w:val="00926162"/>
    <w:rsid w:val="009317EF"/>
    <w:rsid w:val="009500FB"/>
    <w:rsid w:val="0095439B"/>
    <w:rsid w:val="00962848"/>
    <w:rsid w:val="00963173"/>
    <w:rsid w:val="00964F40"/>
    <w:rsid w:val="00970B2B"/>
    <w:rsid w:val="00970E60"/>
    <w:rsid w:val="00971629"/>
    <w:rsid w:val="0097427B"/>
    <w:rsid w:val="00981638"/>
    <w:rsid w:val="00987BF5"/>
    <w:rsid w:val="00990D98"/>
    <w:rsid w:val="00990F21"/>
    <w:rsid w:val="009916DC"/>
    <w:rsid w:val="00992B6C"/>
    <w:rsid w:val="00992FA4"/>
    <w:rsid w:val="00993CF4"/>
    <w:rsid w:val="00994D73"/>
    <w:rsid w:val="0099745F"/>
    <w:rsid w:val="00997659"/>
    <w:rsid w:val="00997849"/>
    <w:rsid w:val="009A1F17"/>
    <w:rsid w:val="009A438D"/>
    <w:rsid w:val="009A55CA"/>
    <w:rsid w:val="009A5E50"/>
    <w:rsid w:val="009B0A4F"/>
    <w:rsid w:val="009B1AB3"/>
    <w:rsid w:val="009B29ED"/>
    <w:rsid w:val="009B4294"/>
    <w:rsid w:val="009C1758"/>
    <w:rsid w:val="009C1EA8"/>
    <w:rsid w:val="009C5275"/>
    <w:rsid w:val="009D2922"/>
    <w:rsid w:val="009D3CA9"/>
    <w:rsid w:val="009D4ADE"/>
    <w:rsid w:val="009D70B4"/>
    <w:rsid w:val="009E0104"/>
    <w:rsid w:val="009E46A8"/>
    <w:rsid w:val="009E4F3E"/>
    <w:rsid w:val="009E5476"/>
    <w:rsid w:val="009E75F4"/>
    <w:rsid w:val="009E7C40"/>
    <w:rsid w:val="009F0674"/>
    <w:rsid w:val="009F1A46"/>
    <w:rsid w:val="009F262D"/>
    <w:rsid w:val="009F387E"/>
    <w:rsid w:val="009F3EF9"/>
    <w:rsid w:val="009F59CE"/>
    <w:rsid w:val="009F6B24"/>
    <w:rsid w:val="009F79B5"/>
    <w:rsid w:val="00A01E36"/>
    <w:rsid w:val="00A0325F"/>
    <w:rsid w:val="00A0447D"/>
    <w:rsid w:val="00A05392"/>
    <w:rsid w:val="00A10382"/>
    <w:rsid w:val="00A13D43"/>
    <w:rsid w:val="00A2427B"/>
    <w:rsid w:val="00A31313"/>
    <w:rsid w:val="00A3345D"/>
    <w:rsid w:val="00A3794F"/>
    <w:rsid w:val="00A41729"/>
    <w:rsid w:val="00A42AF2"/>
    <w:rsid w:val="00A440CD"/>
    <w:rsid w:val="00A4446A"/>
    <w:rsid w:val="00A45578"/>
    <w:rsid w:val="00A50FDC"/>
    <w:rsid w:val="00A53249"/>
    <w:rsid w:val="00A546EF"/>
    <w:rsid w:val="00A56285"/>
    <w:rsid w:val="00A642A5"/>
    <w:rsid w:val="00A667E7"/>
    <w:rsid w:val="00A6722F"/>
    <w:rsid w:val="00A67727"/>
    <w:rsid w:val="00A703D5"/>
    <w:rsid w:val="00A7258B"/>
    <w:rsid w:val="00A748CA"/>
    <w:rsid w:val="00A750AE"/>
    <w:rsid w:val="00A75BAF"/>
    <w:rsid w:val="00A81646"/>
    <w:rsid w:val="00A822D1"/>
    <w:rsid w:val="00A87384"/>
    <w:rsid w:val="00A91586"/>
    <w:rsid w:val="00A93C39"/>
    <w:rsid w:val="00A957D8"/>
    <w:rsid w:val="00A97D64"/>
    <w:rsid w:val="00AA0123"/>
    <w:rsid w:val="00AB4B88"/>
    <w:rsid w:val="00AC0053"/>
    <w:rsid w:val="00AC01D9"/>
    <w:rsid w:val="00AC29A3"/>
    <w:rsid w:val="00AD0D28"/>
    <w:rsid w:val="00AD1255"/>
    <w:rsid w:val="00AD41B2"/>
    <w:rsid w:val="00AD5EA7"/>
    <w:rsid w:val="00AE01B5"/>
    <w:rsid w:val="00AE2AAD"/>
    <w:rsid w:val="00AE4128"/>
    <w:rsid w:val="00AE535E"/>
    <w:rsid w:val="00AE56DF"/>
    <w:rsid w:val="00AF1041"/>
    <w:rsid w:val="00B013CA"/>
    <w:rsid w:val="00B0226C"/>
    <w:rsid w:val="00B11334"/>
    <w:rsid w:val="00B1281A"/>
    <w:rsid w:val="00B128D5"/>
    <w:rsid w:val="00B12E49"/>
    <w:rsid w:val="00B1646E"/>
    <w:rsid w:val="00B22CCE"/>
    <w:rsid w:val="00B2419B"/>
    <w:rsid w:val="00B261B6"/>
    <w:rsid w:val="00B26918"/>
    <w:rsid w:val="00B26EAB"/>
    <w:rsid w:val="00B27312"/>
    <w:rsid w:val="00B27F5F"/>
    <w:rsid w:val="00B32EC0"/>
    <w:rsid w:val="00B33ECC"/>
    <w:rsid w:val="00B34C09"/>
    <w:rsid w:val="00B34C7C"/>
    <w:rsid w:val="00B3655A"/>
    <w:rsid w:val="00B36B33"/>
    <w:rsid w:val="00B40AC1"/>
    <w:rsid w:val="00B41BFA"/>
    <w:rsid w:val="00B4299D"/>
    <w:rsid w:val="00B43D35"/>
    <w:rsid w:val="00B45738"/>
    <w:rsid w:val="00B45C59"/>
    <w:rsid w:val="00B5406F"/>
    <w:rsid w:val="00B5622F"/>
    <w:rsid w:val="00B56FFD"/>
    <w:rsid w:val="00B57A69"/>
    <w:rsid w:val="00B60D79"/>
    <w:rsid w:val="00B624E7"/>
    <w:rsid w:val="00B63B7B"/>
    <w:rsid w:val="00B67423"/>
    <w:rsid w:val="00B76793"/>
    <w:rsid w:val="00B77070"/>
    <w:rsid w:val="00B8337B"/>
    <w:rsid w:val="00B854F1"/>
    <w:rsid w:val="00B85D28"/>
    <w:rsid w:val="00B9267A"/>
    <w:rsid w:val="00BA164C"/>
    <w:rsid w:val="00BA4AC6"/>
    <w:rsid w:val="00BA5E98"/>
    <w:rsid w:val="00BB037D"/>
    <w:rsid w:val="00BB201C"/>
    <w:rsid w:val="00BB23ED"/>
    <w:rsid w:val="00BB4A11"/>
    <w:rsid w:val="00BB4D96"/>
    <w:rsid w:val="00BB6C68"/>
    <w:rsid w:val="00BC0C10"/>
    <w:rsid w:val="00BC22BB"/>
    <w:rsid w:val="00BC2A2E"/>
    <w:rsid w:val="00BC4864"/>
    <w:rsid w:val="00BD3534"/>
    <w:rsid w:val="00BD3DBF"/>
    <w:rsid w:val="00BD4D90"/>
    <w:rsid w:val="00BD6169"/>
    <w:rsid w:val="00BD6618"/>
    <w:rsid w:val="00BE099A"/>
    <w:rsid w:val="00BE166F"/>
    <w:rsid w:val="00BE2058"/>
    <w:rsid w:val="00BE259A"/>
    <w:rsid w:val="00BE37CB"/>
    <w:rsid w:val="00BE5A26"/>
    <w:rsid w:val="00BF09DE"/>
    <w:rsid w:val="00BF5D2D"/>
    <w:rsid w:val="00BF69B5"/>
    <w:rsid w:val="00C01534"/>
    <w:rsid w:val="00C040FE"/>
    <w:rsid w:val="00C1089D"/>
    <w:rsid w:val="00C10998"/>
    <w:rsid w:val="00C10F48"/>
    <w:rsid w:val="00C11B6A"/>
    <w:rsid w:val="00C126FB"/>
    <w:rsid w:val="00C13469"/>
    <w:rsid w:val="00C20B33"/>
    <w:rsid w:val="00C215AD"/>
    <w:rsid w:val="00C24954"/>
    <w:rsid w:val="00C24BAF"/>
    <w:rsid w:val="00C24C6E"/>
    <w:rsid w:val="00C307B4"/>
    <w:rsid w:val="00C32D46"/>
    <w:rsid w:val="00C33F0D"/>
    <w:rsid w:val="00C33FB4"/>
    <w:rsid w:val="00C34C27"/>
    <w:rsid w:val="00C35356"/>
    <w:rsid w:val="00C3645A"/>
    <w:rsid w:val="00C3695A"/>
    <w:rsid w:val="00C369FA"/>
    <w:rsid w:val="00C36BCB"/>
    <w:rsid w:val="00C4146F"/>
    <w:rsid w:val="00C41CE0"/>
    <w:rsid w:val="00C43EDE"/>
    <w:rsid w:val="00C4496B"/>
    <w:rsid w:val="00C5159A"/>
    <w:rsid w:val="00C5293B"/>
    <w:rsid w:val="00C53AF0"/>
    <w:rsid w:val="00C546F2"/>
    <w:rsid w:val="00C5692A"/>
    <w:rsid w:val="00C62691"/>
    <w:rsid w:val="00C62F34"/>
    <w:rsid w:val="00C63E5E"/>
    <w:rsid w:val="00C65253"/>
    <w:rsid w:val="00C65CDD"/>
    <w:rsid w:val="00C660E7"/>
    <w:rsid w:val="00C66FAA"/>
    <w:rsid w:val="00C70489"/>
    <w:rsid w:val="00C70B05"/>
    <w:rsid w:val="00C71C46"/>
    <w:rsid w:val="00C7421B"/>
    <w:rsid w:val="00C74C51"/>
    <w:rsid w:val="00C75715"/>
    <w:rsid w:val="00C76ED8"/>
    <w:rsid w:val="00C7754D"/>
    <w:rsid w:val="00C81BC0"/>
    <w:rsid w:val="00C84388"/>
    <w:rsid w:val="00C859E5"/>
    <w:rsid w:val="00C85C7F"/>
    <w:rsid w:val="00C8625B"/>
    <w:rsid w:val="00C867E4"/>
    <w:rsid w:val="00C87335"/>
    <w:rsid w:val="00C877C4"/>
    <w:rsid w:val="00C95C68"/>
    <w:rsid w:val="00CA12CA"/>
    <w:rsid w:val="00CA2CEC"/>
    <w:rsid w:val="00CA3DFD"/>
    <w:rsid w:val="00CA4193"/>
    <w:rsid w:val="00CB2E8D"/>
    <w:rsid w:val="00CB3A0E"/>
    <w:rsid w:val="00CB444E"/>
    <w:rsid w:val="00CB657A"/>
    <w:rsid w:val="00CC0CD3"/>
    <w:rsid w:val="00CC3F1B"/>
    <w:rsid w:val="00CC44B6"/>
    <w:rsid w:val="00CC4529"/>
    <w:rsid w:val="00CC4AE3"/>
    <w:rsid w:val="00CC6CEF"/>
    <w:rsid w:val="00CD1779"/>
    <w:rsid w:val="00CD5069"/>
    <w:rsid w:val="00CE011E"/>
    <w:rsid w:val="00CE5D7C"/>
    <w:rsid w:val="00CE6393"/>
    <w:rsid w:val="00CF4E03"/>
    <w:rsid w:val="00CF6FB0"/>
    <w:rsid w:val="00CF7680"/>
    <w:rsid w:val="00D0320F"/>
    <w:rsid w:val="00D0429B"/>
    <w:rsid w:val="00D05BA1"/>
    <w:rsid w:val="00D10E8A"/>
    <w:rsid w:val="00D13566"/>
    <w:rsid w:val="00D15C4E"/>
    <w:rsid w:val="00D2247A"/>
    <w:rsid w:val="00D2720F"/>
    <w:rsid w:val="00D304B7"/>
    <w:rsid w:val="00D3052A"/>
    <w:rsid w:val="00D326A3"/>
    <w:rsid w:val="00D3302F"/>
    <w:rsid w:val="00D356FB"/>
    <w:rsid w:val="00D363ED"/>
    <w:rsid w:val="00D37117"/>
    <w:rsid w:val="00D37EBB"/>
    <w:rsid w:val="00D42012"/>
    <w:rsid w:val="00D42D32"/>
    <w:rsid w:val="00D432F1"/>
    <w:rsid w:val="00D43AC2"/>
    <w:rsid w:val="00D43B4D"/>
    <w:rsid w:val="00D43F30"/>
    <w:rsid w:val="00D472EA"/>
    <w:rsid w:val="00D51231"/>
    <w:rsid w:val="00D55223"/>
    <w:rsid w:val="00D576EF"/>
    <w:rsid w:val="00D64834"/>
    <w:rsid w:val="00D7163E"/>
    <w:rsid w:val="00D72C94"/>
    <w:rsid w:val="00D74E79"/>
    <w:rsid w:val="00D77A7F"/>
    <w:rsid w:val="00D83B78"/>
    <w:rsid w:val="00D86AB0"/>
    <w:rsid w:val="00D87FE1"/>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4466"/>
    <w:rsid w:val="00DD5CDD"/>
    <w:rsid w:val="00DD6527"/>
    <w:rsid w:val="00DE318A"/>
    <w:rsid w:val="00DE4252"/>
    <w:rsid w:val="00DE7720"/>
    <w:rsid w:val="00DF14B9"/>
    <w:rsid w:val="00DF5B06"/>
    <w:rsid w:val="00E01102"/>
    <w:rsid w:val="00E02E66"/>
    <w:rsid w:val="00E03594"/>
    <w:rsid w:val="00E07F30"/>
    <w:rsid w:val="00E1273E"/>
    <w:rsid w:val="00E133A3"/>
    <w:rsid w:val="00E16BE6"/>
    <w:rsid w:val="00E17F87"/>
    <w:rsid w:val="00E2022B"/>
    <w:rsid w:val="00E226AA"/>
    <w:rsid w:val="00E232DB"/>
    <w:rsid w:val="00E25C44"/>
    <w:rsid w:val="00E358A5"/>
    <w:rsid w:val="00E4097C"/>
    <w:rsid w:val="00E41C44"/>
    <w:rsid w:val="00E434A4"/>
    <w:rsid w:val="00E438A2"/>
    <w:rsid w:val="00E451B5"/>
    <w:rsid w:val="00E45F2E"/>
    <w:rsid w:val="00E50AD6"/>
    <w:rsid w:val="00E51673"/>
    <w:rsid w:val="00E521E5"/>
    <w:rsid w:val="00E55983"/>
    <w:rsid w:val="00E56EF7"/>
    <w:rsid w:val="00E57880"/>
    <w:rsid w:val="00E61EA8"/>
    <w:rsid w:val="00E63AE8"/>
    <w:rsid w:val="00E63D23"/>
    <w:rsid w:val="00E63D9E"/>
    <w:rsid w:val="00E64237"/>
    <w:rsid w:val="00E6425E"/>
    <w:rsid w:val="00E660A7"/>
    <w:rsid w:val="00E66F02"/>
    <w:rsid w:val="00E704EC"/>
    <w:rsid w:val="00E713B7"/>
    <w:rsid w:val="00E71A35"/>
    <w:rsid w:val="00E76C9F"/>
    <w:rsid w:val="00E77BDF"/>
    <w:rsid w:val="00E801AF"/>
    <w:rsid w:val="00E81EE7"/>
    <w:rsid w:val="00E83EFB"/>
    <w:rsid w:val="00E85331"/>
    <w:rsid w:val="00E861CF"/>
    <w:rsid w:val="00E872C5"/>
    <w:rsid w:val="00E9127D"/>
    <w:rsid w:val="00E9224A"/>
    <w:rsid w:val="00E935ED"/>
    <w:rsid w:val="00E9387C"/>
    <w:rsid w:val="00E94436"/>
    <w:rsid w:val="00E9547F"/>
    <w:rsid w:val="00E95B64"/>
    <w:rsid w:val="00EA02F6"/>
    <w:rsid w:val="00EA128F"/>
    <w:rsid w:val="00EA40E9"/>
    <w:rsid w:val="00EA41A5"/>
    <w:rsid w:val="00EA43F0"/>
    <w:rsid w:val="00EA64A8"/>
    <w:rsid w:val="00EB3502"/>
    <w:rsid w:val="00EB5468"/>
    <w:rsid w:val="00EC2154"/>
    <w:rsid w:val="00EC4BFD"/>
    <w:rsid w:val="00EC6CE5"/>
    <w:rsid w:val="00ED0285"/>
    <w:rsid w:val="00ED124F"/>
    <w:rsid w:val="00ED6850"/>
    <w:rsid w:val="00ED7267"/>
    <w:rsid w:val="00ED7D07"/>
    <w:rsid w:val="00EE27F8"/>
    <w:rsid w:val="00EE47C2"/>
    <w:rsid w:val="00EE6BAE"/>
    <w:rsid w:val="00EE7E9E"/>
    <w:rsid w:val="00EF045E"/>
    <w:rsid w:val="00EF0B32"/>
    <w:rsid w:val="00EF492C"/>
    <w:rsid w:val="00EF6524"/>
    <w:rsid w:val="00EF6634"/>
    <w:rsid w:val="00EF79D3"/>
    <w:rsid w:val="00F029D8"/>
    <w:rsid w:val="00F05A28"/>
    <w:rsid w:val="00F07318"/>
    <w:rsid w:val="00F108A3"/>
    <w:rsid w:val="00F14544"/>
    <w:rsid w:val="00F14958"/>
    <w:rsid w:val="00F15031"/>
    <w:rsid w:val="00F159F6"/>
    <w:rsid w:val="00F16AB1"/>
    <w:rsid w:val="00F16F34"/>
    <w:rsid w:val="00F1722A"/>
    <w:rsid w:val="00F23F6A"/>
    <w:rsid w:val="00F242C0"/>
    <w:rsid w:val="00F27452"/>
    <w:rsid w:val="00F314D1"/>
    <w:rsid w:val="00F33F97"/>
    <w:rsid w:val="00F3476A"/>
    <w:rsid w:val="00F41BAD"/>
    <w:rsid w:val="00F47E82"/>
    <w:rsid w:val="00F52177"/>
    <w:rsid w:val="00F52872"/>
    <w:rsid w:val="00F54A62"/>
    <w:rsid w:val="00F56E6C"/>
    <w:rsid w:val="00F56F81"/>
    <w:rsid w:val="00F57913"/>
    <w:rsid w:val="00F62B4B"/>
    <w:rsid w:val="00F653A0"/>
    <w:rsid w:val="00F7163D"/>
    <w:rsid w:val="00F717BE"/>
    <w:rsid w:val="00F80108"/>
    <w:rsid w:val="00F822B2"/>
    <w:rsid w:val="00F84B33"/>
    <w:rsid w:val="00F86575"/>
    <w:rsid w:val="00F92CCE"/>
    <w:rsid w:val="00F93213"/>
    <w:rsid w:val="00F935AA"/>
    <w:rsid w:val="00F9563C"/>
    <w:rsid w:val="00F96332"/>
    <w:rsid w:val="00F973E5"/>
    <w:rsid w:val="00FA3EC6"/>
    <w:rsid w:val="00FB19C8"/>
    <w:rsid w:val="00FB33B0"/>
    <w:rsid w:val="00FB7D38"/>
    <w:rsid w:val="00FC2616"/>
    <w:rsid w:val="00FC6278"/>
    <w:rsid w:val="00FC7030"/>
    <w:rsid w:val="00FC7B6E"/>
    <w:rsid w:val="00FD0748"/>
    <w:rsid w:val="00FD0765"/>
    <w:rsid w:val="00FE055F"/>
    <w:rsid w:val="00FE3017"/>
    <w:rsid w:val="00FF2108"/>
    <w:rsid w:val="00FF29AB"/>
    <w:rsid w:val="00FF6C89"/>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463623888">
      <w:bodyDiv w:val="1"/>
      <w:marLeft w:val="0"/>
      <w:marRight w:val="0"/>
      <w:marTop w:val="0"/>
      <w:marBottom w:val="0"/>
      <w:divBdr>
        <w:top w:val="none" w:sz="0" w:space="0" w:color="auto"/>
        <w:left w:val="none" w:sz="0" w:space="0" w:color="auto"/>
        <w:bottom w:val="none" w:sz="0" w:space="0" w:color="auto"/>
        <w:right w:val="none" w:sz="0" w:space="0" w:color="auto"/>
      </w:divBdr>
    </w:div>
    <w:div w:id="47056288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04964098">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895746221">
      <w:bodyDiv w:val="1"/>
      <w:marLeft w:val="0"/>
      <w:marRight w:val="0"/>
      <w:marTop w:val="0"/>
      <w:marBottom w:val="0"/>
      <w:divBdr>
        <w:top w:val="none" w:sz="0" w:space="0" w:color="auto"/>
        <w:left w:val="none" w:sz="0" w:space="0" w:color="auto"/>
        <w:bottom w:val="none" w:sz="0" w:space="0" w:color="auto"/>
        <w:right w:val="none" w:sz="0" w:space="0" w:color="auto"/>
      </w:divBdr>
    </w:div>
    <w:div w:id="922564902">
      <w:bodyDiv w:val="1"/>
      <w:marLeft w:val="0"/>
      <w:marRight w:val="0"/>
      <w:marTop w:val="0"/>
      <w:marBottom w:val="0"/>
      <w:divBdr>
        <w:top w:val="none" w:sz="0" w:space="0" w:color="auto"/>
        <w:left w:val="none" w:sz="0" w:space="0" w:color="auto"/>
        <w:bottom w:val="none" w:sz="0" w:space="0" w:color="auto"/>
        <w:right w:val="none" w:sz="0" w:space="0" w:color="auto"/>
      </w:divBdr>
    </w:div>
    <w:div w:id="982152788">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223176529">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57859553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41447079">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2021-01-14T13:16:00Z</dcterms:created>
  <dcterms:modified xsi:type="dcterms:W3CDTF">2021-01-14T13:16:00Z</dcterms:modified>
</cp:coreProperties>
</file>