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A202C" w14:textId="4F03C195" w:rsidR="00112C06" w:rsidRPr="00D3052A" w:rsidRDefault="00112C06" w:rsidP="00556094">
      <w:pPr>
        <w:pStyle w:val="Ttulo"/>
        <w:jc w:val="center"/>
        <w:rPr>
          <w:rFonts w:ascii="Verdana" w:eastAsia="Verdana" w:hAnsi="Verdana" w:cs="Verdana"/>
          <w:b/>
          <w:sz w:val="32"/>
          <w:szCs w:val="32"/>
        </w:rPr>
      </w:pPr>
      <w:r w:rsidRPr="00D3052A">
        <w:rPr>
          <w:rFonts w:ascii="Verdana" w:eastAsia="Verdana" w:hAnsi="Verdana" w:cs="Verdana"/>
          <w:b/>
          <w:sz w:val="32"/>
          <w:szCs w:val="32"/>
        </w:rPr>
        <w:t xml:space="preserve">INFORME CNO </w:t>
      </w:r>
      <w:r w:rsidR="009C1758">
        <w:rPr>
          <w:rFonts w:ascii="Verdana" w:eastAsia="Verdana" w:hAnsi="Verdana" w:cs="Verdana"/>
          <w:b/>
          <w:sz w:val="32"/>
          <w:szCs w:val="32"/>
        </w:rPr>
        <w:t>6</w:t>
      </w:r>
      <w:r w:rsidR="00051482">
        <w:rPr>
          <w:rFonts w:ascii="Verdana" w:eastAsia="Verdana" w:hAnsi="Verdana" w:cs="Verdana"/>
          <w:b/>
          <w:sz w:val="32"/>
          <w:szCs w:val="32"/>
        </w:rPr>
        <w:t>1</w:t>
      </w:r>
      <w:r w:rsidR="00CF4E03">
        <w:rPr>
          <w:rFonts w:ascii="Verdana" w:eastAsia="Verdana" w:hAnsi="Verdana" w:cs="Verdana"/>
          <w:b/>
          <w:sz w:val="32"/>
          <w:szCs w:val="32"/>
        </w:rPr>
        <w:t>9</w:t>
      </w:r>
    </w:p>
    <w:p w14:paraId="2938B4BE" w14:textId="77777777" w:rsidR="0078364C" w:rsidRPr="00D3052A" w:rsidRDefault="0078364C" w:rsidP="00556094">
      <w:pPr>
        <w:jc w:val="both"/>
        <w:rPr>
          <w:rFonts w:ascii="Verdana" w:eastAsia="Verdana" w:hAnsi="Verdana" w:cs="Verdana"/>
          <w:sz w:val="22"/>
          <w:szCs w:val="22"/>
        </w:rPr>
      </w:pPr>
    </w:p>
    <w:p w14:paraId="457FA286" w14:textId="6B3B131F" w:rsidR="00D3052A" w:rsidRDefault="00112C06" w:rsidP="00303520">
      <w:pPr>
        <w:jc w:val="both"/>
        <w:rPr>
          <w:rFonts w:ascii="Verdana" w:eastAsia="Verdana" w:hAnsi="Verdana" w:cs="Verdana"/>
          <w:sz w:val="22"/>
          <w:szCs w:val="22"/>
        </w:rPr>
      </w:pPr>
      <w:r w:rsidRPr="00D3052A">
        <w:rPr>
          <w:rFonts w:ascii="Verdana" w:eastAsia="Verdana" w:hAnsi="Verdana" w:cs="Verdana"/>
          <w:sz w:val="22"/>
          <w:szCs w:val="22"/>
        </w:rPr>
        <w:t xml:space="preserve">Fecha: </w:t>
      </w:r>
      <w:r w:rsidR="00CF4E03">
        <w:rPr>
          <w:rFonts w:ascii="Verdana" w:eastAsia="Verdana" w:hAnsi="Verdana" w:cs="Verdana"/>
          <w:sz w:val="22"/>
          <w:szCs w:val="22"/>
        </w:rPr>
        <w:t>noviem</w:t>
      </w:r>
      <w:r w:rsidR="00051482">
        <w:rPr>
          <w:rFonts w:ascii="Verdana" w:eastAsia="Verdana" w:hAnsi="Verdana" w:cs="Verdana"/>
          <w:sz w:val="22"/>
          <w:szCs w:val="22"/>
        </w:rPr>
        <w:t xml:space="preserve">bre </w:t>
      </w:r>
      <w:r w:rsidR="00CF4E03">
        <w:rPr>
          <w:rFonts w:ascii="Verdana" w:eastAsia="Verdana" w:hAnsi="Verdana" w:cs="Verdana"/>
          <w:sz w:val="22"/>
          <w:szCs w:val="22"/>
        </w:rPr>
        <w:t>5</w:t>
      </w:r>
      <w:r w:rsidR="00C5293B" w:rsidRPr="00D3052A">
        <w:rPr>
          <w:rFonts w:ascii="Verdana" w:eastAsia="Verdana" w:hAnsi="Verdana" w:cs="Verdana"/>
          <w:sz w:val="22"/>
          <w:szCs w:val="22"/>
        </w:rPr>
        <w:t xml:space="preserve"> </w:t>
      </w:r>
      <w:r w:rsidRPr="00D3052A">
        <w:rPr>
          <w:rFonts w:ascii="Verdana" w:eastAsia="Verdana" w:hAnsi="Verdana" w:cs="Verdana"/>
          <w:sz w:val="22"/>
          <w:szCs w:val="22"/>
        </w:rPr>
        <w:t>de 20</w:t>
      </w:r>
      <w:r w:rsidR="005F56D1" w:rsidRPr="00D3052A">
        <w:rPr>
          <w:rFonts w:ascii="Verdana" w:eastAsia="Verdana" w:hAnsi="Verdana" w:cs="Verdana"/>
          <w:sz w:val="22"/>
          <w:szCs w:val="22"/>
        </w:rPr>
        <w:t>20</w:t>
      </w:r>
      <w:r w:rsidRPr="00D3052A">
        <w:rPr>
          <w:rFonts w:ascii="Verdana" w:eastAsia="Verdana" w:hAnsi="Verdana" w:cs="Verdana"/>
          <w:sz w:val="22"/>
          <w:szCs w:val="22"/>
        </w:rPr>
        <w:t>.</w:t>
      </w:r>
    </w:p>
    <w:p w14:paraId="40A9B7ED" w14:textId="53C72D21" w:rsidR="00303520" w:rsidRDefault="00303520" w:rsidP="00303520">
      <w:pPr>
        <w:jc w:val="both"/>
        <w:rPr>
          <w:rFonts w:ascii="Verdana" w:eastAsia="Verdana" w:hAnsi="Verdana" w:cs="Verdana"/>
          <w:sz w:val="22"/>
          <w:szCs w:val="22"/>
        </w:rPr>
      </w:pPr>
    </w:p>
    <w:p w14:paraId="1B1B2A26" w14:textId="7BC07D4B" w:rsidR="009D2922" w:rsidRPr="00A91586" w:rsidRDefault="009D2922" w:rsidP="00303520">
      <w:pPr>
        <w:jc w:val="both"/>
        <w:rPr>
          <w:rFonts w:ascii="Verdana" w:eastAsia="Verdana" w:hAnsi="Verdana" w:cs="Verdana"/>
          <w:b/>
          <w:bCs/>
          <w:sz w:val="22"/>
          <w:szCs w:val="22"/>
          <w:u w:val="single"/>
        </w:rPr>
      </w:pPr>
      <w:r w:rsidRPr="00A91586">
        <w:rPr>
          <w:rFonts w:ascii="Verdana" w:eastAsia="Verdana" w:hAnsi="Verdana" w:cs="Verdana"/>
          <w:b/>
          <w:bCs/>
          <w:sz w:val="22"/>
          <w:szCs w:val="22"/>
          <w:u w:val="single"/>
        </w:rPr>
        <w:t>Aspectos Administrativos:</w:t>
      </w:r>
    </w:p>
    <w:p w14:paraId="2293A0AE" w14:textId="1488058F" w:rsidR="009D2922" w:rsidRDefault="009D2922" w:rsidP="00303520">
      <w:pPr>
        <w:jc w:val="both"/>
        <w:rPr>
          <w:rFonts w:ascii="Verdana" w:eastAsia="Verdana" w:hAnsi="Verdana" w:cs="Verdana"/>
          <w:b/>
          <w:bCs/>
          <w:sz w:val="22"/>
          <w:szCs w:val="22"/>
        </w:rPr>
      </w:pPr>
    </w:p>
    <w:p w14:paraId="777427F8" w14:textId="184D9CC6" w:rsidR="006B4F86" w:rsidRPr="00C11B6A" w:rsidRDefault="006B4F86" w:rsidP="00C11B6A">
      <w:pPr>
        <w:pStyle w:val="Prrafodelista"/>
        <w:numPr>
          <w:ilvl w:val="0"/>
          <w:numId w:val="39"/>
        </w:numPr>
        <w:jc w:val="both"/>
        <w:rPr>
          <w:rFonts w:ascii="Verdana" w:hAnsi="Verdana"/>
          <w:bCs/>
          <w:sz w:val="22"/>
          <w:szCs w:val="22"/>
        </w:rPr>
      </w:pPr>
      <w:r w:rsidRPr="00C11B6A">
        <w:rPr>
          <w:rFonts w:ascii="Verdana" w:hAnsi="Verdana"/>
          <w:bCs/>
          <w:sz w:val="22"/>
          <w:szCs w:val="22"/>
        </w:rPr>
        <w:t>El 30 y 31 de octubre</w:t>
      </w:r>
      <w:r w:rsidR="00647489">
        <w:rPr>
          <w:rFonts w:ascii="Verdana" w:hAnsi="Verdana"/>
          <w:bCs/>
          <w:sz w:val="22"/>
          <w:szCs w:val="22"/>
        </w:rPr>
        <w:t>,</w:t>
      </w:r>
      <w:r w:rsidRPr="00C11B6A">
        <w:rPr>
          <w:rFonts w:ascii="Verdana" w:hAnsi="Verdana"/>
          <w:bCs/>
          <w:sz w:val="22"/>
          <w:szCs w:val="22"/>
        </w:rPr>
        <w:t xml:space="preserve"> y 1 y 2 de noviembre de 2020</w:t>
      </w:r>
      <w:r w:rsidR="006B36C7">
        <w:rPr>
          <w:rFonts w:ascii="Verdana" w:hAnsi="Verdana"/>
          <w:bCs/>
          <w:sz w:val="22"/>
          <w:szCs w:val="22"/>
        </w:rPr>
        <w:t>,</w:t>
      </w:r>
      <w:r w:rsidRPr="00C11B6A">
        <w:rPr>
          <w:rFonts w:ascii="Verdana" w:hAnsi="Verdana"/>
          <w:bCs/>
          <w:sz w:val="22"/>
          <w:szCs w:val="22"/>
        </w:rPr>
        <w:t xml:space="preserve"> se publicó en </w:t>
      </w:r>
      <w:r w:rsidR="00B1646E" w:rsidRPr="00C11B6A">
        <w:rPr>
          <w:rFonts w:ascii="Verdana" w:hAnsi="Verdana"/>
          <w:bCs/>
          <w:sz w:val="22"/>
          <w:szCs w:val="22"/>
        </w:rPr>
        <w:t>El Tiempo</w:t>
      </w:r>
      <w:r w:rsidRPr="00C11B6A">
        <w:rPr>
          <w:rFonts w:ascii="Verdana" w:hAnsi="Verdana"/>
          <w:bCs/>
          <w:sz w:val="22"/>
          <w:szCs w:val="22"/>
        </w:rPr>
        <w:t xml:space="preserve"> </w:t>
      </w:r>
      <w:r w:rsidR="00647489">
        <w:rPr>
          <w:rFonts w:ascii="Verdana" w:hAnsi="Verdana"/>
          <w:bCs/>
          <w:sz w:val="22"/>
          <w:szCs w:val="22"/>
        </w:rPr>
        <w:t>un</w:t>
      </w:r>
      <w:r w:rsidRPr="00C11B6A">
        <w:rPr>
          <w:rFonts w:ascii="Verdana" w:hAnsi="Verdana"/>
          <w:bCs/>
          <w:sz w:val="22"/>
          <w:szCs w:val="22"/>
        </w:rPr>
        <w:t xml:space="preserve"> aviso convocando a las empresas interesadas en postularse como miembros por elección del </w:t>
      </w:r>
      <w:r w:rsidR="00751956">
        <w:rPr>
          <w:rFonts w:ascii="Verdana" w:hAnsi="Verdana"/>
          <w:bCs/>
          <w:sz w:val="22"/>
          <w:szCs w:val="22"/>
        </w:rPr>
        <w:t xml:space="preserve">CNO, </w:t>
      </w:r>
      <w:r w:rsidR="00751956" w:rsidRPr="00C11B6A">
        <w:rPr>
          <w:rFonts w:ascii="Verdana" w:hAnsi="Verdana"/>
          <w:bCs/>
          <w:sz w:val="22"/>
          <w:szCs w:val="22"/>
        </w:rPr>
        <w:t>a</w:t>
      </w:r>
      <w:r w:rsidRPr="00C11B6A">
        <w:rPr>
          <w:rFonts w:ascii="Verdana" w:hAnsi="Verdana"/>
          <w:bCs/>
          <w:sz w:val="22"/>
          <w:szCs w:val="22"/>
        </w:rPr>
        <w:t xml:space="preserve"> consultar los términos </w:t>
      </w:r>
      <w:r w:rsidR="00647489">
        <w:rPr>
          <w:rFonts w:ascii="Verdana" w:hAnsi="Verdana"/>
          <w:bCs/>
          <w:sz w:val="22"/>
          <w:szCs w:val="22"/>
        </w:rPr>
        <w:t xml:space="preserve">correspondientes </w:t>
      </w:r>
      <w:r w:rsidRPr="00C11B6A">
        <w:rPr>
          <w:rFonts w:ascii="Verdana" w:hAnsi="Verdana"/>
          <w:bCs/>
          <w:sz w:val="22"/>
          <w:szCs w:val="22"/>
        </w:rPr>
        <w:t xml:space="preserve">a través de </w:t>
      </w:r>
      <w:r w:rsidR="00647489">
        <w:rPr>
          <w:rFonts w:ascii="Verdana" w:hAnsi="Verdana"/>
          <w:bCs/>
          <w:sz w:val="22"/>
          <w:szCs w:val="22"/>
        </w:rPr>
        <w:t>su</w:t>
      </w:r>
      <w:r w:rsidR="00647489" w:rsidRPr="00C11B6A">
        <w:rPr>
          <w:rFonts w:ascii="Verdana" w:hAnsi="Verdana"/>
          <w:bCs/>
          <w:sz w:val="22"/>
          <w:szCs w:val="22"/>
        </w:rPr>
        <w:t xml:space="preserve"> </w:t>
      </w:r>
      <w:r w:rsidRPr="00C11B6A">
        <w:rPr>
          <w:rFonts w:ascii="Verdana" w:hAnsi="Verdana"/>
          <w:bCs/>
          <w:sz w:val="22"/>
          <w:szCs w:val="22"/>
        </w:rPr>
        <w:t xml:space="preserve">página WEB. A partir del 30 de octubre de 2020 </w:t>
      </w:r>
      <w:r w:rsidR="00647489">
        <w:rPr>
          <w:rFonts w:ascii="Verdana" w:hAnsi="Verdana"/>
          <w:bCs/>
          <w:sz w:val="22"/>
          <w:szCs w:val="22"/>
        </w:rPr>
        <w:t xml:space="preserve">y </w:t>
      </w:r>
      <w:r w:rsidR="00647489" w:rsidRPr="00BA7105">
        <w:rPr>
          <w:rFonts w:ascii="Verdana" w:hAnsi="Verdana"/>
          <w:bCs/>
          <w:sz w:val="22"/>
          <w:szCs w:val="22"/>
        </w:rPr>
        <w:t xml:space="preserve">hasta el 20 de noviembre </w:t>
      </w:r>
      <w:r w:rsidR="00647489">
        <w:rPr>
          <w:rFonts w:ascii="Verdana" w:hAnsi="Verdana"/>
          <w:bCs/>
          <w:sz w:val="22"/>
          <w:szCs w:val="22"/>
        </w:rPr>
        <w:t>del mismo año, se</w:t>
      </w:r>
      <w:r w:rsidRPr="00C11B6A">
        <w:rPr>
          <w:rFonts w:ascii="Verdana" w:hAnsi="Verdana"/>
          <w:bCs/>
          <w:sz w:val="22"/>
          <w:szCs w:val="22"/>
        </w:rPr>
        <w:t xml:space="preserve"> public</w:t>
      </w:r>
      <w:r w:rsidR="00726CB9">
        <w:rPr>
          <w:rFonts w:ascii="Verdana" w:hAnsi="Verdana"/>
          <w:bCs/>
          <w:sz w:val="22"/>
          <w:szCs w:val="22"/>
        </w:rPr>
        <w:t>aron</w:t>
      </w:r>
      <w:r w:rsidRPr="00C11B6A">
        <w:rPr>
          <w:rFonts w:ascii="Verdana" w:hAnsi="Verdana"/>
          <w:bCs/>
          <w:sz w:val="22"/>
          <w:szCs w:val="22"/>
        </w:rPr>
        <w:t xml:space="preserve"> en la </w:t>
      </w:r>
      <w:r w:rsidR="00B67423" w:rsidRPr="00C11B6A">
        <w:rPr>
          <w:rFonts w:ascii="Verdana" w:hAnsi="Verdana"/>
          <w:bCs/>
          <w:sz w:val="22"/>
          <w:szCs w:val="22"/>
        </w:rPr>
        <w:t>página</w:t>
      </w:r>
      <w:r w:rsidRPr="00C11B6A">
        <w:rPr>
          <w:rFonts w:ascii="Verdana" w:hAnsi="Verdana"/>
          <w:bCs/>
          <w:sz w:val="22"/>
          <w:szCs w:val="22"/>
        </w:rPr>
        <w:t xml:space="preserve"> WEB del CNO</w:t>
      </w:r>
      <w:r w:rsidR="00647489">
        <w:rPr>
          <w:rFonts w:ascii="Verdana" w:hAnsi="Verdana"/>
          <w:bCs/>
          <w:sz w:val="22"/>
          <w:szCs w:val="22"/>
        </w:rPr>
        <w:t xml:space="preserve"> l</w:t>
      </w:r>
      <w:r w:rsidRPr="00C11B6A">
        <w:rPr>
          <w:rFonts w:ascii="Verdana" w:hAnsi="Verdana"/>
          <w:bCs/>
          <w:sz w:val="22"/>
          <w:szCs w:val="22"/>
        </w:rPr>
        <w:t>os términos para que se postulen las empresas de generación, transmisión y distribución interesadas en ser miembros por elección del CNO para el año 2021.</w:t>
      </w:r>
    </w:p>
    <w:p w14:paraId="62D873F1" w14:textId="77F14EC7" w:rsidR="006B4F86" w:rsidRPr="00C11B6A" w:rsidRDefault="006B4F86" w:rsidP="00C11B6A">
      <w:pPr>
        <w:pStyle w:val="Prrafodelista"/>
        <w:ind w:left="720"/>
        <w:jc w:val="both"/>
        <w:rPr>
          <w:rFonts w:ascii="Verdana" w:hAnsi="Verdana"/>
          <w:bCs/>
          <w:sz w:val="22"/>
          <w:szCs w:val="22"/>
        </w:rPr>
      </w:pPr>
    </w:p>
    <w:p w14:paraId="1FF7DBD8" w14:textId="2DD15700" w:rsidR="006B4F86" w:rsidRPr="00C11B6A" w:rsidRDefault="00647489" w:rsidP="00C11B6A">
      <w:pPr>
        <w:pStyle w:val="Prrafodelista"/>
        <w:ind w:left="720"/>
        <w:jc w:val="both"/>
        <w:rPr>
          <w:rFonts w:ascii="Verdana" w:hAnsi="Verdana"/>
          <w:bCs/>
          <w:sz w:val="22"/>
          <w:szCs w:val="22"/>
        </w:rPr>
      </w:pPr>
      <w:r>
        <w:rPr>
          <w:rFonts w:ascii="Verdana" w:hAnsi="Verdana"/>
          <w:bCs/>
          <w:sz w:val="22"/>
          <w:szCs w:val="22"/>
        </w:rPr>
        <w:t>El c</w:t>
      </w:r>
      <w:r w:rsidR="006B4F86" w:rsidRPr="00C11B6A">
        <w:rPr>
          <w:rFonts w:ascii="Verdana" w:hAnsi="Verdana"/>
          <w:bCs/>
          <w:sz w:val="22"/>
          <w:szCs w:val="22"/>
        </w:rPr>
        <w:t xml:space="preserve">ronograma </w:t>
      </w:r>
      <w:r>
        <w:rPr>
          <w:rFonts w:ascii="Verdana" w:hAnsi="Verdana"/>
          <w:bCs/>
          <w:sz w:val="22"/>
          <w:szCs w:val="22"/>
        </w:rPr>
        <w:t xml:space="preserve">de </w:t>
      </w:r>
      <w:r w:rsidR="006B4F86" w:rsidRPr="00C11B6A">
        <w:rPr>
          <w:rFonts w:ascii="Verdana" w:hAnsi="Verdana"/>
          <w:bCs/>
          <w:sz w:val="22"/>
          <w:szCs w:val="22"/>
        </w:rPr>
        <w:t xml:space="preserve">selección miembros por elección </w:t>
      </w:r>
      <w:r>
        <w:rPr>
          <w:rFonts w:ascii="Verdana" w:hAnsi="Verdana"/>
          <w:bCs/>
          <w:sz w:val="22"/>
          <w:szCs w:val="22"/>
        </w:rPr>
        <w:t>CNO es el siguiente:</w:t>
      </w:r>
    </w:p>
    <w:p w14:paraId="02B9B4BB" w14:textId="77777777" w:rsidR="006B4F86" w:rsidRDefault="006B4F86" w:rsidP="006B4F86">
      <w:pPr>
        <w:pStyle w:val="Listamulticolor-nfasis11"/>
        <w:spacing w:after="0"/>
        <w:ind w:left="0"/>
        <w:jc w:val="both"/>
        <w:rPr>
          <w:rFonts w:ascii="Century Gothic" w:hAnsi="Century Gothic"/>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2682"/>
      </w:tblGrid>
      <w:tr w:rsidR="006B4F86" w:rsidRPr="006B4F86" w14:paraId="2A32A3FB" w14:textId="77777777" w:rsidTr="00C11B6A">
        <w:trPr>
          <w:jc w:val="center"/>
        </w:trPr>
        <w:tc>
          <w:tcPr>
            <w:tcW w:w="3341" w:type="dxa"/>
            <w:tcBorders>
              <w:top w:val="single" w:sz="4" w:space="0" w:color="auto"/>
              <w:left w:val="single" w:sz="4" w:space="0" w:color="auto"/>
              <w:bottom w:val="single" w:sz="4" w:space="0" w:color="auto"/>
              <w:right w:val="single" w:sz="4" w:space="0" w:color="auto"/>
            </w:tcBorders>
          </w:tcPr>
          <w:p w14:paraId="29571372" w14:textId="2BBDB414" w:rsidR="006B4F86" w:rsidRPr="00C11B6A" w:rsidRDefault="006B4F86">
            <w:pPr>
              <w:pStyle w:val="Listamulticolor-nfasis11"/>
              <w:spacing w:after="0"/>
              <w:ind w:left="0"/>
              <w:jc w:val="both"/>
              <w:rPr>
                <w:rFonts w:ascii="Verdana" w:eastAsia="Times New Roman" w:hAnsi="Verdana"/>
                <w:bCs/>
                <w:spacing w:val="-20"/>
                <w:sz w:val="20"/>
                <w:szCs w:val="20"/>
                <w:lang w:eastAsia="es-ES"/>
              </w:rPr>
            </w:pPr>
            <w:r w:rsidRPr="00C11B6A">
              <w:rPr>
                <w:rFonts w:ascii="Verdana" w:eastAsia="Times New Roman" w:hAnsi="Verdana"/>
                <w:bCs/>
                <w:spacing w:val="-20"/>
                <w:sz w:val="20"/>
                <w:szCs w:val="20"/>
                <w:lang w:eastAsia="es-ES"/>
              </w:rPr>
              <w:t>Recepción de postulaciones</w:t>
            </w:r>
            <w:r w:rsidR="00647489" w:rsidRPr="00C11B6A">
              <w:rPr>
                <w:rFonts w:ascii="Verdana" w:eastAsia="Times New Roman" w:hAnsi="Verdana"/>
                <w:bCs/>
                <w:spacing w:val="-20"/>
                <w:sz w:val="20"/>
                <w:szCs w:val="20"/>
                <w:lang w:eastAsia="es-ES"/>
              </w:rPr>
              <w:t>.</w:t>
            </w:r>
          </w:p>
          <w:p w14:paraId="0C91C806" w14:textId="77777777" w:rsidR="006B4F86" w:rsidRPr="00C11B6A" w:rsidRDefault="006B4F86">
            <w:pPr>
              <w:pStyle w:val="Listamulticolor-nfasis11"/>
              <w:spacing w:after="0"/>
              <w:ind w:left="0"/>
              <w:jc w:val="both"/>
              <w:rPr>
                <w:rFonts w:ascii="Verdana" w:eastAsia="Times New Roman" w:hAnsi="Verdana"/>
                <w:bCs/>
                <w:spacing w:val="-20"/>
                <w:sz w:val="20"/>
                <w:szCs w:val="20"/>
                <w:lang w:eastAsia="es-ES"/>
              </w:rPr>
            </w:pPr>
          </w:p>
        </w:tc>
        <w:tc>
          <w:tcPr>
            <w:tcW w:w="2682" w:type="dxa"/>
            <w:tcBorders>
              <w:top w:val="single" w:sz="4" w:space="0" w:color="auto"/>
              <w:left w:val="single" w:sz="4" w:space="0" w:color="auto"/>
              <w:bottom w:val="single" w:sz="4" w:space="0" w:color="auto"/>
              <w:right w:val="single" w:sz="4" w:space="0" w:color="auto"/>
            </w:tcBorders>
            <w:hideMark/>
          </w:tcPr>
          <w:p w14:paraId="4FB33CDC" w14:textId="27B23BD5" w:rsidR="006B4F86" w:rsidRPr="00C11B6A" w:rsidRDefault="006B4F86" w:rsidP="00C11B6A">
            <w:pPr>
              <w:pStyle w:val="Listamulticolor-nfasis11"/>
              <w:spacing w:after="0"/>
              <w:ind w:left="0"/>
              <w:jc w:val="center"/>
              <w:rPr>
                <w:rFonts w:ascii="Verdana" w:eastAsia="Times New Roman" w:hAnsi="Verdana"/>
                <w:bCs/>
                <w:spacing w:val="-20"/>
                <w:sz w:val="20"/>
                <w:szCs w:val="20"/>
                <w:lang w:eastAsia="es-ES"/>
              </w:rPr>
            </w:pPr>
            <w:r w:rsidRPr="00C11B6A">
              <w:rPr>
                <w:rFonts w:ascii="Verdana" w:eastAsia="Times New Roman" w:hAnsi="Verdana"/>
                <w:bCs/>
                <w:spacing w:val="-20"/>
                <w:sz w:val="20"/>
                <w:szCs w:val="20"/>
                <w:lang w:eastAsia="es-ES"/>
              </w:rPr>
              <w:t>20 de noviembre de 2020</w:t>
            </w:r>
            <w:r w:rsidR="00647489" w:rsidRPr="00C11B6A">
              <w:rPr>
                <w:rFonts w:ascii="Verdana" w:eastAsia="Times New Roman" w:hAnsi="Verdana"/>
                <w:bCs/>
                <w:spacing w:val="-20"/>
                <w:sz w:val="20"/>
                <w:szCs w:val="20"/>
                <w:lang w:eastAsia="es-ES"/>
              </w:rPr>
              <w:t>.</w:t>
            </w:r>
          </w:p>
        </w:tc>
      </w:tr>
      <w:tr w:rsidR="006B4F86" w:rsidRPr="006B4F86" w14:paraId="79266385" w14:textId="77777777" w:rsidTr="00C11B6A">
        <w:trPr>
          <w:trHeight w:val="1281"/>
          <w:jc w:val="center"/>
        </w:trPr>
        <w:tc>
          <w:tcPr>
            <w:tcW w:w="3341" w:type="dxa"/>
            <w:tcBorders>
              <w:top w:val="single" w:sz="4" w:space="0" w:color="auto"/>
              <w:left w:val="single" w:sz="4" w:space="0" w:color="auto"/>
              <w:bottom w:val="single" w:sz="4" w:space="0" w:color="auto"/>
              <w:right w:val="single" w:sz="4" w:space="0" w:color="auto"/>
            </w:tcBorders>
          </w:tcPr>
          <w:p w14:paraId="73C9A8C6" w14:textId="5F571B43" w:rsidR="006B4F86" w:rsidRPr="00C11B6A" w:rsidRDefault="006B4F86">
            <w:pPr>
              <w:pStyle w:val="Listamulticolor-nfasis11"/>
              <w:spacing w:after="0"/>
              <w:ind w:left="0"/>
              <w:jc w:val="both"/>
              <w:rPr>
                <w:rFonts w:ascii="Verdana" w:eastAsia="Times New Roman" w:hAnsi="Verdana"/>
                <w:bCs/>
                <w:spacing w:val="-20"/>
                <w:sz w:val="20"/>
                <w:szCs w:val="20"/>
                <w:lang w:eastAsia="es-ES"/>
              </w:rPr>
            </w:pPr>
            <w:r w:rsidRPr="00C11B6A">
              <w:rPr>
                <w:rFonts w:ascii="Verdana" w:eastAsia="Times New Roman" w:hAnsi="Verdana"/>
                <w:bCs/>
                <w:spacing w:val="-20"/>
                <w:sz w:val="20"/>
                <w:szCs w:val="20"/>
                <w:lang w:eastAsia="es-ES"/>
              </w:rPr>
              <w:t>Comunicación a los agentes informando las empresas postuladas por grupo e instrucciones de acceso a la página web</w:t>
            </w:r>
            <w:r w:rsidR="00647489" w:rsidRPr="00C11B6A">
              <w:rPr>
                <w:rFonts w:ascii="Verdana" w:eastAsia="Times New Roman" w:hAnsi="Verdana"/>
                <w:bCs/>
                <w:spacing w:val="-20"/>
                <w:sz w:val="20"/>
                <w:szCs w:val="20"/>
                <w:lang w:eastAsia="es-ES"/>
              </w:rPr>
              <w:t>.</w:t>
            </w:r>
          </w:p>
          <w:p w14:paraId="1A5CB6E8" w14:textId="77777777" w:rsidR="006B4F86" w:rsidRPr="00C11B6A" w:rsidRDefault="006B4F86">
            <w:pPr>
              <w:pStyle w:val="Listamulticolor-nfasis11"/>
              <w:spacing w:after="0"/>
              <w:ind w:left="0"/>
              <w:jc w:val="both"/>
              <w:rPr>
                <w:rFonts w:ascii="Verdana" w:eastAsia="Times New Roman" w:hAnsi="Verdana"/>
                <w:bCs/>
                <w:spacing w:val="-20"/>
                <w:sz w:val="20"/>
                <w:szCs w:val="20"/>
                <w:lang w:eastAsia="es-ES"/>
              </w:rPr>
            </w:pPr>
          </w:p>
        </w:tc>
        <w:tc>
          <w:tcPr>
            <w:tcW w:w="2682" w:type="dxa"/>
            <w:tcBorders>
              <w:top w:val="single" w:sz="4" w:space="0" w:color="auto"/>
              <w:left w:val="single" w:sz="4" w:space="0" w:color="auto"/>
              <w:bottom w:val="single" w:sz="4" w:space="0" w:color="auto"/>
              <w:right w:val="single" w:sz="4" w:space="0" w:color="auto"/>
            </w:tcBorders>
            <w:hideMark/>
          </w:tcPr>
          <w:p w14:paraId="71E1A93C" w14:textId="7BAE28AD" w:rsidR="006B4F86" w:rsidRPr="00C11B6A" w:rsidRDefault="006B4F86" w:rsidP="00C11B6A">
            <w:pPr>
              <w:pStyle w:val="Listamulticolor-nfasis11"/>
              <w:spacing w:after="0"/>
              <w:ind w:left="0"/>
              <w:jc w:val="center"/>
              <w:rPr>
                <w:rFonts w:ascii="Verdana" w:eastAsia="Times New Roman" w:hAnsi="Verdana"/>
                <w:bCs/>
                <w:spacing w:val="-20"/>
                <w:sz w:val="20"/>
                <w:szCs w:val="20"/>
                <w:lang w:eastAsia="es-ES"/>
              </w:rPr>
            </w:pPr>
            <w:r w:rsidRPr="00C11B6A">
              <w:rPr>
                <w:rFonts w:ascii="Verdana" w:eastAsia="Times New Roman" w:hAnsi="Verdana"/>
                <w:bCs/>
                <w:spacing w:val="-20"/>
                <w:sz w:val="20"/>
                <w:szCs w:val="20"/>
                <w:lang w:eastAsia="es-ES"/>
              </w:rPr>
              <w:t>27 de noviembre de 2020</w:t>
            </w:r>
            <w:r w:rsidR="00647489" w:rsidRPr="00C11B6A">
              <w:rPr>
                <w:rFonts w:ascii="Verdana" w:eastAsia="Times New Roman" w:hAnsi="Verdana"/>
                <w:bCs/>
                <w:spacing w:val="-20"/>
                <w:sz w:val="20"/>
                <w:szCs w:val="20"/>
                <w:lang w:eastAsia="es-ES"/>
              </w:rPr>
              <w:t>.</w:t>
            </w:r>
          </w:p>
        </w:tc>
      </w:tr>
      <w:tr w:rsidR="006B4F86" w:rsidRPr="006B4F86" w14:paraId="7DC50F93" w14:textId="77777777" w:rsidTr="00C11B6A">
        <w:trPr>
          <w:trHeight w:val="453"/>
          <w:jc w:val="center"/>
        </w:trPr>
        <w:tc>
          <w:tcPr>
            <w:tcW w:w="3341" w:type="dxa"/>
            <w:tcBorders>
              <w:top w:val="single" w:sz="4" w:space="0" w:color="auto"/>
              <w:left w:val="single" w:sz="4" w:space="0" w:color="auto"/>
              <w:bottom w:val="single" w:sz="4" w:space="0" w:color="auto"/>
              <w:right w:val="single" w:sz="4" w:space="0" w:color="auto"/>
            </w:tcBorders>
          </w:tcPr>
          <w:p w14:paraId="50C4E7EA" w14:textId="16CDE998" w:rsidR="006B4F86" w:rsidRPr="00C11B6A" w:rsidRDefault="006B4F86">
            <w:pPr>
              <w:pStyle w:val="Listamulticolor-nfasis11"/>
              <w:spacing w:after="0"/>
              <w:ind w:left="0"/>
              <w:jc w:val="both"/>
              <w:rPr>
                <w:rFonts w:ascii="Verdana" w:eastAsia="Times New Roman" w:hAnsi="Verdana"/>
                <w:bCs/>
                <w:spacing w:val="-20"/>
                <w:sz w:val="20"/>
                <w:szCs w:val="20"/>
                <w:lang w:eastAsia="es-ES"/>
              </w:rPr>
            </w:pPr>
            <w:r w:rsidRPr="00C11B6A">
              <w:rPr>
                <w:rFonts w:ascii="Verdana" w:eastAsia="Times New Roman" w:hAnsi="Verdana"/>
                <w:bCs/>
                <w:spacing w:val="-20"/>
                <w:sz w:val="20"/>
                <w:szCs w:val="20"/>
                <w:lang w:eastAsia="es-ES"/>
              </w:rPr>
              <w:t>Votos por actividad a través de la página</w:t>
            </w:r>
            <w:r w:rsidR="00647489" w:rsidRPr="00C11B6A">
              <w:rPr>
                <w:rFonts w:ascii="Verdana" w:eastAsia="Times New Roman" w:hAnsi="Verdana"/>
                <w:bCs/>
                <w:spacing w:val="-20"/>
                <w:sz w:val="20"/>
                <w:szCs w:val="20"/>
                <w:lang w:eastAsia="es-ES"/>
              </w:rPr>
              <w:t>.</w:t>
            </w:r>
          </w:p>
          <w:p w14:paraId="2D01ECED" w14:textId="77777777" w:rsidR="006B4F86" w:rsidRPr="00C11B6A" w:rsidRDefault="006B4F86">
            <w:pPr>
              <w:pStyle w:val="Listamulticolor-nfasis11"/>
              <w:spacing w:after="0"/>
              <w:ind w:left="0"/>
              <w:jc w:val="both"/>
              <w:rPr>
                <w:rFonts w:ascii="Verdana" w:eastAsia="Times New Roman" w:hAnsi="Verdana"/>
                <w:bCs/>
                <w:spacing w:val="-20"/>
                <w:sz w:val="20"/>
                <w:szCs w:val="20"/>
                <w:lang w:eastAsia="es-ES"/>
              </w:rPr>
            </w:pPr>
          </w:p>
        </w:tc>
        <w:tc>
          <w:tcPr>
            <w:tcW w:w="2682" w:type="dxa"/>
            <w:tcBorders>
              <w:top w:val="single" w:sz="4" w:space="0" w:color="auto"/>
              <w:left w:val="single" w:sz="4" w:space="0" w:color="auto"/>
              <w:bottom w:val="single" w:sz="4" w:space="0" w:color="auto"/>
              <w:right w:val="single" w:sz="4" w:space="0" w:color="auto"/>
            </w:tcBorders>
            <w:hideMark/>
          </w:tcPr>
          <w:p w14:paraId="3DEB0FAC" w14:textId="635B6DEE" w:rsidR="006B4F86" w:rsidRPr="00C11B6A" w:rsidRDefault="006B4F86" w:rsidP="00C11B6A">
            <w:pPr>
              <w:pStyle w:val="Listamulticolor-nfasis11"/>
              <w:spacing w:after="0"/>
              <w:ind w:left="0"/>
              <w:jc w:val="center"/>
              <w:rPr>
                <w:rFonts w:ascii="Verdana" w:eastAsia="Times New Roman" w:hAnsi="Verdana"/>
                <w:bCs/>
                <w:spacing w:val="-20"/>
                <w:sz w:val="20"/>
                <w:szCs w:val="20"/>
                <w:lang w:eastAsia="es-ES"/>
              </w:rPr>
            </w:pPr>
            <w:r w:rsidRPr="00C11B6A">
              <w:rPr>
                <w:rFonts w:ascii="Verdana" w:eastAsia="Times New Roman" w:hAnsi="Verdana"/>
                <w:bCs/>
                <w:spacing w:val="-20"/>
                <w:sz w:val="20"/>
                <w:szCs w:val="20"/>
                <w:lang w:eastAsia="es-ES"/>
              </w:rPr>
              <w:t>3 y 4 de diciembre de 2020</w:t>
            </w:r>
            <w:r w:rsidR="00647489" w:rsidRPr="00C11B6A">
              <w:rPr>
                <w:rFonts w:ascii="Verdana" w:eastAsia="Times New Roman" w:hAnsi="Verdana"/>
                <w:bCs/>
                <w:spacing w:val="-20"/>
                <w:sz w:val="20"/>
                <w:szCs w:val="20"/>
                <w:lang w:eastAsia="es-ES"/>
              </w:rPr>
              <w:t>.</w:t>
            </w:r>
          </w:p>
        </w:tc>
      </w:tr>
      <w:tr w:rsidR="006B4F86" w:rsidRPr="006B4F86" w14:paraId="6EA0CA15" w14:textId="77777777" w:rsidTr="00C11B6A">
        <w:trPr>
          <w:trHeight w:val="535"/>
          <w:jc w:val="center"/>
        </w:trPr>
        <w:tc>
          <w:tcPr>
            <w:tcW w:w="3341" w:type="dxa"/>
            <w:tcBorders>
              <w:top w:val="single" w:sz="4" w:space="0" w:color="auto"/>
              <w:left w:val="single" w:sz="4" w:space="0" w:color="auto"/>
              <w:bottom w:val="single" w:sz="4" w:space="0" w:color="auto"/>
              <w:right w:val="single" w:sz="4" w:space="0" w:color="auto"/>
            </w:tcBorders>
            <w:hideMark/>
          </w:tcPr>
          <w:p w14:paraId="0BF36F4B" w14:textId="079FC179" w:rsidR="006B4F86" w:rsidRPr="00C11B6A" w:rsidRDefault="006B4F86">
            <w:pPr>
              <w:pStyle w:val="Listamulticolor-nfasis11"/>
              <w:spacing w:after="0"/>
              <w:ind w:left="0"/>
              <w:jc w:val="both"/>
              <w:rPr>
                <w:rFonts w:ascii="Verdana" w:eastAsia="Times New Roman" w:hAnsi="Verdana"/>
                <w:bCs/>
                <w:spacing w:val="-20"/>
                <w:sz w:val="20"/>
                <w:szCs w:val="20"/>
                <w:lang w:eastAsia="es-ES"/>
              </w:rPr>
            </w:pPr>
            <w:r w:rsidRPr="00C11B6A">
              <w:rPr>
                <w:rFonts w:ascii="Verdana" w:eastAsia="Times New Roman" w:hAnsi="Verdana"/>
                <w:bCs/>
                <w:spacing w:val="-20"/>
                <w:sz w:val="20"/>
                <w:szCs w:val="20"/>
                <w:lang w:eastAsia="es-ES"/>
              </w:rPr>
              <w:t>Publicación de los resultados de la votación</w:t>
            </w:r>
            <w:r w:rsidR="00647489" w:rsidRPr="00C11B6A">
              <w:rPr>
                <w:rFonts w:ascii="Verdana" w:eastAsia="Times New Roman" w:hAnsi="Verdana"/>
                <w:bCs/>
                <w:spacing w:val="-20"/>
                <w:sz w:val="20"/>
                <w:szCs w:val="20"/>
                <w:lang w:eastAsia="es-ES"/>
              </w:rPr>
              <w:t>.</w:t>
            </w:r>
          </w:p>
        </w:tc>
        <w:tc>
          <w:tcPr>
            <w:tcW w:w="2682" w:type="dxa"/>
            <w:tcBorders>
              <w:top w:val="single" w:sz="4" w:space="0" w:color="auto"/>
              <w:left w:val="single" w:sz="4" w:space="0" w:color="auto"/>
              <w:bottom w:val="single" w:sz="4" w:space="0" w:color="auto"/>
              <w:right w:val="single" w:sz="4" w:space="0" w:color="auto"/>
            </w:tcBorders>
            <w:hideMark/>
          </w:tcPr>
          <w:p w14:paraId="15015183" w14:textId="459531AE" w:rsidR="006B4F86" w:rsidRPr="00C11B6A" w:rsidRDefault="006B4F86" w:rsidP="00C11B6A">
            <w:pPr>
              <w:pStyle w:val="Listamulticolor-nfasis11"/>
              <w:spacing w:after="0"/>
              <w:ind w:left="0"/>
              <w:jc w:val="center"/>
              <w:rPr>
                <w:rFonts w:ascii="Verdana" w:eastAsia="Times New Roman" w:hAnsi="Verdana"/>
                <w:bCs/>
                <w:spacing w:val="-20"/>
                <w:sz w:val="20"/>
                <w:szCs w:val="20"/>
                <w:lang w:eastAsia="es-ES"/>
              </w:rPr>
            </w:pPr>
            <w:r w:rsidRPr="00C11B6A">
              <w:rPr>
                <w:rFonts w:ascii="Verdana" w:eastAsia="Times New Roman" w:hAnsi="Verdana"/>
                <w:bCs/>
                <w:spacing w:val="-20"/>
                <w:sz w:val="20"/>
                <w:szCs w:val="20"/>
                <w:lang w:eastAsia="es-ES"/>
              </w:rPr>
              <w:t>7 de diciembre de 2020</w:t>
            </w:r>
            <w:r w:rsidR="00647489" w:rsidRPr="00C11B6A">
              <w:rPr>
                <w:rFonts w:ascii="Verdana" w:eastAsia="Times New Roman" w:hAnsi="Verdana"/>
                <w:bCs/>
                <w:spacing w:val="-20"/>
                <w:sz w:val="20"/>
                <w:szCs w:val="20"/>
                <w:lang w:eastAsia="es-ES"/>
              </w:rPr>
              <w:t>.</w:t>
            </w:r>
          </w:p>
        </w:tc>
      </w:tr>
    </w:tbl>
    <w:p w14:paraId="2EBAF039" w14:textId="02093BFB" w:rsidR="006B4F86" w:rsidRDefault="006B4F86" w:rsidP="006B4F86">
      <w:pPr>
        <w:pStyle w:val="Textoindependiente"/>
        <w:tabs>
          <w:tab w:val="left" w:pos="0"/>
        </w:tabs>
        <w:jc w:val="both"/>
        <w:rPr>
          <w:rFonts w:ascii="Century Gothic" w:hAnsi="Century Gothic" w:cs="Verdana"/>
          <w:sz w:val="18"/>
          <w:szCs w:val="18"/>
        </w:rPr>
      </w:pPr>
    </w:p>
    <w:p w14:paraId="64661932" w14:textId="35AD6357" w:rsidR="00647489" w:rsidRPr="00A93260" w:rsidRDefault="00647489" w:rsidP="00C11B6A">
      <w:pPr>
        <w:pStyle w:val="Prrafodelista"/>
        <w:numPr>
          <w:ilvl w:val="0"/>
          <w:numId w:val="39"/>
        </w:numPr>
        <w:jc w:val="both"/>
        <w:rPr>
          <w:rFonts w:ascii="Verdana" w:hAnsi="Verdana"/>
          <w:bCs/>
          <w:sz w:val="22"/>
          <w:szCs w:val="22"/>
        </w:rPr>
      </w:pPr>
      <w:r>
        <w:rPr>
          <w:rFonts w:ascii="Verdana" w:hAnsi="Verdana"/>
          <w:bCs/>
          <w:sz w:val="22"/>
          <w:szCs w:val="22"/>
        </w:rPr>
        <w:t xml:space="preserve">El Comité </w:t>
      </w:r>
      <w:r w:rsidRPr="00A93260">
        <w:rPr>
          <w:rFonts w:ascii="Verdana" w:hAnsi="Verdana"/>
          <w:bCs/>
          <w:sz w:val="22"/>
          <w:szCs w:val="22"/>
        </w:rPr>
        <w:t xml:space="preserve">Legal </w:t>
      </w:r>
      <w:r>
        <w:rPr>
          <w:rFonts w:ascii="Verdana" w:hAnsi="Verdana"/>
          <w:bCs/>
          <w:sz w:val="22"/>
          <w:szCs w:val="22"/>
        </w:rPr>
        <w:t>del Consejo se reunió</w:t>
      </w:r>
      <w:r w:rsidR="00FB7D38">
        <w:rPr>
          <w:rFonts w:ascii="Verdana" w:hAnsi="Verdana"/>
          <w:bCs/>
          <w:sz w:val="22"/>
          <w:szCs w:val="22"/>
        </w:rPr>
        <w:t xml:space="preserve"> para revisar e</w:t>
      </w:r>
      <w:r w:rsidRPr="00A93260">
        <w:rPr>
          <w:rFonts w:ascii="Verdana" w:hAnsi="Verdana"/>
          <w:bCs/>
          <w:sz w:val="22"/>
          <w:szCs w:val="22"/>
        </w:rPr>
        <w:t>l artículo 7 de la Resolución CREG 170</w:t>
      </w:r>
      <w:r w:rsidR="00FB7D38">
        <w:rPr>
          <w:rFonts w:ascii="Verdana" w:hAnsi="Verdana"/>
          <w:bCs/>
          <w:sz w:val="22"/>
          <w:szCs w:val="22"/>
        </w:rPr>
        <w:t xml:space="preserve">. Al respecto, se estableció que </w:t>
      </w:r>
      <w:r w:rsidRPr="00A93260">
        <w:rPr>
          <w:rFonts w:ascii="Verdana" w:eastAsia="Verdana" w:hAnsi="Verdana" w:cs="Verdana"/>
          <w:sz w:val="22"/>
          <w:szCs w:val="22"/>
        </w:rPr>
        <w:t xml:space="preserve">las Leyes 142 y 143 de 1994 </w:t>
      </w:r>
      <w:r w:rsidR="00FB7D38">
        <w:rPr>
          <w:rFonts w:ascii="Verdana" w:eastAsia="Verdana" w:hAnsi="Verdana" w:cs="Verdana"/>
          <w:sz w:val="22"/>
          <w:szCs w:val="22"/>
        </w:rPr>
        <w:t>definieron</w:t>
      </w:r>
      <w:r w:rsidRPr="00A93260">
        <w:rPr>
          <w:rFonts w:ascii="Verdana" w:eastAsia="Verdana" w:hAnsi="Verdana" w:cs="Verdana"/>
          <w:sz w:val="22"/>
          <w:szCs w:val="22"/>
        </w:rPr>
        <w:t xml:space="preserve"> con claridad la competencia del Consejo para la aprobación y expedición de los Acuerdos, en cumplimiento de las funciones asignadas. Para su expedición se requiere de manera exclusiva de la aprobación de los integrantes del CNO, quienes asumen la responsabilidad por su contenido. Por lo anterior, y de acuerdo con los artículos 6 y 121 de la Constitución Política, se solicit</w:t>
      </w:r>
      <w:r w:rsidR="00FB7D38">
        <w:rPr>
          <w:rFonts w:ascii="Verdana" w:eastAsia="Verdana" w:hAnsi="Verdana" w:cs="Verdana"/>
          <w:sz w:val="22"/>
          <w:szCs w:val="22"/>
        </w:rPr>
        <w:t>ó a la Comisión</w:t>
      </w:r>
      <w:r w:rsidRPr="00A93260">
        <w:rPr>
          <w:rFonts w:ascii="Verdana" w:eastAsia="Verdana" w:hAnsi="Verdana" w:cs="Verdana"/>
          <w:sz w:val="22"/>
          <w:szCs w:val="22"/>
        </w:rPr>
        <w:t xml:space="preserve"> la eliminación del artículo 7. El Consejo entiende la relevancia de las tareas asignadas por la Comisión en la resolución 170, y por esto, enviará los Acuerdos a la Comisión para sus comentarios, de manera previa a su aprobación por parte del Consejo, y hará un proceso de socialización con el público en general, como lo ha hecho en anteriores ocasiones.</w:t>
      </w:r>
    </w:p>
    <w:p w14:paraId="29BAF0C2" w14:textId="77777777" w:rsidR="006B4F86" w:rsidRPr="006B4F86" w:rsidRDefault="006B4F86" w:rsidP="006B4F86">
      <w:pPr>
        <w:pStyle w:val="Textoindependiente"/>
        <w:tabs>
          <w:tab w:val="left" w:pos="0"/>
        </w:tabs>
        <w:jc w:val="both"/>
        <w:rPr>
          <w:rFonts w:ascii="Century Gothic" w:hAnsi="Century Gothic" w:cs="Verdana"/>
          <w:sz w:val="18"/>
          <w:szCs w:val="18"/>
        </w:rPr>
      </w:pPr>
    </w:p>
    <w:p w14:paraId="74F33B51" w14:textId="488B6029" w:rsidR="0071693F" w:rsidRDefault="007439BF" w:rsidP="00303520">
      <w:pPr>
        <w:jc w:val="both"/>
        <w:rPr>
          <w:rFonts w:ascii="Verdana" w:eastAsia="Verdana" w:hAnsi="Verdana" w:cs="Verdana"/>
          <w:b/>
          <w:bCs/>
          <w:sz w:val="22"/>
          <w:szCs w:val="22"/>
          <w:u w:val="single"/>
        </w:rPr>
      </w:pPr>
      <w:r w:rsidRPr="00335915">
        <w:rPr>
          <w:rFonts w:ascii="Verdana" w:eastAsia="Verdana" w:hAnsi="Verdana" w:cs="Verdana"/>
          <w:b/>
          <w:bCs/>
          <w:sz w:val="22"/>
          <w:szCs w:val="22"/>
          <w:u w:val="single"/>
        </w:rPr>
        <w:t>A</w:t>
      </w:r>
      <w:r w:rsidR="0071693F" w:rsidRPr="00335915">
        <w:rPr>
          <w:rFonts w:ascii="Verdana" w:eastAsia="Verdana" w:hAnsi="Verdana" w:cs="Verdana"/>
          <w:b/>
          <w:bCs/>
          <w:sz w:val="22"/>
          <w:szCs w:val="22"/>
          <w:u w:val="single"/>
        </w:rPr>
        <w:t>spectos Técnicos:</w:t>
      </w:r>
    </w:p>
    <w:p w14:paraId="476648D3" w14:textId="44DD2257" w:rsidR="00AD5EA7" w:rsidRPr="00C11B6A" w:rsidRDefault="00AD5EA7" w:rsidP="00C11B6A">
      <w:pPr>
        <w:jc w:val="both"/>
        <w:rPr>
          <w:rFonts w:ascii="Verdana" w:hAnsi="Verdana"/>
          <w:bCs/>
          <w:sz w:val="22"/>
          <w:szCs w:val="22"/>
        </w:rPr>
      </w:pPr>
    </w:p>
    <w:p w14:paraId="693A4922" w14:textId="77777777" w:rsidR="002137B2" w:rsidRDefault="002137B2" w:rsidP="00C11B6A">
      <w:pPr>
        <w:pStyle w:val="Prrafodelista"/>
        <w:ind w:left="720"/>
        <w:jc w:val="both"/>
        <w:rPr>
          <w:rFonts w:ascii="Verdana" w:hAnsi="Verdana"/>
          <w:bCs/>
          <w:sz w:val="22"/>
          <w:szCs w:val="22"/>
        </w:rPr>
      </w:pPr>
    </w:p>
    <w:p w14:paraId="1908B2CC" w14:textId="5AA36FA1" w:rsidR="00CF4E03" w:rsidRDefault="00726CB9" w:rsidP="00C11B6A">
      <w:pPr>
        <w:pStyle w:val="Prrafodelista"/>
        <w:numPr>
          <w:ilvl w:val="0"/>
          <w:numId w:val="39"/>
        </w:numPr>
        <w:jc w:val="both"/>
        <w:rPr>
          <w:rFonts w:ascii="Verdana" w:hAnsi="Verdana"/>
          <w:bCs/>
          <w:sz w:val="22"/>
          <w:szCs w:val="22"/>
        </w:rPr>
      </w:pPr>
      <w:r>
        <w:rPr>
          <w:rFonts w:ascii="Verdana" w:hAnsi="Verdana"/>
          <w:bCs/>
          <w:sz w:val="22"/>
          <w:szCs w:val="22"/>
        </w:rPr>
        <w:t>Se enviaron a la CREG los siguientes documentos</w:t>
      </w:r>
      <w:r w:rsidR="00FB7D38">
        <w:rPr>
          <w:rFonts w:ascii="Verdana" w:hAnsi="Verdana"/>
          <w:bCs/>
          <w:sz w:val="22"/>
          <w:szCs w:val="22"/>
        </w:rPr>
        <w:t xml:space="preserve">, como </w:t>
      </w:r>
      <w:r>
        <w:rPr>
          <w:rFonts w:ascii="Verdana" w:hAnsi="Verdana"/>
          <w:bCs/>
          <w:sz w:val="22"/>
          <w:szCs w:val="22"/>
        </w:rPr>
        <w:t xml:space="preserve">parte de </w:t>
      </w:r>
      <w:r w:rsidR="00335915">
        <w:rPr>
          <w:rFonts w:ascii="Verdana" w:hAnsi="Verdana"/>
          <w:bCs/>
          <w:sz w:val="22"/>
          <w:szCs w:val="22"/>
        </w:rPr>
        <w:t>las observaciones</w:t>
      </w:r>
      <w:r w:rsidR="00BE166F">
        <w:rPr>
          <w:rFonts w:ascii="Verdana" w:hAnsi="Verdana"/>
          <w:bCs/>
          <w:sz w:val="22"/>
          <w:szCs w:val="22"/>
        </w:rPr>
        <w:t xml:space="preserve"> técnicas</w:t>
      </w:r>
      <w:r w:rsidR="00335915">
        <w:rPr>
          <w:rFonts w:ascii="Verdana" w:hAnsi="Verdana"/>
          <w:bCs/>
          <w:sz w:val="22"/>
          <w:szCs w:val="22"/>
        </w:rPr>
        <w:t xml:space="preserve"> del Consejo a la Resolución</w:t>
      </w:r>
      <w:r w:rsidR="00D42012">
        <w:rPr>
          <w:rFonts w:ascii="Verdana" w:hAnsi="Verdana"/>
          <w:bCs/>
          <w:sz w:val="22"/>
          <w:szCs w:val="22"/>
        </w:rPr>
        <w:t xml:space="preserve"> </w:t>
      </w:r>
      <w:r w:rsidR="001D01B2">
        <w:rPr>
          <w:rFonts w:ascii="Verdana" w:hAnsi="Verdana"/>
          <w:bCs/>
          <w:sz w:val="22"/>
          <w:szCs w:val="22"/>
        </w:rPr>
        <w:t xml:space="preserve">CREG </w:t>
      </w:r>
      <w:r w:rsidR="00335915">
        <w:rPr>
          <w:rFonts w:ascii="Verdana" w:hAnsi="Verdana"/>
          <w:bCs/>
          <w:sz w:val="22"/>
          <w:szCs w:val="22"/>
        </w:rPr>
        <w:t>170 de</w:t>
      </w:r>
      <w:r w:rsidR="00D42012">
        <w:rPr>
          <w:rFonts w:ascii="Verdana" w:hAnsi="Verdana"/>
          <w:bCs/>
          <w:sz w:val="22"/>
          <w:szCs w:val="22"/>
        </w:rPr>
        <w:t>l</w:t>
      </w:r>
      <w:r w:rsidR="00335915">
        <w:rPr>
          <w:rFonts w:ascii="Verdana" w:hAnsi="Verdana"/>
          <w:bCs/>
          <w:sz w:val="22"/>
          <w:szCs w:val="22"/>
        </w:rPr>
        <w:t xml:space="preserve"> 2020</w:t>
      </w:r>
      <w:r w:rsidR="001D01B2">
        <w:rPr>
          <w:rFonts w:ascii="Verdana" w:hAnsi="Verdana"/>
          <w:bCs/>
          <w:sz w:val="22"/>
          <w:szCs w:val="22"/>
        </w:rPr>
        <w:t xml:space="preserve"> en consulta</w:t>
      </w:r>
      <w:r w:rsidR="002A3FDD">
        <w:rPr>
          <w:rFonts w:ascii="Verdana" w:hAnsi="Verdana"/>
          <w:bCs/>
          <w:sz w:val="22"/>
          <w:szCs w:val="22"/>
        </w:rPr>
        <w:t xml:space="preserve">: </w:t>
      </w:r>
    </w:p>
    <w:p w14:paraId="1939AA30" w14:textId="3A1C4FDB" w:rsidR="002A3FDD" w:rsidRDefault="002A3FDD" w:rsidP="002A3FDD">
      <w:pPr>
        <w:jc w:val="both"/>
        <w:rPr>
          <w:rFonts w:ascii="Verdana" w:hAnsi="Verdana"/>
          <w:bCs/>
          <w:sz w:val="22"/>
          <w:szCs w:val="22"/>
        </w:rPr>
      </w:pPr>
    </w:p>
    <w:p w14:paraId="01139F53" w14:textId="5213E2CA" w:rsidR="002A3FDD" w:rsidRDefault="002A3FDD" w:rsidP="002A3FDD">
      <w:pPr>
        <w:pStyle w:val="Prrafodelista"/>
        <w:numPr>
          <w:ilvl w:val="0"/>
          <w:numId w:val="38"/>
        </w:numPr>
        <w:contextualSpacing/>
        <w:jc w:val="both"/>
        <w:rPr>
          <w:rFonts w:ascii="Verdana" w:eastAsia="Verdana" w:hAnsi="Verdana" w:cs="Verdana"/>
          <w:sz w:val="22"/>
          <w:szCs w:val="22"/>
        </w:rPr>
      </w:pPr>
      <w:r w:rsidRPr="00326353">
        <w:rPr>
          <w:rFonts w:ascii="Verdana" w:eastAsia="Verdana" w:hAnsi="Verdana" w:cs="Verdana"/>
          <w:sz w:val="22"/>
          <w:szCs w:val="22"/>
        </w:rPr>
        <w:lastRenderedPageBreak/>
        <w:t>Requisitos de conexión propuestos para las plantas eólicas y solares fotovoltaicas en los SDL.</w:t>
      </w:r>
    </w:p>
    <w:p w14:paraId="5FF04E6D" w14:textId="77777777" w:rsidR="006B36C7" w:rsidRDefault="006B36C7" w:rsidP="00C11B6A">
      <w:pPr>
        <w:pStyle w:val="Prrafodelista"/>
        <w:ind w:left="1080"/>
        <w:contextualSpacing/>
        <w:jc w:val="both"/>
        <w:rPr>
          <w:rFonts w:ascii="Verdana" w:eastAsia="Verdana" w:hAnsi="Verdana" w:cs="Verdana"/>
          <w:sz w:val="22"/>
          <w:szCs w:val="22"/>
        </w:rPr>
      </w:pPr>
    </w:p>
    <w:p w14:paraId="229A134E" w14:textId="20FD8CC8" w:rsidR="002A3FDD" w:rsidRDefault="002A3FDD" w:rsidP="002A3FDD">
      <w:pPr>
        <w:pStyle w:val="Prrafodelista"/>
        <w:numPr>
          <w:ilvl w:val="0"/>
          <w:numId w:val="38"/>
        </w:numPr>
        <w:contextualSpacing/>
        <w:jc w:val="both"/>
        <w:rPr>
          <w:rFonts w:ascii="Verdana" w:eastAsia="Verdana" w:hAnsi="Verdana" w:cs="Verdana"/>
          <w:sz w:val="22"/>
          <w:szCs w:val="22"/>
        </w:rPr>
      </w:pPr>
      <w:r w:rsidRPr="00326353">
        <w:rPr>
          <w:rFonts w:ascii="Verdana" w:eastAsia="Verdana" w:hAnsi="Verdana" w:cs="Verdana"/>
          <w:sz w:val="22"/>
          <w:szCs w:val="22"/>
        </w:rPr>
        <w:t>Afectación en la calidad de la potencia por la conexión de energía solar fotovoltaica y eólica (basada en inversores) en las redes de distribución</w:t>
      </w:r>
      <w:r>
        <w:rPr>
          <w:rFonts w:ascii="Verdana" w:eastAsia="Verdana" w:hAnsi="Verdana" w:cs="Verdana"/>
          <w:sz w:val="22"/>
          <w:szCs w:val="22"/>
        </w:rPr>
        <w:t>.</w:t>
      </w:r>
    </w:p>
    <w:p w14:paraId="3A0E9EB0" w14:textId="77777777" w:rsidR="006B36C7" w:rsidRDefault="006B36C7" w:rsidP="00C11B6A">
      <w:pPr>
        <w:pStyle w:val="Prrafodelista"/>
        <w:ind w:left="1080"/>
        <w:contextualSpacing/>
        <w:jc w:val="both"/>
        <w:rPr>
          <w:rFonts w:ascii="Verdana" w:eastAsia="Verdana" w:hAnsi="Verdana" w:cs="Verdana"/>
          <w:sz w:val="22"/>
          <w:szCs w:val="22"/>
        </w:rPr>
      </w:pPr>
    </w:p>
    <w:p w14:paraId="2ACAF2F3" w14:textId="5DEA8B18" w:rsidR="002A3FDD" w:rsidRDefault="002A3FDD" w:rsidP="002A3FDD">
      <w:pPr>
        <w:pStyle w:val="Prrafodelista"/>
        <w:numPr>
          <w:ilvl w:val="0"/>
          <w:numId w:val="38"/>
        </w:numPr>
        <w:contextualSpacing/>
        <w:jc w:val="both"/>
        <w:rPr>
          <w:rFonts w:ascii="Verdana" w:eastAsia="Verdana" w:hAnsi="Verdana" w:cs="Verdana"/>
          <w:sz w:val="22"/>
          <w:szCs w:val="22"/>
        </w:rPr>
      </w:pPr>
      <w:r w:rsidRPr="00326353">
        <w:rPr>
          <w:rFonts w:ascii="Verdana" w:eastAsia="Verdana" w:hAnsi="Verdana" w:cs="Verdana"/>
          <w:sz w:val="22"/>
          <w:szCs w:val="22"/>
        </w:rPr>
        <w:t>Arquitectura de Supervisión y Ciberseguridad DER en los SDL</w:t>
      </w:r>
      <w:r>
        <w:rPr>
          <w:rFonts w:ascii="Verdana" w:eastAsia="Verdana" w:hAnsi="Verdana" w:cs="Verdana"/>
          <w:sz w:val="22"/>
          <w:szCs w:val="22"/>
        </w:rPr>
        <w:t xml:space="preserve"> </w:t>
      </w:r>
      <w:r w:rsidRPr="00326353">
        <w:rPr>
          <w:rFonts w:ascii="Verdana" w:eastAsia="Verdana" w:hAnsi="Verdana" w:cs="Verdana"/>
          <w:sz w:val="22"/>
          <w:szCs w:val="22"/>
        </w:rPr>
        <w:t>(plantas fotovoltaicas y eólicas)</w:t>
      </w:r>
      <w:r>
        <w:rPr>
          <w:rFonts w:ascii="Verdana" w:eastAsia="Verdana" w:hAnsi="Verdana" w:cs="Verdana"/>
          <w:sz w:val="22"/>
          <w:szCs w:val="22"/>
        </w:rPr>
        <w:t>.</w:t>
      </w:r>
    </w:p>
    <w:p w14:paraId="09E70AAA" w14:textId="77777777" w:rsidR="006B36C7" w:rsidRDefault="006B36C7" w:rsidP="00C11B6A">
      <w:pPr>
        <w:pStyle w:val="Prrafodelista"/>
        <w:ind w:left="1080"/>
        <w:contextualSpacing/>
        <w:jc w:val="both"/>
        <w:rPr>
          <w:rFonts w:ascii="Verdana" w:eastAsia="Verdana" w:hAnsi="Verdana" w:cs="Verdana"/>
          <w:sz w:val="22"/>
          <w:szCs w:val="22"/>
        </w:rPr>
      </w:pPr>
    </w:p>
    <w:p w14:paraId="46D1F4ED" w14:textId="77777777" w:rsidR="002A3FDD" w:rsidRPr="00BC1F40" w:rsidRDefault="002A3FDD" w:rsidP="002A3FDD">
      <w:pPr>
        <w:pStyle w:val="Prrafodelista"/>
        <w:numPr>
          <w:ilvl w:val="0"/>
          <w:numId w:val="38"/>
        </w:numPr>
        <w:contextualSpacing/>
        <w:jc w:val="both"/>
        <w:rPr>
          <w:rFonts w:ascii="Verdana" w:eastAsia="Verdana" w:hAnsi="Verdana" w:cs="Verdana"/>
          <w:sz w:val="22"/>
          <w:szCs w:val="22"/>
        </w:rPr>
      </w:pPr>
      <w:r w:rsidRPr="00BC1F40">
        <w:rPr>
          <w:rFonts w:ascii="Verdana" w:eastAsia="Verdana" w:hAnsi="Verdana" w:cs="Verdana"/>
          <w:sz w:val="22"/>
          <w:szCs w:val="22"/>
        </w:rPr>
        <w:t>Revisión esquemas de protección recomendados en el Acuerdo 1322 considerando la curva FRT propuesta para generadores en el Sistema de Distribución Local-SDL</w:t>
      </w:r>
      <w:r>
        <w:rPr>
          <w:rFonts w:ascii="Verdana" w:eastAsia="Verdana" w:hAnsi="Verdana" w:cs="Verdana"/>
          <w:sz w:val="22"/>
          <w:szCs w:val="22"/>
        </w:rPr>
        <w:t>.</w:t>
      </w:r>
    </w:p>
    <w:p w14:paraId="2555E6D5" w14:textId="384DBAEC" w:rsidR="00CF4E03" w:rsidRPr="00CF4E03" w:rsidRDefault="00335915" w:rsidP="00CF4E03">
      <w:pPr>
        <w:jc w:val="both"/>
        <w:rPr>
          <w:rFonts w:ascii="Verdana" w:hAnsi="Verdana"/>
          <w:bCs/>
          <w:sz w:val="22"/>
          <w:szCs w:val="22"/>
        </w:rPr>
      </w:pPr>
      <w:r w:rsidRPr="00CF4E03">
        <w:rPr>
          <w:rFonts w:ascii="Verdana" w:hAnsi="Verdana"/>
          <w:bCs/>
          <w:sz w:val="22"/>
          <w:szCs w:val="22"/>
        </w:rPr>
        <w:t xml:space="preserve"> </w:t>
      </w:r>
    </w:p>
    <w:p w14:paraId="477D108C" w14:textId="2185D015" w:rsidR="00FB7D38" w:rsidRDefault="00BE166F" w:rsidP="00C11B6A">
      <w:pPr>
        <w:pStyle w:val="Prrafodelista"/>
        <w:ind w:left="720"/>
        <w:jc w:val="both"/>
        <w:rPr>
          <w:rFonts w:ascii="Verdana" w:hAnsi="Verdana"/>
          <w:bCs/>
          <w:sz w:val="22"/>
          <w:szCs w:val="22"/>
        </w:rPr>
      </w:pPr>
      <w:r>
        <w:rPr>
          <w:rFonts w:ascii="Verdana" w:hAnsi="Verdana"/>
          <w:bCs/>
          <w:sz w:val="22"/>
          <w:szCs w:val="22"/>
        </w:rPr>
        <w:t>Adicionalmente, se enviaron comentarios de detalle al proyecto normativo</w:t>
      </w:r>
      <w:r w:rsidR="00C546F2">
        <w:rPr>
          <w:rFonts w:ascii="Verdana" w:hAnsi="Verdana"/>
          <w:bCs/>
          <w:sz w:val="22"/>
          <w:szCs w:val="22"/>
        </w:rPr>
        <w:t>, recalcando la importancia de establecer requisitos de conexión y operación a las plantas de generación eólicas y solares fotovoltaicas conectadas en el SDL y con capacidad menor a 5 MW</w:t>
      </w:r>
      <w:r>
        <w:rPr>
          <w:rFonts w:ascii="Verdana" w:hAnsi="Verdana"/>
          <w:bCs/>
          <w:sz w:val="22"/>
          <w:szCs w:val="22"/>
        </w:rPr>
        <w:t>.</w:t>
      </w:r>
      <w:r w:rsidR="00C546F2">
        <w:rPr>
          <w:rFonts w:ascii="Verdana" w:hAnsi="Verdana"/>
          <w:bCs/>
          <w:sz w:val="22"/>
          <w:szCs w:val="22"/>
        </w:rPr>
        <w:t xml:space="preserve"> También se recomendó definir claramente la jerarquía de control para la operación de los recursos de generación conectados en los sistemas de distribución, sobre todo cuando estos opten por el despacho central, y se presenten </w:t>
      </w:r>
      <w:r w:rsidR="00BD4D90">
        <w:rPr>
          <w:rFonts w:ascii="Verdana" w:hAnsi="Verdana"/>
          <w:bCs/>
          <w:sz w:val="22"/>
          <w:szCs w:val="22"/>
        </w:rPr>
        <w:t>diferencias</w:t>
      </w:r>
      <w:r w:rsidR="00C546F2">
        <w:rPr>
          <w:rFonts w:ascii="Verdana" w:hAnsi="Verdana"/>
          <w:bCs/>
          <w:sz w:val="22"/>
          <w:szCs w:val="22"/>
        </w:rPr>
        <w:t xml:space="preserve"> entre </w:t>
      </w:r>
      <w:r w:rsidR="00BD4D90">
        <w:rPr>
          <w:rFonts w:ascii="Verdana" w:hAnsi="Verdana"/>
          <w:bCs/>
          <w:sz w:val="22"/>
          <w:szCs w:val="22"/>
        </w:rPr>
        <w:t>los objetivos operativos d</w:t>
      </w:r>
      <w:r w:rsidR="00C546F2">
        <w:rPr>
          <w:rFonts w:ascii="Verdana" w:hAnsi="Verdana"/>
          <w:bCs/>
          <w:sz w:val="22"/>
          <w:szCs w:val="22"/>
        </w:rPr>
        <w:t xml:space="preserve">el CND y CLD. </w:t>
      </w:r>
      <w:r w:rsidRPr="00BE166F">
        <w:rPr>
          <w:rFonts w:ascii="Verdana" w:hAnsi="Verdana"/>
          <w:bCs/>
          <w:sz w:val="22"/>
          <w:szCs w:val="22"/>
        </w:rPr>
        <w:t xml:space="preserve"> </w:t>
      </w:r>
      <w:r>
        <w:rPr>
          <w:rFonts w:ascii="Verdana" w:hAnsi="Verdana"/>
          <w:bCs/>
          <w:sz w:val="22"/>
          <w:szCs w:val="22"/>
        </w:rPr>
        <w:t xml:space="preserve">Estos </w:t>
      </w:r>
      <w:r w:rsidR="00C546F2">
        <w:rPr>
          <w:rFonts w:ascii="Verdana" w:hAnsi="Verdana"/>
          <w:bCs/>
          <w:sz w:val="22"/>
          <w:szCs w:val="22"/>
        </w:rPr>
        <w:t xml:space="preserve">comentarios </w:t>
      </w:r>
      <w:r>
        <w:rPr>
          <w:rFonts w:ascii="Verdana" w:hAnsi="Verdana"/>
          <w:bCs/>
          <w:sz w:val="22"/>
          <w:szCs w:val="22"/>
        </w:rPr>
        <w:t xml:space="preserve">y </w:t>
      </w:r>
      <w:r w:rsidR="00C546F2">
        <w:rPr>
          <w:rFonts w:ascii="Verdana" w:hAnsi="Verdana"/>
          <w:bCs/>
          <w:sz w:val="22"/>
          <w:szCs w:val="22"/>
        </w:rPr>
        <w:t>los documentos referenciados anteriormente</w:t>
      </w:r>
      <w:r>
        <w:rPr>
          <w:rFonts w:ascii="Verdana" w:hAnsi="Verdana"/>
          <w:bCs/>
          <w:sz w:val="22"/>
          <w:szCs w:val="22"/>
        </w:rPr>
        <w:t xml:space="preserve"> pueden ser consultados en la página web del Consejo.</w:t>
      </w:r>
    </w:p>
    <w:p w14:paraId="2D524064" w14:textId="77777777" w:rsidR="00FB7D38" w:rsidRPr="00C11B6A" w:rsidRDefault="00FB7D38" w:rsidP="00C11B6A">
      <w:pPr>
        <w:pStyle w:val="Prrafodelista"/>
        <w:ind w:left="360"/>
        <w:jc w:val="both"/>
        <w:rPr>
          <w:sz w:val="22"/>
          <w:szCs w:val="22"/>
        </w:rPr>
      </w:pPr>
    </w:p>
    <w:p w14:paraId="4DD148A8" w14:textId="70F651F0" w:rsidR="004A0280" w:rsidRDefault="00D90F04" w:rsidP="00CB444E">
      <w:pPr>
        <w:pStyle w:val="Prrafodelista"/>
        <w:numPr>
          <w:ilvl w:val="0"/>
          <w:numId w:val="39"/>
        </w:numPr>
        <w:jc w:val="both"/>
        <w:rPr>
          <w:rFonts w:ascii="Verdana" w:hAnsi="Verdana"/>
          <w:bCs/>
          <w:sz w:val="22"/>
          <w:szCs w:val="22"/>
        </w:rPr>
      </w:pPr>
      <w:r w:rsidRPr="00CB444E">
        <w:rPr>
          <w:rFonts w:ascii="Verdana" w:hAnsi="Verdana"/>
          <w:bCs/>
          <w:sz w:val="22"/>
          <w:szCs w:val="22"/>
        </w:rPr>
        <w:t>El Subcomité de Recursos Energéticos Renovables-</w:t>
      </w:r>
      <w:r w:rsidR="00E71A35" w:rsidRPr="00CB444E">
        <w:rPr>
          <w:rFonts w:ascii="Verdana" w:hAnsi="Verdana"/>
          <w:bCs/>
          <w:sz w:val="22"/>
          <w:szCs w:val="22"/>
        </w:rPr>
        <w:t>SURER con</w:t>
      </w:r>
      <w:r w:rsidRPr="00CB444E">
        <w:rPr>
          <w:rFonts w:ascii="Verdana" w:hAnsi="Verdana"/>
          <w:bCs/>
          <w:sz w:val="22"/>
          <w:szCs w:val="22"/>
        </w:rPr>
        <w:t xml:space="preserve"> el CND </w:t>
      </w:r>
      <w:r w:rsidR="00CF4E03" w:rsidRPr="00CB444E">
        <w:rPr>
          <w:rFonts w:ascii="Verdana" w:hAnsi="Verdana"/>
          <w:bCs/>
          <w:sz w:val="22"/>
          <w:szCs w:val="22"/>
        </w:rPr>
        <w:t xml:space="preserve">terminó </w:t>
      </w:r>
      <w:r w:rsidR="004C6147" w:rsidRPr="00CB444E">
        <w:rPr>
          <w:rFonts w:ascii="Verdana" w:hAnsi="Verdana"/>
          <w:bCs/>
          <w:sz w:val="22"/>
          <w:szCs w:val="22"/>
        </w:rPr>
        <w:t>la segunda fase del doc</w:t>
      </w:r>
      <w:r w:rsidR="001C10B9" w:rsidRPr="00CB444E">
        <w:rPr>
          <w:rFonts w:ascii="Verdana" w:hAnsi="Verdana"/>
          <w:bCs/>
          <w:sz w:val="22"/>
          <w:szCs w:val="22"/>
        </w:rPr>
        <w:t>u</w:t>
      </w:r>
      <w:r w:rsidR="004C6147" w:rsidRPr="00CB444E">
        <w:rPr>
          <w:rFonts w:ascii="Verdana" w:hAnsi="Verdana"/>
          <w:bCs/>
          <w:sz w:val="22"/>
          <w:szCs w:val="22"/>
        </w:rPr>
        <w:t xml:space="preserve">mento </w:t>
      </w:r>
      <w:r w:rsidR="00D42012" w:rsidRPr="00CB444E">
        <w:rPr>
          <w:rFonts w:ascii="Verdana" w:hAnsi="Verdana"/>
          <w:bCs/>
          <w:sz w:val="22"/>
          <w:szCs w:val="22"/>
        </w:rPr>
        <w:t>base para la formulación de</w:t>
      </w:r>
      <w:r w:rsidR="00726CB9" w:rsidRPr="00CB444E">
        <w:rPr>
          <w:rFonts w:ascii="Verdana" w:hAnsi="Verdana"/>
          <w:bCs/>
          <w:sz w:val="22"/>
          <w:szCs w:val="22"/>
        </w:rPr>
        <w:t>l</w:t>
      </w:r>
      <w:r w:rsidR="00D42012" w:rsidRPr="00CB444E">
        <w:rPr>
          <w:rFonts w:ascii="Verdana" w:hAnsi="Verdana"/>
          <w:bCs/>
          <w:sz w:val="22"/>
          <w:szCs w:val="22"/>
        </w:rPr>
        <w:t xml:space="preserve"> </w:t>
      </w:r>
      <w:r w:rsidR="00726CB9" w:rsidRPr="00CB444E">
        <w:rPr>
          <w:rFonts w:ascii="Verdana" w:hAnsi="Verdana"/>
          <w:bCs/>
          <w:sz w:val="22"/>
          <w:szCs w:val="22"/>
        </w:rPr>
        <w:t xml:space="preserve">Reglamento </w:t>
      </w:r>
      <w:r w:rsidR="00D42012" w:rsidRPr="00CB444E">
        <w:rPr>
          <w:rFonts w:ascii="Verdana" w:hAnsi="Verdana"/>
          <w:bCs/>
          <w:sz w:val="22"/>
          <w:szCs w:val="22"/>
        </w:rPr>
        <w:t>de Medición de Variables Hidro</w:t>
      </w:r>
      <w:r w:rsidR="00726CB9" w:rsidRPr="00CB444E">
        <w:rPr>
          <w:rFonts w:ascii="Verdana" w:hAnsi="Verdana"/>
          <w:bCs/>
          <w:sz w:val="22"/>
          <w:szCs w:val="22"/>
        </w:rPr>
        <w:t>lógicas</w:t>
      </w:r>
      <w:r w:rsidR="00D42012" w:rsidRPr="00CB444E">
        <w:rPr>
          <w:rFonts w:ascii="Verdana" w:hAnsi="Verdana"/>
          <w:bCs/>
          <w:sz w:val="22"/>
          <w:szCs w:val="22"/>
        </w:rPr>
        <w:t xml:space="preserve">, </w:t>
      </w:r>
      <w:r w:rsidR="004C6147" w:rsidRPr="00CB444E">
        <w:rPr>
          <w:rFonts w:ascii="Verdana" w:hAnsi="Verdana"/>
          <w:bCs/>
          <w:sz w:val="22"/>
          <w:szCs w:val="22"/>
        </w:rPr>
        <w:t>que abar</w:t>
      </w:r>
      <w:r w:rsidR="00726CB9" w:rsidRPr="00CB444E">
        <w:rPr>
          <w:rFonts w:ascii="Verdana" w:hAnsi="Verdana"/>
          <w:bCs/>
          <w:sz w:val="22"/>
          <w:szCs w:val="22"/>
        </w:rPr>
        <w:t>ca</w:t>
      </w:r>
      <w:r w:rsidR="004C6147" w:rsidRPr="00CB444E">
        <w:rPr>
          <w:rFonts w:ascii="Verdana" w:hAnsi="Verdana"/>
          <w:bCs/>
          <w:sz w:val="22"/>
          <w:szCs w:val="22"/>
        </w:rPr>
        <w:t xml:space="preserve"> el análisis de las alternativas para </w:t>
      </w:r>
      <w:r w:rsidR="00BD4D90" w:rsidRPr="00CB444E">
        <w:rPr>
          <w:rFonts w:ascii="Verdana" w:hAnsi="Verdana"/>
          <w:bCs/>
          <w:sz w:val="22"/>
          <w:szCs w:val="22"/>
        </w:rPr>
        <w:t>solucionar</w:t>
      </w:r>
      <w:r w:rsidR="004C6147" w:rsidRPr="00CB444E">
        <w:rPr>
          <w:rFonts w:ascii="Verdana" w:hAnsi="Verdana"/>
          <w:bCs/>
          <w:sz w:val="22"/>
          <w:szCs w:val="22"/>
        </w:rPr>
        <w:t xml:space="preserve"> los problemas identificados en la primera parte del documento entregado</w:t>
      </w:r>
      <w:r w:rsidR="00D42012" w:rsidRPr="00CB444E">
        <w:rPr>
          <w:rFonts w:ascii="Verdana" w:hAnsi="Verdana"/>
          <w:bCs/>
          <w:sz w:val="22"/>
          <w:szCs w:val="22"/>
        </w:rPr>
        <w:t xml:space="preserve"> a la CREG.  </w:t>
      </w:r>
      <w:r w:rsidR="001D01B2" w:rsidRPr="00CB444E">
        <w:rPr>
          <w:rFonts w:ascii="Verdana" w:hAnsi="Verdana"/>
          <w:bCs/>
          <w:sz w:val="22"/>
          <w:szCs w:val="22"/>
        </w:rPr>
        <w:t>L</w:t>
      </w:r>
      <w:r w:rsidR="00D42012" w:rsidRPr="00CB444E">
        <w:rPr>
          <w:rFonts w:ascii="Verdana" w:hAnsi="Verdana"/>
          <w:bCs/>
          <w:sz w:val="22"/>
          <w:szCs w:val="22"/>
        </w:rPr>
        <w:t xml:space="preserve">a Universidad de los Andes desarrolló </w:t>
      </w:r>
      <w:r w:rsidR="002F48AD" w:rsidRPr="00CB444E">
        <w:rPr>
          <w:rFonts w:ascii="Verdana" w:hAnsi="Verdana"/>
          <w:bCs/>
          <w:sz w:val="22"/>
          <w:szCs w:val="22"/>
        </w:rPr>
        <w:t xml:space="preserve">el referenciamiento </w:t>
      </w:r>
      <w:r w:rsidR="004C6147" w:rsidRPr="00CB444E">
        <w:rPr>
          <w:rFonts w:ascii="Verdana" w:hAnsi="Verdana"/>
          <w:bCs/>
          <w:sz w:val="22"/>
          <w:szCs w:val="22"/>
        </w:rPr>
        <w:t xml:space="preserve">aplicable </w:t>
      </w:r>
      <w:r w:rsidR="0004170E" w:rsidRPr="00CB444E">
        <w:rPr>
          <w:rFonts w:ascii="Verdana" w:hAnsi="Verdana"/>
          <w:bCs/>
          <w:sz w:val="22"/>
          <w:szCs w:val="22"/>
        </w:rPr>
        <w:t xml:space="preserve">para la medición de las variables </w:t>
      </w:r>
      <w:r w:rsidR="008D7568" w:rsidRPr="00CB444E">
        <w:rPr>
          <w:rFonts w:ascii="Verdana" w:hAnsi="Verdana"/>
          <w:bCs/>
          <w:sz w:val="22"/>
          <w:szCs w:val="22"/>
        </w:rPr>
        <w:t>hidro</w:t>
      </w:r>
      <w:r w:rsidR="00726CB9" w:rsidRPr="00CB444E">
        <w:rPr>
          <w:rFonts w:ascii="Verdana" w:hAnsi="Verdana"/>
          <w:bCs/>
          <w:sz w:val="22"/>
          <w:szCs w:val="22"/>
        </w:rPr>
        <w:t>lógicas</w:t>
      </w:r>
      <w:r w:rsidR="002F48AD" w:rsidRPr="00CB444E">
        <w:rPr>
          <w:rFonts w:ascii="Verdana" w:hAnsi="Verdana"/>
          <w:bCs/>
          <w:sz w:val="22"/>
          <w:szCs w:val="22"/>
        </w:rPr>
        <w:t xml:space="preserve">, </w:t>
      </w:r>
      <w:r w:rsidR="00751956" w:rsidRPr="00CB444E">
        <w:rPr>
          <w:rFonts w:ascii="Verdana" w:hAnsi="Verdana"/>
          <w:bCs/>
          <w:sz w:val="22"/>
          <w:szCs w:val="22"/>
        </w:rPr>
        <w:t>y contrastó</w:t>
      </w:r>
      <w:r w:rsidR="002F48AD" w:rsidRPr="00CB444E">
        <w:rPr>
          <w:rFonts w:ascii="Verdana" w:hAnsi="Verdana"/>
          <w:bCs/>
          <w:sz w:val="22"/>
          <w:szCs w:val="22"/>
        </w:rPr>
        <w:t xml:space="preserve"> el mismo con el documento de buenas prácticas desarrollado por el SURER</w:t>
      </w:r>
      <w:r w:rsidR="00051482" w:rsidRPr="00CB444E">
        <w:rPr>
          <w:rFonts w:ascii="Verdana" w:hAnsi="Verdana"/>
          <w:bCs/>
          <w:sz w:val="22"/>
          <w:szCs w:val="22"/>
        </w:rPr>
        <w:t>.</w:t>
      </w:r>
      <w:r w:rsidR="00FB7D38" w:rsidRPr="00CB444E">
        <w:rPr>
          <w:rFonts w:ascii="Verdana" w:hAnsi="Verdana"/>
          <w:bCs/>
          <w:sz w:val="22"/>
          <w:szCs w:val="22"/>
        </w:rPr>
        <w:t xml:space="preserve"> </w:t>
      </w:r>
      <w:r w:rsidR="00726CB9" w:rsidRPr="00CB444E">
        <w:rPr>
          <w:rFonts w:ascii="Verdana" w:hAnsi="Verdana"/>
          <w:bCs/>
          <w:sz w:val="22"/>
          <w:szCs w:val="22"/>
        </w:rPr>
        <w:t>Como está previsto e</w:t>
      </w:r>
      <w:r w:rsidR="002A3FDD" w:rsidRPr="00CB444E">
        <w:rPr>
          <w:rFonts w:ascii="Verdana" w:hAnsi="Verdana"/>
          <w:bCs/>
          <w:sz w:val="22"/>
          <w:szCs w:val="22"/>
        </w:rPr>
        <w:t xml:space="preserve">n la </w:t>
      </w:r>
      <w:r w:rsidR="00726CB9" w:rsidRPr="00CB444E">
        <w:rPr>
          <w:rFonts w:ascii="Verdana" w:hAnsi="Verdana"/>
          <w:bCs/>
          <w:sz w:val="22"/>
          <w:szCs w:val="22"/>
        </w:rPr>
        <w:t>a</w:t>
      </w:r>
      <w:r w:rsidR="002A3FDD" w:rsidRPr="00CB444E">
        <w:rPr>
          <w:rFonts w:ascii="Verdana" w:hAnsi="Verdana"/>
          <w:bCs/>
          <w:sz w:val="22"/>
          <w:szCs w:val="22"/>
        </w:rPr>
        <w:t xml:space="preserve">genda de la reunión </w:t>
      </w:r>
      <w:r w:rsidR="006B36C7" w:rsidRPr="00CB444E">
        <w:rPr>
          <w:rFonts w:ascii="Verdana" w:hAnsi="Verdana"/>
          <w:bCs/>
          <w:sz w:val="22"/>
          <w:szCs w:val="22"/>
        </w:rPr>
        <w:t>de hoy</w:t>
      </w:r>
      <w:r w:rsidR="00BE166F" w:rsidRPr="00CB444E">
        <w:rPr>
          <w:rFonts w:ascii="Verdana" w:hAnsi="Verdana"/>
          <w:bCs/>
          <w:sz w:val="22"/>
          <w:szCs w:val="22"/>
        </w:rPr>
        <w:t xml:space="preserve">, </w:t>
      </w:r>
      <w:r w:rsidR="002A3FDD" w:rsidRPr="00CB444E">
        <w:rPr>
          <w:rFonts w:ascii="Verdana" w:hAnsi="Verdana"/>
          <w:bCs/>
          <w:sz w:val="22"/>
          <w:szCs w:val="22"/>
        </w:rPr>
        <w:t xml:space="preserve">el SURER </w:t>
      </w:r>
      <w:r w:rsidR="00726CB9" w:rsidRPr="00CB444E">
        <w:rPr>
          <w:rFonts w:ascii="Verdana" w:hAnsi="Verdana"/>
          <w:bCs/>
          <w:sz w:val="22"/>
          <w:szCs w:val="22"/>
        </w:rPr>
        <w:t xml:space="preserve">y la Universidad de los Andes </w:t>
      </w:r>
      <w:r w:rsidR="00B67423" w:rsidRPr="00CB444E">
        <w:rPr>
          <w:rFonts w:ascii="Verdana" w:hAnsi="Verdana"/>
          <w:bCs/>
          <w:sz w:val="22"/>
          <w:szCs w:val="22"/>
        </w:rPr>
        <w:t>hará</w:t>
      </w:r>
      <w:r w:rsidR="00BE166F" w:rsidRPr="00CB444E">
        <w:rPr>
          <w:rFonts w:ascii="Verdana" w:hAnsi="Verdana"/>
          <w:bCs/>
          <w:sz w:val="22"/>
          <w:szCs w:val="22"/>
        </w:rPr>
        <w:t>n</w:t>
      </w:r>
      <w:r w:rsidR="002A3FDD" w:rsidRPr="00CB444E">
        <w:rPr>
          <w:rFonts w:ascii="Verdana" w:hAnsi="Verdana"/>
          <w:bCs/>
          <w:sz w:val="22"/>
          <w:szCs w:val="22"/>
        </w:rPr>
        <w:t xml:space="preserve"> una </w:t>
      </w:r>
      <w:r w:rsidR="00B67423" w:rsidRPr="00CB444E">
        <w:rPr>
          <w:rFonts w:ascii="Verdana" w:hAnsi="Verdana"/>
          <w:bCs/>
          <w:sz w:val="22"/>
          <w:szCs w:val="22"/>
        </w:rPr>
        <w:t>presentación</w:t>
      </w:r>
      <w:r w:rsidR="002A3FDD" w:rsidRPr="00CB444E">
        <w:rPr>
          <w:rFonts w:ascii="Verdana" w:hAnsi="Verdana"/>
          <w:bCs/>
          <w:sz w:val="22"/>
          <w:szCs w:val="22"/>
        </w:rPr>
        <w:t xml:space="preserve"> de los documentos</w:t>
      </w:r>
      <w:r w:rsidR="00726CB9" w:rsidRPr="00CB444E">
        <w:rPr>
          <w:rFonts w:ascii="Verdana" w:hAnsi="Verdana"/>
          <w:bCs/>
          <w:sz w:val="22"/>
          <w:szCs w:val="22"/>
        </w:rPr>
        <w:t>.</w:t>
      </w:r>
      <w:r w:rsidR="002A3FDD" w:rsidRPr="00CB444E">
        <w:rPr>
          <w:rFonts w:ascii="Verdana" w:hAnsi="Verdana"/>
          <w:bCs/>
          <w:sz w:val="22"/>
          <w:szCs w:val="22"/>
        </w:rPr>
        <w:t xml:space="preserve"> </w:t>
      </w:r>
    </w:p>
    <w:p w14:paraId="34B26B22" w14:textId="77777777" w:rsidR="001B36E2" w:rsidRPr="001B36E2" w:rsidRDefault="001B36E2" w:rsidP="001B36E2">
      <w:pPr>
        <w:jc w:val="both"/>
        <w:rPr>
          <w:rFonts w:ascii="Verdana" w:hAnsi="Verdana"/>
          <w:bCs/>
          <w:sz w:val="22"/>
          <w:szCs w:val="22"/>
        </w:rPr>
      </w:pPr>
    </w:p>
    <w:p w14:paraId="75D95094" w14:textId="2BDC07A1" w:rsidR="000A2B0C" w:rsidRDefault="0097427B" w:rsidP="00CB444E">
      <w:pPr>
        <w:pStyle w:val="Prrafodelista"/>
        <w:numPr>
          <w:ilvl w:val="0"/>
          <w:numId w:val="39"/>
        </w:numPr>
        <w:jc w:val="both"/>
        <w:rPr>
          <w:rFonts w:ascii="Verdana" w:hAnsi="Verdana"/>
          <w:bCs/>
          <w:sz w:val="22"/>
          <w:szCs w:val="22"/>
        </w:rPr>
      </w:pPr>
      <w:r>
        <w:rPr>
          <w:rFonts w:ascii="Verdana" w:hAnsi="Verdana"/>
          <w:bCs/>
          <w:sz w:val="22"/>
          <w:szCs w:val="22"/>
        </w:rPr>
        <w:t>Teniendo en cuenta</w:t>
      </w:r>
      <w:r w:rsidR="00BC2A2E" w:rsidRPr="00335915">
        <w:rPr>
          <w:rFonts w:ascii="Verdana" w:hAnsi="Verdana"/>
          <w:bCs/>
          <w:sz w:val="22"/>
          <w:szCs w:val="22"/>
        </w:rPr>
        <w:t xml:space="preserve"> las tareas acordadas en la reunión 603 del Consejo</w:t>
      </w:r>
      <w:r w:rsidR="002F48AD">
        <w:rPr>
          <w:rFonts w:ascii="Verdana" w:hAnsi="Verdana"/>
          <w:bCs/>
          <w:sz w:val="22"/>
          <w:szCs w:val="22"/>
        </w:rPr>
        <w:t xml:space="preserve">, sobre el Plan de Acción </w:t>
      </w:r>
      <w:r w:rsidR="00375F83">
        <w:rPr>
          <w:rFonts w:ascii="Verdana" w:hAnsi="Verdana"/>
          <w:bCs/>
          <w:sz w:val="22"/>
          <w:szCs w:val="22"/>
        </w:rPr>
        <w:t xml:space="preserve">para evitar eventos como el del 24 de junio en el área Caribe, </w:t>
      </w:r>
      <w:r w:rsidR="00BC2A2E" w:rsidRPr="00335915">
        <w:rPr>
          <w:rFonts w:ascii="Verdana" w:hAnsi="Verdana"/>
          <w:bCs/>
          <w:sz w:val="22"/>
          <w:szCs w:val="22"/>
        </w:rPr>
        <w:t xml:space="preserve">en </w:t>
      </w:r>
      <w:r w:rsidR="001B0466">
        <w:rPr>
          <w:rFonts w:ascii="Verdana" w:hAnsi="Verdana"/>
          <w:bCs/>
          <w:sz w:val="22"/>
          <w:szCs w:val="22"/>
        </w:rPr>
        <w:t>la</w:t>
      </w:r>
      <w:r w:rsidR="008546B0">
        <w:rPr>
          <w:rFonts w:ascii="Verdana" w:hAnsi="Verdana"/>
          <w:bCs/>
          <w:sz w:val="22"/>
          <w:szCs w:val="22"/>
        </w:rPr>
        <w:t>s</w:t>
      </w:r>
      <w:r w:rsidR="001B0466">
        <w:rPr>
          <w:rFonts w:ascii="Verdana" w:hAnsi="Verdana"/>
          <w:bCs/>
          <w:sz w:val="22"/>
          <w:szCs w:val="22"/>
        </w:rPr>
        <w:t xml:space="preserve"> reuni</w:t>
      </w:r>
      <w:r w:rsidR="008546B0">
        <w:rPr>
          <w:rFonts w:ascii="Verdana" w:hAnsi="Verdana"/>
          <w:bCs/>
          <w:sz w:val="22"/>
          <w:szCs w:val="22"/>
        </w:rPr>
        <w:t>ones</w:t>
      </w:r>
      <w:r w:rsidR="005D2E4A" w:rsidRPr="00335915">
        <w:rPr>
          <w:rFonts w:ascii="Verdana" w:hAnsi="Verdana"/>
          <w:bCs/>
          <w:sz w:val="22"/>
          <w:szCs w:val="22"/>
        </w:rPr>
        <w:t xml:space="preserve"> </w:t>
      </w:r>
      <w:r w:rsidR="00BC2A2E" w:rsidRPr="00335915">
        <w:rPr>
          <w:rFonts w:ascii="Verdana" w:hAnsi="Verdana"/>
          <w:bCs/>
          <w:sz w:val="22"/>
          <w:szCs w:val="22"/>
        </w:rPr>
        <w:t>ordinaria</w:t>
      </w:r>
      <w:r w:rsidR="008546B0">
        <w:rPr>
          <w:rFonts w:ascii="Verdana" w:hAnsi="Verdana"/>
          <w:bCs/>
          <w:sz w:val="22"/>
          <w:szCs w:val="22"/>
        </w:rPr>
        <w:t>s</w:t>
      </w:r>
      <w:r w:rsidR="00BC2A2E" w:rsidRPr="00335915">
        <w:rPr>
          <w:rFonts w:ascii="Verdana" w:hAnsi="Verdana"/>
          <w:bCs/>
          <w:sz w:val="22"/>
          <w:szCs w:val="22"/>
        </w:rPr>
        <w:t xml:space="preserve"> del </w:t>
      </w:r>
      <w:r w:rsidR="00BD4D90">
        <w:rPr>
          <w:rFonts w:ascii="Verdana" w:hAnsi="Verdana"/>
          <w:bCs/>
          <w:sz w:val="22"/>
          <w:szCs w:val="22"/>
        </w:rPr>
        <w:t xml:space="preserve">mes de octubre del </w:t>
      </w:r>
      <w:r w:rsidR="00BC2A2E" w:rsidRPr="00335915">
        <w:rPr>
          <w:rFonts w:ascii="Verdana" w:hAnsi="Verdana"/>
          <w:bCs/>
          <w:sz w:val="22"/>
          <w:szCs w:val="22"/>
        </w:rPr>
        <w:t xml:space="preserve">Subcomité de Análisis y Planeación Eléctrica-SAPE </w:t>
      </w:r>
      <w:r w:rsidR="008546B0">
        <w:rPr>
          <w:rFonts w:ascii="Verdana" w:hAnsi="Verdana"/>
          <w:bCs/>
          <w:sz w:val="22"/>
          <w:szCs w:val="22"/>
        </w:rPr>
        <w:t>y del Comité de Operación</w:t>
      </w:r>
      <w:r w:rsidR="0031268D">
        <w:rPr>
          <w:rFonts w:ascii="Verdana" w:hAnsi="Verdana"/>
          <w:bCs/>
          <w:sz w:val="22"/>
          <w:szCs w:val="22"/>
        </w:rPr>
        <w:t>,</w:t>
      </w:r>
      <w:r w:rsidR="008546B0">
        <w:rPr>
          <w:rFonts w:ascii="Verdana" w:hAnsi="Verdana"/>
          <w:bCs/>
          <w:sz w:val="22"/>
          <w:szCs w:val="22"/>
        </w:rPr>
        <w:t xml:space="preserve"> </w:t>
      </w:r>
      <w:r w:rsidR="00375F83">
        <w:rPr>
          <w:rFonts w:ascii="Verdana" w:hAnsi="Verdana"/>
          <w:bCs/>
          <w:sz w:val="22"/>
          <w:szCs w:val="22"/>
        </w:rPr>
        <w:t>se analizó el listado de subestaciones presentado por el CND en la pasada reunión 612</w:t>
      </w:r>
      <w:r w:rsidR="00F86575">
        <w:rPr>
          <w:rFonts w:ascii="Verdana" w:hAnsi="Verdana"/>
          <w:bCs/>
          <w:sz w:val="22"/>
          <w:szCs w:val="22"/>
        </w:rPr>
        <w:t xml:space="preserve"> del CNO</w:t>
      </w:r>
      <w:r w:rsidR="005D2E4A" w:rsidRPr="00335915">
        <w:rPr>
          <w:rFonts w:ascii="Verdana" w:hAnsi="Verdana"/>
          <w:bCs/>
          <w:sz w:val="22"/>
          <w:szCs w:val="22"/>
        </w:rPr>
        <w:t>.</w:t>
      </w:r>
      <w:r w:rsidR="00BE166F">
        <w:rPr>
          <w:rFonts w:ascii="Verdana" w:hAnsi="Verdana"/>
          <w:bCs/>
          <w:sz w:val="22"/>
          <w:szCs w:val="22"/>
        </w:rPr>
        <w:t xml:space="preserve"> Al respecto, se mantuvo</w:t>
      </w:r>
      <w:r w:rsidR="00BD4D90">
        <w:rPr>
          <w:rFonts w:ascii="Verdana" w:hAnsi="Verdana"/>
          <w:bCs/>
          <w:sz w:val="22"/>
          <w:szCs w:val="22"/>
        </w:rPr>
        <w:t xml:space="preserve"> dicho </w:t>
      </w:r>
      <w:r w:rsidR="008546B0">
        <w:rPr>
          <w:rFonts w:ascii="Verdana" w:hAnsi="Verdana"/>
          <w:bCs/>
          <w:sz w:val="22"/>
          <w:szCs w:val="22"/>
        </w:rPr>
        <w:t>ordenamiento</w:t>
      </w:r>
      <w:r w:rsidR="00BE166F">
        <w:rPr>
          <w:rFonts w:ascii="Verdana" w:hAnsi="Verdana"/>
          <w:bCs/>
          <w:sz w:val="22"/>
          <w:szCs w:val="22"/>
        </w:rPr>
        <w:t xml:space="preserve">, y se estableció el motivo por el cual en ejercicios previos del CND y </w:t>
      </w:r>
      <w:r w:rsidR="00BD4D90">
        <w:rPr>
          <w:rFonts w:ascii="Verdana" w:hAnsi="Verdana"/>
          <w:bCs/>
          <w:sz w:val="22"/>
          <w:szCs w:val="22"/>
        </w:rPr>
        <w:t xml:space="preserve">la </w:t>
      </w:r>
      <w:r w:rsidR="00BE166F">
        <w:rPr>
          <w:rFonts w:ascii="Verdana" w:hAnsi="Verdana"/>
          <w:bCs/>
          <w:sz w:val="22"/>
          <w:szCs w:val="22"/>
        </w:rPr>
        <w:t>UPME</w:t>
      </w:r>
      <w:r w:rsidR="008546B0">
        <w:rPr>
          <w:rFonts w:ascii="Verdana" w:hAnsi="Verdana"/>
          <w:bCs/>
          <w:sz w:val="22"/>
          <w:szCs w:val="22"/>
        </w:rPr>
        <w:t>,</w:t>
      </w:r>
      <w:r w:rsidR="00BE166F">
        <w:rPr>
          <w:rFonts w:ascii="Verdana" w:hAnsi="Verdana"/>
          <w:bCs/>
          <w:sz w:val="22"/>
          <w:szCs w:val="22"/>
        </w:rPr>
        <w:t xml:space="preserve"> la clasificación fue diferente.</w:t>
      </w:r>
      <w:r w:rsidR="00BD4D90">
        <w:rPr>
          <w:rFonts w:ascii="Verdana" w:hAnsi="Verdana"/>
          <w:bCs/>
          <w:sz w:val="22"/>
          <w:szCs w:val="22"/>
        </w:rPr>
        <w:t xml:space="preserve"> Básicamente el criterio de </w:t>
      </w:r>
      <w:r w:rsidR="008546B0">
        <w:rPr>
          <w:rFonts w:ascii="Verdana" w:hAnsi="Verdana"/>
          <w:bCs/>
          <w:sz w:val="22"/>
          <w:szCs w:val="22"/>
        </w:rPr>
        <w:t>ranqueo</w:t>
      </w:r>
      <w:r w:rsidR="00BD4D90">
        <w:rPr>
          <w:rFonts w:ascii="Verdana" w:hAnsi="Verdana"/>
          <w:bCs/>
          <w:sz w:val="22"/>
          <w:szCs w:val="22"/>
        </w:rPr>
        <w:t xml:space="preserve"> en ese momento fue el máximo flujo que puede distribuir una subestación, mientras que para el ejercicio más reciente se consideró la Potencia No Atendida-PNA producto de la falla de la subestación.</w:t>
      </w:r>
      <w:r w:rsidR="008546B0">
        <w:rPr>
          <w:rFonts w:ascii="Verdana" w:hAnsi="Verdana"/>
          <w:bCs/>
          <w:sz w:val="22"/>
          <w:szCs w:val="22"/>
        </w:rPr>
        <w:t xml:space="preserve"> </w:t>
      </w:r>
      <w:r w:rsidR="00BD4D90" w:rsidRPr="00C11B6A">
        <w:rPr>
          <w:rFonts w:ascii="Verdana" w:hAnsi="Verdana"/>
          <w:bCs/>
          <w:sz w:val="22"/>
          <w:szCs w:val="22"/>
        </w:rPr>
        <w:t>F</w:t>
      </w:r>
      <w:r w:rsidR="008546B0" w:rsidRPr="00C11B6A">
        <w:rPr>
          <w:rFonts w:ascii="Verdana" w:hAnsi="Verdana"/>
          <w:bCs/>
          <w:sz w:val="22"/>
          <w:szCs w:val="22"/>
        </w:rPr>
        <w:t>inalmente, se recomendó al CND replicar el ejercicio para diferentes horizontes, ello para determinar cómo se incrementa o disminuye la criticidad de una subestación con la entrada en servicio de las expansiones de red.</w:t>
      </w:r>
      <w:r w:rsidR="000A2B0C">
        <w:rPr>
          <w:rFonts w:ascii="Verdana" w:hAnsi="Verdana"/>
          <w:bCs/>
          <w:sz w:val="22"/>
          <w:szCs w:val="22"/>
        </w:rPr>
        <w:t xml:space="preserve"> </w:t>
      </w:r>
    </w:p>
    <w:p w14:paraId="049F76ED" w14:textId="77777777" w:rsidR="000A2B0C" w:rsidRPr="00C11B6A" w:rsidRDefault="000A2B0C" w:rsidP="00C11B6A">
      <w:pPr>
        <w:pStyle w:val="Prrafodelista"/>
        <w:ind w:left="720"/>
        <w:jc w:val="both"/>
        <w:rPr>
          <w:rFonts w:ascii="Verdana" w:hAnsi="Verdana"/>
          <w:bCs/>
          <w:sz w:val="22"/>
          <w:szCs w:val="22"/>
        </w:rPr>
      </w:pPr>
    </w:p>
    <w:p w14:paraId="5523BE30" w14:textId="4953D0C9" w:rsidR="000A2B0C" w:rsidRPr="00C11B6A" w:rsidRDefault="008546B0" w:rsidP="00CB444E">
      <w:pPr>
        <w:pStyle w:val="Prrafodelista"/>
        <w:numPr>
          <w:ilvl w:val="0"/>
          <w:numId w:val="39"/>
        </w:numPr>
        <w:jc w:val="both"/>
        <w:rPr>
          <w:rFonts w:ascii="Verdana" w:hAnsi="Verdana"/>
          <w:bCs/>
          <w:sz w:val="22"/>
          <w:szCs w:val="22"/>
        </w:rPr>
      </w:pPr>
      <w:r w:rsidRPr="000A2B0C">
        <w:rPr>
          <w:rFonts w:ascii="Verdana" w:hAnsi="Verdana"/>
          <w:bCs/>
          <w:sz w:val="22"/>
          <w:szCs w:val="22"/>
        </w:rPr>
        <w:t>Como es de conocimiento del Consejo, e</w:t>
      </w:r>
      <w:r w:rsidR="002D2FD6" w:rsidRPr="00C11B6A">
        <w:rPr>
          <w:rFonts w:ascii="Verdana" w:hAnsi="Verdana"/>
          <w:bCs/>
          <w:sz w:val="22"/>
          <w:szCs w:val="22"/>
        </w:rPr>
        <w:t xml:space="preserve">n el </w:t>
      </w:r>
      <w:r w:rsidR="00FF6C89" w:rsidRPr="00C11B6A">
        <w:rPr>
          <w:rFonts w:ascii="Verdana" w:hAnsi="Verdana"/>
          <w:bCs/>
          <w:sz w:val="22"/>
          <w:szCs w:val="22"/>
        </w:rPr>
        <w:t xml:space="preserve">Comité de Transmisión </w:t>
      </w:r>
      <w:r w:rsidR="0026412D" w:rsidRPr="00C11B6A">
        <w:rPr>
          <w:rFonts w:ascii="Verdana" w:hAnsi="Verdana"/>
          <w:bCs/>
          <w:sz w:val="22"/>
          <w:szCs w:val="22"/>
        </w:rPr>
        <w:t>e</w:t>
      </w:r>
      <w:r w:rsidR="002D2FD6" w:rsidRPr="00C11B6A">
        <w:rPr>
          <w:rFonts w:ascii="Verdana" w:hAnsi="Verdana"/>
          <w:bCs/>
          <w:sz w:val="22"/>
          <w:szCs w:val="22"/>
        </w:rPr>
        <w:t>l Grupo de Energía de Bogotá</w:t>
      </w:r>
      <w:r w:rsidR="005E3BC6" w:rsidRPr="00C11B6A">
        <w:rPr>
          <w:rFonts w:ascii="Verdana" w:hAnsi="Verdana"/>
          <w:bCs/>
          <w:sz w:val="22"/>
          <w:szCs w:val="22"/>
        </w:rPr>
        <w:t>-GEB</w:t>
      </w:r>
      <w:r w:rsidR="002D2FD6" w:rsidRPr="00C11B6A">
        <w:rPr>
          <w:rFonts w:ascii="Verdana" w:hAnsi="Verdana"/>
          <w:bCs/>
          <w:sz w:val="22"/>
          <w:szCs w:val="22"/>
        </w:rPr>
        <w:t xml:space="preserve"> plante</w:t>
      </w:r>
      <w:r w:rsidR="0026412D" w:rsidRPr="00C11B6A">
        <w:rPr>
          <w:rFonts w:ascii="Verdana" w:hAnsi="Verdana"/>
          <w:bCs/>
          <w:sz w:val="22"/>
          <w:szCs w:val="22"/>
        </w:rPr>
        <w:t>ó</w:t>
      </w:r>
      <w:r w:rsidR="002D2FD6" w:rsidRPr="00C11B6A">
        <w:rPr>
          <w:rFonts w:ascii="Verdana" w:hAnsi="Verdana"/>
          <w:bCs/>
          <w:sz w:val="22"/>
          <w:szCs w:val="22"/>
        </w:rPr>
        <w:t xml:space="preserve"> varias alternativas para la atención de la demanda del Putumayo (Junín) con la puesta en servicio de la Subestación Renacer 230 kV</w:t>
      </w:r>
      <w:r w:rsidR="00FF6C89" w:rsidRPr="00C11B6A">
        <w:rPr>
          <w:rFonts w:ascii="Verdana" w:hAnsi="Verdana"/>
          <w:bCs/>
          <w:sz w:val="22"/>
          <w:szCs w:val="22"/>
        </w:rPr>
        <w:t>.</w:t>
      </w:r>
      <w:r w:rsidR="002D2FD6" w:rsidRPr="00C11B6A">
        <w:rPr>
          <w:rFonts w:ascii="Verdana" w:hAnsi="Verdana"/>
          <w:bCs/>
          <w:sz w:val="22"/>
          <w:szCs w:val="22"/>
        </w:rPr>
        <w:t xml:space="preserve"> Entre las opciones analizadas, GEB recomendó la conexión </w:t>
      </w:r>
      <w:r w:rsidR="00F314D1" w:rsidRPr="00C11B6A">
        <w:rPr>
          <w:rFonts w:ascii="Verdana" w:hAnsi="Verdana"/>
          <w:bCs/>
          <w:sz w:val="22"/>
          <w:szCs w:val="22"/>
        </w:rPr>
        <w:t>tipo</w:t>
      </w:r>
      <w:r w:rsidR="002D2FD6" w:rsidRPr="00C11B6A">
        <w:rPr>
          <w:rFonts w:ascii="Verdana" w:hAnsi="Verdana"/>
          <w:bCs/>
          <w:sz w:val="22"/>
          <w:szCs w:val="22"/>
        </w:rPr>
        <w:t xml:space="preserve"> T de Junín a</w:t>
      </w:r>
      <w:r w:rsidR="0026412D" w:rsidRPr="00C11B6A">
        <w:rPr>
          <w:rFonts w:ascii="Verdana" w:hAnsi="Verdana"/>
          <w:bCs/>
          <w:sz w:val="22"/>
          <w:szCs w:val="22"/>
        </w:rPr>
        <w:t>l enlace</w:t>
      </w:r>
      <w:r w:rsidR="002D2FD6" w:rsidRPr="00C11B6A">
        <w:rPr>
          <w:rFonts w:ascii="Verdana" w:hAnsi="Verdana"/>
          <w:bCs/>
          <w:sz w:val="22"/>
          <w:szCs w:val="22"/>
        </w:rPr>
        <w:t xml:space="preserve"> </w:t>
      </w:r>
      <w:r w:rsidR="0026412D" w:rsidRPr="00C11B6A">
        <w:rPr>
          <w:rFonts w:ascii="Verdana" w:hAnsi="Verdana"/>
          <w:bCs/>
          <w:sz w:val="22"/>
          <w:szCs w:val="22"/>
        </w:rPr>
        <w:t xml:space="preserve">Jamondino-Renacer 230 kV. </w:t>
      </w:r>
      <w:r w:rsidR="006B20B8" w:rsidRPr="000A2B0C">
        <w:rPr>
          <w:rFonts w:ascii="Verdana" w:hAnsi="Verdana"/>
          <w:bCs/>
          <w:sz w:val="22"/>
          <w:szCs w:val="22"/>
        </w:rPr>
        <w:t>Adicionalmente</w:t>
      </w:r>
      <w:r w:rsidR="0026412D" w:rsidRPr="00C11B6A">
        <w:rPr>
          <w:rFonts w:ascii="Verdana" w:hAnsi="Verdana"/>
          <w:bCs/>
          <w:sz w:val="22"/>
          <w:szCs w:val="22"/>
        </w:rPr>
        <w:t xml:space="preserve">, </w:t>
      </w:r>
      <w:r w:rsidRPr="000A2B0C">
        <w:rPr>
          <w:rFonts w:ascii="Verdana" w:hAnsi="Verdana"/>
          <w:bCs/>
          <w:sz w:val="22"/>
          <w:szCs w:val="22"/>
        </w:rPr>
        <w:t>MINENERGÍA solicitó al Consejo</w:t>
      </w:r>
      <w:r w:rsidR="00493ACF" w:rsidRPr="000A2B0C">
        <w:rPr>
          <w:rFonts w:ascii="Verdana" w:hAnsi="Verdana"/>
          <w:bCs/>
          <w:sz w:val="22"/>
          <w:szCs w:val="22"/>
        </w:rPr>
        <w:t xml:space="preserve"> definir las acciones operativas que eviten la </w:t>
      </w:r>
      <w:r w:rsidR="00493ACF" w:rsidRPr="000A2B0C">
        <w:rPr>
          <w:rFonts w:ascii="Verdana" w:hAnsi="Verdana"/>
          <w:bCs/>
          <w:sz w:val="22"/>
          <w:szCs w:val="22"/>
        </w:rPr>
        <w:lastRenderedPageBreak/>
        <w:t>desconexión de la demanda del Putumayo en el corto plazo</w:t>
      </w:r>
      <w:r w:rsidR="00F314D1" w:rsidRPr="00C11B6A">
        <w:rPr>
          <w:rFonts w:ascii="Verdana" w:hAnsi="Verdana"/>
          <w:bCs/>
          <w:sz w:val="22"/>
          <w:szCs w:val="22"/>
        </w:rPr>
        <w:t>.</w:t>
      </w:r>
      <w:r w:rsidR="00297358" w:rsidRPr="00C11B6A">
        <w:rPr>
          <w:rFonts w:ascii="Verdana" w:hAnsi="Verdana"/>
          <w:bCs/>
          <w:sz w:val="22"/>
          <w:szCs w:val="22"/>
        </w:rPr>
        <w:t xml:space="preserve"> </w:t>
      </w:r>
      <w:r w:rsidR="00493ACF" w:rsidRPr="000A2B0C">
        <w:rPr>
          <w:rFonts w:ascii="Verdana" w:hAnsi="Verdana"/>
          <w:bCs/>
          <w:sz w:val="22"/>
          <w:szCs w:val="22"/>
        </w:rPr>
        <w:t xml:space="preserve">Por lo anterior, el </w:t>
      </w:r>
      <w:r w:rsidR="00751956" w:rsidRPr="000A2B0C">
        <w:rPr>
          <w:rFonts w:ascii="Verdana" w:hAnsi="Verdana"/>
          <w:bCs/>
          <w:sz w:val="22"/>
          <w:szCs w:val="22"/>
        </w:rPr>
        <w:t>viernes</w:t>
      </w:r>
      <w:r w:rsidR="00493ACF" w:rsidRPr="000A2B0C">
        <w:rPr>
          <w:rFonts w:ascii="Verdana" w:hAnsi="Verdana"/>
          <w:bCs/>
          <w:sz w:val="22"/>
          <w:szCs w:val="22"/>
        </w:rPr>
        <w:t xml:space="preserve"> 6 de noviembre</w:t>
      </w:r>
      <w:r w:rsidR="00297358" w:rsidRPr="00C11B6A">
        <w:rPr>
          <w:rFonts w:ascii="Verdana" w:hAnsi="Verdana"/>
          <w:bCs/>
          <w:sz w:val="22"/>
          <w:szCs w:val="22"/>
        </w:rPr>
        <w:t xml:space="preserve"> se </w:t>
      </w:r>
      <w:r w:rsidR="00493ACF" w:rsidRPr="000A2B0C">
        <w:rPr>
          <w:rFonts w:ascii="Verdana" w:hAnsi="Verdana"/>
          <w:bCs/>
          <w:sz w:val="22"/>
          <w:szCs w:val="22"/>
        </w:rPr>
        <w:t>reunirán</w:t>
      </w:r>
      <w:r w:rsidR="00297358" w:rsidRPr="00C11B6A">
        <w:rPr>
          <w:rFonts w:ascii="Verdana" w:hAnsi="Verdana"/>
          <w:bCs/>
          <w:sz w:val="22"/>
          <w:szCs w:val="22"/>
        </w:rPr>
        <w:t xml:space="preserve"> los subcomités </w:t>
      </w:r>
      <w:r w:rsidR="00493ACF" w:rsidRPr="000A2B0C">
        <w:rPr>
          <w:rFonts w:ascii="Verdana" w:hAnsi="Verdana"/>
          <w:bCs/>
          <w:sz w:val="22"/>
          <w:szCs w:val="22"/>
        </w:rPr>
        <w:t xml:space="preserve">de </w:t>
      </w:r>
      <w:r w:rsidR="00297358" w:rsidRPr="00C11B6A">
        <w:rPr>
          <w:rFonts w:ascii="Verdana" w:hAnsi="Verdana"/>
          <w:bCs/>
          <w:sz w:val="22"/>
          <w:szCs w:val="22"/>
        </w:rPr>
        <w:t>P</w:t>
      </w:r>
      <w:r w:rsidR="00E01102" w:rsidRPr="000A2B0C">
        <w:rPr>
          <w:rFonts w:ascii="Verdana" w:hAnsi="Verdana"/>
          <w:bCs/>
          <w:sz w:val="22"/>
          <w:szCs w:val="22"/>
        </w:rPr>
        <w:t>rotecciones</w:t>
      </w:r>
      <w:r w:rsidR="00493ACF" w:rsidRPr="000A2B0C">
        <w:rPr>
          <w:rFonts w:ascii="Verdana" w:hAnsi="Verdana"/>
          <w:bCs/>
          <w:sz w:val="22"/>
          <w:szCs w:val="22"/>
        </w:rPr>
        <w:t xml:space="preserve"> y</w:t>
      </w:r>
      <w:r w:rsidR="00E01102" w:rsidRPr="000A2B0C">
        <w:rPr>
          <w:rFonts w:ascii="Verdana" w:hAnsi="Verdana"/>
          <w:bCs/>
          <w:sz w:val="22"/>
          <w:szCs w:val="22"/>
        </w:rPr>
        <w:t xml:space="preserve"> SAPE</w:t>
      </w:r>
      <w:r w:rsidR="00493ACF" w:rsidRPr="000A2B0C">
        <w:rPr>
          <w:rFonts w:ascii="Verdana" w:hAnsi="Verdana"/>
          <w:bCs/>
          <w:sz w:val="22"/>
          <w:szCs w:val="22"/>
        </w:rPr>
        <w:t xml:space="preserve"> </w:t>
      </w:r>
      <w:r w:rsidR="00297358" w:rsidRPr="00C11B6A">
        <w:rPr>
          <w:rFonts w:ascii="Verdana" w:hAnsi="Verdana"/>
          <w:bCs/>
          <w:sz w:val="22"/>
          <w:szCs w:val="22"/>
        </w:rPr>
        <w:t xml:space="preserve">para analizar </w:t>
      </w:r>
      <w:r w:rsidR="00E01102" w:rsidRPr="000A2B0C">
        <w:rPr>
          <w:rFonts w:ascii="Verdana" w:hAnsi="Verdana"/>
          <w:bCs/>
          <w:sz w:val="22"/>
          <w:szCs w:val="22"/>
        </w:rPr>
        <w:t xml:space="preserve">todas </w:t>
      </w:r>
      <w:r w:rsidR="00297358" w:rsidRPr="00C11B6A">
        <w:rPr>
          <w:rFonts w:ascii="Verdana" w:hAnsi="Verdana"/>
          <w:bCs/>
          <w:sz w:val="22"/>
          <w:szCs w:val="22"/>
        </w:rPr>
        <w:t>las alternativas</w:t>
      </w:r>
      <w:r w:rsidR="00E01102" w:rsidRPr="000A2B0C">
        <w:rPr>
          <w:rFonts w:ascii="Verdana" w:hAnsi="Verdana"/>
          <w:bCs/>
          <w:sz w:val="22"/>
          <w:szCs w:val="22"/>
        </w:rPr>
        <w:t>,</w:t>
      </w:r>
      <w:r w:rsidR="00297358" w:rsidRPr="00C11B6A">
        <w:rPr>
          <w:rFonts w:ascii="Verdana" w:hAnsi="Verdana"/>
          <w:bCs/>
          <w:sz w:val="22"/>
          <w:szCs w:val="22"/>
        </w:rPr>
        <w:t xml:space="preserve"> incluyendo la propuesta </w:t>
      </w:r>
      <w:r w:rsidR="00E01102" w:rsidRPr="000A2B0C">
        <w:rPr>
          <w:rFonts w:ascii="Verdana" w:hAnsi="Verdana"/>
          <w:bCs/>
          <w:sz w:val="22"/>
          <w:szCs w:val="22"/>
        </w:rPr>
        <w:t>de</w:t>
      </w:r>
      <w:r w:rsidR="00E01102" w:rsidRPr="00C11B6A">
        <w:rPr>
          <w:rFonts w:ascii="Verdana" w:hAnsi="Verdana"/>
          <w:bCs/>
          <w:sz w:val="22"/>
          <w:szCs w:val="22"/>
        </w:rPr>
        <w:t xml:space="preserve"> </w:t>
      </w:r>
      <w:r w:rsidR="00297358" w:rsidRPr="00C11B6A">
        <w:rPr>
          <w:rFonts w:ascii="Verdana" w:hAnsi="Verdana"/>
          <w:bCs/>
          <w:sz w:val="22"/>
          <w:szCs w:val="22"/>
        </w:rPr>
        <w:t xml:space="preserve">INTERCOLOMBIA </w:t>
      </w:r>
      <w:r w:rsidR="00E01102" w:rsidRPr="000A2B0C">
        <w:rPr>
          <w:rFonts w:ascii="Verdana" w:hAnsi="Verdana"/>
          <w:bCs/>
          <w:sz w:val="22"/>
          <w:szCs w:val="22"/>
        </w:rPr>
        <w:t xml:space="preserve">de </w:t>
      </w:r>
      <w:r w:rsidR="0031268D">
        <w:rPr>
          <w:rFonts w:ascii="Verdana" w:hAnsi="Verdana"/>
          <w:bCs/>
          <w:sz w:val="22"/>
          <w:szCs w:val="22"/>
        </w:rPr>
        <w:t>utilizar</w:t>
      </w:r>
      <w:r w:rsidR="000A2B0C" w:rsidRPr="000A2B0C">
        <w:rPr>
          <w:rFonts w:ascii="Verdana" w:hAnsi="Verdana"/>
          <w:bCs/>
          <w:sz w:val="22"/>
          <w:szCs w:val="22"/>
        </w:rPr>
        <w:t xml:space="preserve"> una bahía de reactor para configurar una conexión normalizada de la demanda de Junín en la subestación Renacer, “sacrificando” claro está</w:t>
      </w:r>
      <w:r w:rsidR="000A2B0C">
        <w:rPr>
          <w:rFonts w:ascii="Verdana" w:hAnsi="Verdana"/>
          <w:bCs/>
          <w:sz w:val="22"/>
          <w:szCs w:val="22"/>
        </w:rPr>
        <w:t>,</w:t>
      </w:r>
      <w:r w:rsidR="000A2B0C" w:rsidRPr="000A2B0C">
        <w:rPr>
          <w:rFonts w:ascii="Verdana" w:hAnsi="Verdana"/>
          <w:bCs/>
          <w:sz w:val="22"/>
          <w:szCs w:val="22"/>
        </w:rPr>
        <w:t xml:space="preserve"> la energización de un reactor para el control de tensiones en tiempo real.</w:t>
      </w:r>
    </w:p>
    <w:p w14:paraId="7B66A3A3" w14:textId="77777777" w:rsidR="00F7163D" w:rsidRPr="00C11B6A" w:rsidRDefault="00F7163D" w:rsidP="00C11B6A">
      <w:pPr>
        <w:pStyle w:val="Prrafodelista"/>
        <w:ind w:left="720"/>
        <w:jc w:val="both"/>
        <w:rPr>
          <w:rFonts w:ascii="Verdana" w:hAnsi="Verdana"/>
          <w:bCs/>
          <w:sz w:val="22"/>
          <w:szCs w:val="22"/>
        </w:rPr>
      </w:pPr>
    </w:p>
    <w:p w14:paraId="3F0302E2" w14:textId="33C3CA2B" w:rsidR="00F7163D" w:rsidRPr="001B36E2" w:rsidRDefault="00F7163D" w:rsidP="001B36E2">
      <w:pPr>
        <w:pStyle w:val="Prrafodelista"/>
        <w:numPr>
          <w:ilvl w:val="0"/>
          <w:numId w:val="39"/>
        </w:numPr>
        <w:jc w:val="both"/>
        <w:rPr>
          <w:rFonts w:ascii="Verdana" w:hAnsi="Verdana"/>
          <w:bCs/>
          <w:sz w:val="22"/>
          <w:szCs w:val="22"/>
        </w:rPr>
      </w:pPr>
      <w:r w:rsidRPr="001B36E2">
        <w:rPr>
          <w:rFonts w:ascii="Verdana" w:hAnsi="Verdana"/>
          <w:bCs/>
          <w:sz w:val="22"/>
          <w:szCs w:val="22"/>
        </w:rPr>
        <w:t xml:space="preserve">Mediante la Resolución CREG 187 de 2020 se establecieron las disposiciones para la actualización del </w:t>
      </w:r>
      <w:r w:rsidR="00050144" w:rsidRPr="001B36E2">
        <w:rPr>
          <w:rFonts w:ascii="Verdana" w:hAnsi="Verdana"/>
          <w:bCs/>
          <w:sz w:val="22"/>
          <w:szCs w:val="22"/>
        </w:rPr>
        <w:t>E</w:t>
      </w:r>
      <w:r w:rsidRPr="001B36E2">
        <w:rPr>
          <w:rFonts w:ascii="Verdana" w:hAnsi="Verdana"/>
          <w:bCs/>
          <w:sz w:val="22"/>
          <w:szCs w:val="22"/>
        </w:rPr>
        <w:t xml:space="preserve">squema de </w:t>
      </w:r>
      <w:r w:rsidR="00050144" w:rsidRPr="001B36E2">
        <w:rPr>
          <w:rFonts w:ascii="Verdana" w:hAnsi="Verdana"/>
          <w:bCs/>
          <w:sz w:val="22"/>
          <w:szCs w:val="22"/>
        </w:rPr>
        <w:t>S</w:t>
      </w:r>
      <w:r w:rsidRPr="001B36E2">
        <w:rPr>
          <w:rFonts w:ascii="Verdana" w:hAnsi="Verdana"/>
          <w:bCs/>
          <w:sz w:val="22"/>
          <w:szCs w:val="22"/>
        </w:rPr>
        <w:t xml:space="preserve">eparación de </w:t>
      </w:r>
      <w:r w:rsidR="00050144" w:rsidRPr="001B36E2">
        <w:rPr>
          <w:rFonts w:ascii="Verdana" w:hAnsi="Verdana"/>
          <w:bCs/>
          <w:sz w:val="22"/>
          <w:szCs w:val="22"/>
        </w:rPr>
        <w:t>Á</w:t>
      </w:r>
      <w:r w:rsidRPr="001B36E2">
        <w:rPr>
          <w:rFonts w:ascii="Verdana" w:hAnsi="Verdana"/>
          <w:bCs/>
          <w:sz w:val="22"/>
          <w:szCs w:val="22"/>
        </w:rPr>
        <w:t>reas</w:t>
      </w:r>
      <w:r w:rsidR="00050144" w:rsidRPr="001B36E2">
        <w:rPr>
          <w:rFonts w:ascii="Verdana" w:hAnsi="Verdana"/>
          <w:bCs/>
          <w:sz w:val="22"/>
          <w:szCs w:val="22"/>
        </w:rPr>
        <w:t>-ESA</w:t>
      </w:r>
      <w:r w:rsidRPr="001B36E2">
        <w:rPr>
          <w:rFonts w:ascii="Verdana" w:hAnsi="Verdana"/>
          <w:bCs/>
          <w:sz w:val="22"/>
          <w:szCs w:val="22"/>
        </w:rPr>
        <w:t xml:space="preserve"> de la interconexión Colombia</w:t>
      </w:r>
      <w:r w:rsidR="00050144" w:rsidRPr="001B36E2">
        <w:rPr>
          <w:rFonts w:ascii="Verdana" w:hAnsi="Verdana"/>
          <w:bCs/>
          <w:sz w:val="22"/>
          <w:szCs w:val="22"/>
        </w:rPr>
        <w:t>-</w:t>
      </w:r>
      <w:r w:rsidRPr="001B36E2">
        <w:rPr>
          <w:rFonts w:ascii="Verdana" w:hAnsi="Verdana"/>
          <w:bCs/>
          <w:sz w:val="22"/>
          <w:szCs w:val="22"/>
        </w:rPr>
        <w:t xml:space="preserve">Ecuador a 230 kV. En el artículo 1 de esta </w:t>
      </w:r>
      <w:r w:rsidR="00050144" w:rsidRPr="001B36E2">
        <w:rPr>
          <w:rFonts w:ascii="Verdana" w:hAnsi="Verdana"/>
          <w:bCs/>
          <w:sz w:val="22"/>
          <w:szCs w:val="22"/>
        </w:rPr>
        <w:t>R</w:t>
      </w:r>
      <w:r w:rsidRPr="001B36E2">
        <w:rPr>
          <w:rFonts w:ascii="Verdana" w:hAnsi="Verdana"/>
          <w:bCs/>
          <w:sz w:val="22"/>
          <w:szCs w:val="22"/>
        </w:rPr>
        <w:t xml:space="preserve">esolución se prevé que el CND debe informar al CNO sobre la necesidad de actualización del </w:t>
      </w:r>
      <w:r w:rsidR="00050144" w:rsidRPr="001B36E2">
        <w:rPr>
          <w:rFonts w:ascii="Verdana" w:hAnsi="Verdana"/>
          <w:bCs/>
          <w:sz w:val="22"/>
          <w:szCs w:val="22"/>
        </w:rPr>
        <w:t>ESA</w:t>
      </w:r>
      <w:r w:rsidRPr="001B36E2">
        <w:rPr>
          <w:rFonts w:ascii="Verdana" w:hAnsi="Verdana"/>
          <w:bCs/>
          <w:sz w:val="22"/>
          <w:szCs w:val="22"/>
        </w:rPr>
        <w:t xml:space="preserve">, y ambos deben acordar el plazo que tendrán los transmisores responsables de la interconexión para la entrada en operación comercial de estos activos. </w:t>
      </w:r>
      <w:r w:rsidR="00050144" w:rsidRPr="001B36E2">
        <w:rPr>
          <w:rFonts w:ascii="Verdana" w:hAnsi="Verdana"/>
          <w:bCs/>
          <w:sz w:val="22"/>
          <w:szCs w:val="22"/>
        </w:rPr>
        <w:t xml:space="preserve">Adicionalmente, </w:t>
      </w:r>
      <w:r w:rsidR="00E226AA" w:rsidRPr="001B36E2">
        <w:rPr>
          <w:rFonts w:ascii="Verdana" w:hAnsi="Verdana"/>
          <w:bCs/>
          <w:sz w:val="22"/>
          <w:szCs w:val="22"/>
        </w:rPr>
        <w:t>estos últimos</w:t>
      </w:r>
      <w:r w:rsidRPr="001B36E2">
        <w:rPr>
          <w:rFonts w:ascii="Verdana" w:hAnsi="Verdana"/>
          <w:bCs/>
          <w:sz w:val="22"/>
          <w:szCs w:val="22"/>
        </w:rPr>
        <w:t xml:space="preserve"> deben presentar, para aprobación del CNO, el plan de acción para la actualización del </w:t>
      </w:r>
      <w:r w:rsidR="00050144" w:rsidRPr="001B36E2">
        <w:rPr>
          <w:rFonts w:ascii="Verdana" w:hAnsi="Verdana"/>
          <w:bCs/>
          <w:sz w:val="22"/>
          <w:szCs w:val="22"/>
        </w:rPr>
        <w:t>ESA</w:t>
      </w:r>
      <w:r w:rsidRPr="001B36E2">
        <w:rPr>
          <w:rFonts w:ascii="Verdana" w:hAnsi="Verdana"/>
          <w:bCs/>
          <w:sz w:val="22"/>
          <w:szCs w:val="22"/>
        </w:rPr>
        <w:t xml:space="preserve">, incluyendo el cronograma con el detalle de las actividades necesarias para la puesta en operación del nuevo </w:t>
      </w:r>
      <w:r w:rsidR="00050144" w:rsidRPr="001B36E2">
        <w:rPr>
          <w:rFonts w:ascii="Verdana" w:hAnsi="Verdana"/>
          <w:bCs/>
          <w:sz w:val="22"/>
          <w:szCs w:val="22"/>
        </w:rPr>
        <w:t>E</w:t>
      </w:r>
      <w:r w:rsidRPr="001B36E2">
        <w:rPr>
          <w:rFonts w:ascii="Verdana" w:hAnsi="Verdana"/>
          <w:bCs/>
          <w:sz w:val="22"/>
          <w:szCs w:val="22"/>
        </w:rPr>
        <w:t>squema.</w:t>
      </w:r>
    </w:p>
    <w:p w14:paraId="2E026602" w14:textId="719268B9" w:rsidR="00F7163D" w:rsidRPr="00F7163D" w:rsidRDefault="00F7163D" w:rsidP="00C11B6A">
      <w:pPr>
        <w:pStyle w:val="Prrafodelista"/>
        <w:ind w:left="360"/>
        <w:jc w:val="both"/>
        <w:rPr>
          <w:rFonts w:ascii="Verdana" w:hAnsi="Verdana"/>
          <w:color w:val="000000" w:themeColor="text1"/>
          <w:sz w:val="22"/>
          <w:szCs w:val="22"/>
        </w:rPr>
      </w:pPr>
    </w:p>
    <w:p w14:paraId="0C548619" w14:textId="165C71FA" w:rsidR="00B2419B" w:rsidRDefault="00F7163D" w:rsidP="00CB444E">
      <w:pPr>
        <w:pStyle w:val="Prrafodelista"/>
        <w:numPr>
          <w:ilvl w:val="0"/>
          <w:numId w:val="39"/>
        </w:numPr>
        <w:jc w:val="both"/>
        <w:rPr>
          <w:rFonts w:ascii="Verdana" w:hAnsi="Verdana"/>
          <w:bCs/>
          <w:sz w:val="22"/>
          <w:szCs w:val="22"/>
        </w:rPr>
      </w:pPr>
      <w:r w:rsidRPr="00C11B6A">
        <w:rPr>
          <w:rFonts w:ascii="Verdana" w:hAnsi="Verdana"/>
          <w:bCs/>
          <w:sz w:val="22"/>
          <w:szCs w:val="22"/>
        </w:rPr>
        <w:t>La Comisión expidió la Resolución CREG 19</w:t>
      </w:r>
      <w:r w:rsidR="00E226AA">
        <w:rPr>
          <w:rFonts w:ascii="Verdana" w:hAnsi="Verdana"/>
          <w:bCs/>
          <w:sz w:val="22"/>
          <w:szCs w:val="22"/>
        </w:rPr>
        <w:t>3</w:t>
      </w:r>
      <w:r w:rsidRPr="00C11B6A">
        <w:rPr>
          <w:rFonts w:ascii="Verdana" w:hAnsi="Verdana"/>
          <w:bCs/>
          <w:sz w:val="22"/>
          <w:szCs w:val="22"/>
        </w:rPr>
        <w:t xml:space="preserve"> </w:t>
      </w:r>
      <w:r w:rsidR="00E226AA">
        <w:rPr>
          <w:rFonts w:ascii="Verdana" w:hAnsi="Verdana"/>
          <w:bCs/>
          <w:sz w:val="22"/>
          <w:szCs w:val="22"/>
        </w:rPr>
        <w:t xml:space="preserve">de 2020, </w:t>
      </w:r>
      <w:r w:rsidRPr="00C11B6A">
        <w:rPr>
          <w:rFonts w:ascii="Verdana" w:hAnsi="Verdana"/>
          <w:bCs/>
          <w:sz w:val="22"/>
          <w:szCs w:val="22"/>
        </w:rPr>
        <w:t>que modifica la Resolución CREG 022 de 2001 relacionada con la expansión del STN.</w:t>
      </w:r>
      <w:r w:rsidR="00B2419B">
        <w:rPr>
          <w:rFonts w:ascii="Verdana" w:hAnsi="Verdana"/>
          <w:bCs/>
          <w:sz w:val="22"/>
          <w:szCs w:val="22"/>
        </w:rPr>
        <w:t xml:space="preserve"> En ella la C</w:t>
      </w:r>
      <w:r w:rsidR="00A703D5">
        <w:rPr>
          <w:rFonts w:ascii="Verdana" w:hAnsi="Verdana"/>
          <w:bCs/>
          <w:sz w:val="22"/>
          <w:szCs w:val="22"/>
        </w:rPr>
        <w:t>REG</w:t>
      </w:r>
      <w:r w:rsidR="00B2419B">
        <w:rPr>
          <w:rFonts w:ascii="Verdana" w:hAnsi="Verdana"/>
          <w:bCs/>
          <w:sz w:val="22"/>
          <w:szCs w:val="22"/>
        </w:rPr>
        <w:t xml:space="preserve"> extiende el concepto de ampliación incorporando nuevas figuras, como:</w:t>
      </w:r>
    </w:p>
    <w:p w14:paraId="21A930D2" w14:textId="77777777" w:rsidR="00B2419B" w:rsidRPr="00C11B6A" w:rsidRDefault="00B2419B" w:rsidP="00C11B6A">
      <w:pPr>
        <w:pStyle w:val="Prrafodelista"/>
        <w:rPr>
          <w:rFonts w:ascii="Verdana" w:hAnsi="Verdana"/>
          <w:bCs/>
          <w:sz w:val="22"/>
          <w:szCs w:val="22"/>
        </w:rPr>
      </w:pPr>
    </w:p>
    <w:p w14:paraId="3B8E02BE" w14:textId="77777777" w:rsidR="00A703D5" w:rsidRPr="00C11B6A" w:rsidRDefault="00A703D5" w:rsidP="00A703D5">
      <w:pPr>
        <w:pStyle w:val="Prrafodelista"/>
        <w:numPr>
          <w:ilvl w:val="0"/>
          <w:numId w:val="38"/>
        </w:numPr>
        <w:contextualSpacing/>
        <w:jc w:val="both"/>
        <w:rPr>
          <w:rFonts w:ascii="Verdana" w:eastAsia="Verdana" w:hAnsi="Verdana" w:cs="Verdana"/>
          <w:sz w:val="22"/>
          <w:szCs w:val="22"/>
        </w:rPr>
      </w:pPr>
      <w:r>
        <w:rPr>
          <w:rFonts w:ascii="Verdana" w:hAnsi="Verdana"/>
          <w:bCs/>
          <w:sz w:val="22"/>
          <w:szCs w:val="22"/>
        </w:rPr>
        <w:t>B</w:t>
      </w:r>
      <w:r w:rsidR="00B2419B" w:rsidRPr="00C11B6A">
        <w:rPr>
          <w:rFonts w:ascii="Verdana" w:hAnsi="Verdana"/>
          <w:bCs/>
          <w:sz w:val="22"/>
          <w:szCs w:val="22"/>
        </w:rPr>
        <w:t>ahías para compensaciones fijas</w:t>
      </w:r>
      <w:r>
        <w:rPr>
          <w:rFonts w:ascii="Verdana" w:hAnsi="Verdana"/>
          <w:bCs/>
          <w:sz w:val="22"/>
          <w:szCs w:val="22"/>
        </w:rPr>
        <w:t>.</w:t>
      </w:r>
    </w:p>
    <w:p w14:paraId="389C8BC5" w14:textId="77777777" w:rsidR="00D576EF" w:rsidRPr="00C11B6A" w:rsidRDefault="00D576EF" w:rsidP="00C11B6A">
      <w:pPr>
        <w:pStyle w:val="Prrafodelista"/>
        <w:ind w:left="1080"/>
        <w:contextualSpacing/>
        <w:jc w:val="both"/>
        <w:rPr>
          <w:rFonts w:ascii="Verdana" w:eastAsia="Verdana" w:hAnsi="Verdana" w:cs="Verdana"/>
          <w:sz w:val="22"/>
          <w:szCs w:val="22"/>
        </w:rPr>
      </w:pPr>
    </w:p>
    <w:p w14:paraId="5F99A205" w14:textId="72DA37D3" w:rsidR="00A703D5" w:rsidRPr="00C11B6A" w:rsidRDefault="00A703D5" w:rsidP="00A703D5">
      <w:pPr>
        <w:pStyle w:val="Prrafodelista"/>
        <w:numPr>
          <w:ilvl w:val="0"/>
          <w:numId w:val="38"/>
        </w:numPr>
        <w:contextualSpacing/>
        <w:jc w:val="both"/>
        <w:rPr>
          <w:rFonts w:ascii="Verdana" w:eastAsia="Verdana" w:hAnsi="Verdana" w:cs="Verdana"/>
          <w:sz w:val="22"/>
          <w:szCs w:val="22"/>
        </w:rPr>
      </w:pPr>
      <w:r>
        <w:rPr>
          <w:rFonts w:ascii="Verdana" w:hAnsi="Verdana"/>
          <w:bCs/>
          <w:sz w:val="22"/>
          <w:szCs w:val="22"/>
        </w:rPr>
        <w:t>E</w:t>
      </w:r>
      <w:r w:rsidR="00B2419B" w:rsidRPr="00C11B6A">
        <w:rPr>
          <w:rFonts w:ascii="Verdana" w:hAnsi="Verdana"/>
          <w:bCs/>
          <w:sz w:val="22"/>
          <w:szCs w:val="22"/>
        </w:rPr>
        <w:t>quipos para control de tensión</w:t>
      </w:r>
      <w:r>
        <w:rPr>
          <w:rFonts w:ascii="Verdana" w:hAnsi="Verdana"/>
          <w:bCs/>
          <w:sz w:val="22"/>
          <w:szCs w:val="22"/>
        </w:rPr>
        <w:t>.</w:t>
      </w:r>
    </w:p>
    <w:p w14:paraId="7C12253F" w14:textId="77777777" w:rsidR="00D576EF" w:rsidRPr="00C11B6A" w:rsidRDefault="00D576EF" w:rsidP="00C11B6A">
      <w:pPr>
        <w:pStyle w:val="Prrafodelista"/>
        <w:ind w:left="1080"/>
        <w:contextualSpacing/>
        <w:jc w:val="both"/>
        <w:rPr>
          <w:rFonts w:ascii="Verdana" w:eastAsia="Verdana" w:hAnsi="Verdana" w:cs="Verdana"/>
          <w:sz w:val="22"/>
          <w:szCs w:val="22"/>
        </w:rPr>
      </w:pPr>
    </w:p>
    <w:p w14:paraId="7AFB91AB" w14:textId="68AAD09E" w:rsidR="00A703D5" w:rsidRPr="00C11B6A" w:rsidRDefault="00A703D5" w:rsidP="00A703D5">
      <w:pPr>
        <w:pStyle w:val="Prrafodelista"/>
        <w:numPr>
          <w:ilvl w:val="0"/>
          <w:numId w:val="38"/>
        </w:numPr>
        <w:contextualSpacing/>
        <w:jc w:val="both"/>
        <w:rPr>
          <w:rFonts w:ascii="Verdana" w:eastAsia="Verdana" w:hAnsi="Verdana" w:cs="Verdana"/>
          <w:sz w:val="22"/>
          <w:szCs w:val="22"/>
        </w:rPr>
      </w:pPr>
      <w:r>
        <w:rPr>
          <w:rFonts w:ascii="Verdana" w:hAnsi="Verdana"/>
          <w:bCs/>
          <w:sz w:val="22"/>
          <w:szCs w:val="22"/>
        </w:rPr>
        <w:t>E</w:t>
      </w:r>
      <w:r w:rsidR="00B2419B" w:rsidRPr="00C11B6A">
        <w:rPr>
          <w:rFonts w:ascii="Verdana" w:hAnsi="Verdana"/>
          <w:bCs/>
          <w:sz w:val="22"/>
          <w:szCs w:val="22"/>
        </w:rPr>
        <w:t>squemas de separación de áreas, ESA</w:t>
      </w:r>
      <w:r>
        <w:rPr>
          <w:rFonts w:ascii="Verdana" w:hAnsi="Verdana"/>
          <w:bCs/>
          <w:sz w:val="22"/>
          <w:szCs w:val="22"/>
        </w:rPr>
        <w:t>.</w:t>
      </w:r>
    </w:p>
    <w:p w14:paraId="30232E66" w14:textId="77777777" w:rsidR="00D576EF" w:rsidRPr="00C11B6A" w:rsidRDefault="00D576EF" w:rsidP="00C11B6A">
      <w:pPr>
        <w:pStyle w:val="Prrafodelista"/>
        <w:ind w:left="1080"/>
        <w:contextualSpacing/>
        <w:jc w:val="both"/>
        <w:rPr>
          <w:rFonts w:ascii="Verdana" w:eastAsia="Verdana" w:hAnsi="Verdana" w:cs="Verdana"/>
          <w:sz w:val="22"/>
          <w:szCs w:val="22"/>
        </w:rPr>
      </w:pPr>
    </w:p>
    <w:p w14:paraId="3A8C80A1" w14:textId="5F2BD8A6" w:rsidR="00A703D5" w:rsidRPr="00C11B6A" w:rsidRDefault="00A703D5" w:rsidP="00A703D5">
      <w:pPr>
        <w:pStyle w:val="Prrafodelista"/>
        <w:numPr>
          <w:ilvl w:val="0"/>
          <w:numId w:val="38"/>
        </w:numPr>
        <w:contextualSpacing/>
        <w:jc w:val="both"/>
        <w:rPr>
          <w:rFonts w:ascii="Verdana" w:eastAsia="Verdana" w:hAnsi="Verdana" w:cs="Verdana"/>
          <w:sz w:val="22"/>
          <w:szCs w:val="22"/>
        </w:rPr>
      </w:pPr>
      <w:r>
        <w:rPr>
          <w:rFonts w:ascii="Verdana" w:hAnsi="Verdana"/>
          <w:bCs/>
          <w:sz w:val="22"/>
          <w:szCs w:val="22"/>
        </w:rPr>
        <w:t>C</w:t>
      </w:r>
      <w:r w:rsidR="00B2419B" w:rsidRPr="00C11B6A">
        <w:rPr>
          <w:rFonts w:ascii="Verdana" w:hAnsi="Verdana"/>
          <w:bCs/>
          <w:sz w:val="22"/>
          <w:szCs w:val="22"/>
        </w:rPr>
        <w:t>ambio de conductores en líneas existentes o de bahías en subestaciones, por otros activos de mayores especificaciones a las consideradas en la definición de las unidades constructivas existentes</w:t>
      </w:r>
      <w:r>
        <w:rPr>
          <w:rFonts w:ascii="Verdana" w:hAnsi="Verdana"/>
          <w:bCs/>
          <w:sz w:val="22"/>
          <w:szCs w:val="22"/>
        </w:rPr>
        <w:t>.</w:t>
      </w:r>
    </w:p>
    <w:p w14:paraId="71BF9573" w14:textId="77777777" w:rsidR="00A703D5" w:rsidRPr="00C11B6A" w:rsidRDefault="00A703D5" w:rsidP="00A703D5">
      <w:pPr>
        <w:pStyle w:val="Prrafodelista"/>
        <w:numPr>
          <w:ilvl w:val="0"/>
          <w:numId w:val="38"/>
        </w:numPr>
        <w:contextualSpacing/>
        <w:jc w:val="both"/>
        <w:rPr>
          <w:rFonts w:ascii="Verdana" w:eastAsia="Verdana" w:hAnsi="Verdana" w:cs="Verdana"/>
          <w:sz w:val="22"/>
          <w:szCs w:val="22"/>
        </w:rPr>
      </w:pPr>
      <w:r>
        <w:rPr>
          <w:rFonts w:ascii="Verdana" w:hAnsi="Verdana"/>
          <w:bCs/>
          <w:sz w:val="22"/>
          <w:szCs w:val="22"/>
        </w:rPr>
        <w:t>I</w:t>
      </w:r>
      <w:r w:rsidR="00B2419B" w:rsidRPr="00C11B6A">
        <w:rPr>
          <w:rFonts w:ascii="Verdana" w:hAnsi="Verdana"/>
          <w:bCs/>
          <w:sz w:val="22"/>
          <w:szCs w:val="22"/>
        </w:rPr>
        <w:t>mplementación de Unidades Constructivas que componen los Centros de Supervisión y Maniobra del STN</w:t>
      </w:r>
      <w:r>
        <w:rPr>
          <w:rFonts w:ascii="Verdana" w:hAnsi="Verdana"/>
          <w:bCs/>
          <w:sz w:val="22"/>
          <w:szCs w:val="22"/>
        </w:rPr>
        <w:t>.</w:t>
      </w:r>
    </w:p>
    <w:p w14:paraId="36568E64" w14:textId="77777777" w:rsidR="00D576EF" w:rsidRPr="00C11B6A" w:rsidRDefault="00D576EF" w:rsidP="00C11B6A">
      <w:pPr>
        <w:pStyle w:val="Prrafodelista"/>
        <w:ind w:left="1080"/>
        <w:contextualSpacing/>
        <w:jc w:val="both"/>
        <w:rPr>
          <w:rFonts w:ascii="Verdana" w:eastAsia="Verdana" w:hAnsi="Verdana" w:cs="Verdana"/>
          <w:sz w:val="22"/>
          <w:szCs w:val="22"/>
        </w:rPr>
      </w:pPr>
    </w:p>
    <w:p w14:paraId="3CDFEC1E" w14:textId="50B7CD94" w:rsidR="00F7163D" w:rsidRPr="00C11B6A" w:rsidRDefault="00A703D5" w:rsidP="00A703D5">
      <w:pPr>
        <w:pStyle w:val="Prrafodelista"/>
        <w:numPr>
          <w:ilvl w:val="0"/>
          <w:numId w:val="38"/>
        </w:numPr>
        <w:contextualSpacing/>
        <w:jc w:val="both"/>
        <w:rPr>
          <w:rFonts w:ascii="Verdana" w:eastAsia="Verdana" w:hAnsi="Verdana" w:cs="Verdana"/>
          <w:sz w:val="22"/>
          <w:szCs w:val="22"/>
        </w:rPr>
      </w:pPr>
      <w:r>
        <w:rPr>
          <w:rFonts w:ascii="Verdana" w:hAnsi="Verdana"/>
          <w:bCs/>
          <w:sz w:val="22"/>
          <w:szCs w:val="22"/>
        </w:rPr>
        <w:t>I</w:t>
      </w:r>
      <w:r w:rsidR="00B2419B" w:rsidRPr="00C11B6A">
        <w:rPr>
          <w:rFonts w:ascii="Verdana" w:hAnsi="Verdana"/>
          <w:bCs/>
          <w:sz w:val="22"/>
          <w:szCs w:val="22"/>
        </w:rPr>
        <w:t xml:space="preserve">nstalación de módulos de compensación o sistemas flexibles de transmisión de corriente alterna, FACTS, en subestaciones o en líneas. </w:t>
      </w:r>
    </w:p>
    <w:p w14:paraId="58331411" w14:textId="77777777" w:rsidR="00A703D5" w:rsidRDefault="00A703D5" w:rsidP="00A703D5">
      <w:pPr>
        <w:ind w:left="720"/>
        <w:contextualSpacing/>
        <w:jc w:val="both"/>
        <w:rPr>
          <w:rFonts w:ascii="Verdana" w:eastAsia="Verdana" w:hAnsi="Verdana" w:cs="Verdana"/>
          <w:sz w:val="22"/>
          <w:szCs w:val="22"/>
        </w:rPr>
      </w:pPr>
    </w:p>
    <w:p w14:paraId="5D43994C" w14:textId="41E17342" w:rsidR="00A703D5" w:rsidRPr="00C11B6A" w:rsidRDefault="00A703D5" w:rsidP="00C11B6A">
      <w:pPr>
        <w:pStyle w:val="Prrafodelista"/>
        <w:ind w:left="720"/>
        <w:jc w:val="both"/>
        <w:rPr>
          <w:rFonts w:ascii="Verdana" w:hAnsi="Verdana"/>
          <w:bCs/>
          <w:sz w:val="22"/>
          <w:szCs w:val="22"/>
        </w:rPr>
      </w:pPr>
      <w:r w:rsidRPr="00C11B6A">
        <w:rPr>
          <w:rFonts w:ascii="Verdana" w:hAnsi="Verdana"/>
          <w:bCs/>
          <w:sz w:val="22"/>
          <w:szCs w:val="22"/>
        </w:rPr>
        <w:t xml:space="preserve">Al respecto, se destaca la posibilidad que brinda la norma para la repotenciación de líneas y elementos de subestaciones, no obstante, debe aclararse con la Comisión </w:t>
      </w:r>
      <w:r w:rsidR="00913D2C" w:rsidRPr="00C11B6A">
        <w:rPr>
          <w:rFonts w:ascii="Verdana" w:hAnsi="Verdana"/>
          <w:bCs/>
          <w:sz w:val="22"/>
          <w:szCs w:val="22"/>
        </w:rPr>
        <w:t xml:space="preserve">la instrumentación del Artículo 6, ya que las Unidades Constructivas en el STN no están tipificadas por capacidad de transporte de corriente o capacidad de cortocircuito. Adicionalmente, la Resolución establecen que dichas ampliaciones pueden ejecutarse en instalaciones que ya estén en operación, o en proyectos adjudicados mediante procesos de selección para los que ya esté en firme la resolución que hace oficial el ingreso anual esperado de estos proyectos.  </w:t>
      </w:r>
      <w:r w:rsidRPr="00C11B6A">
        <w:rPr>
          <w:rFonts w:ascii="Verdana" w:hAnsi="Verdana"/>
          <w:bCs/>
          <w:sz w:val="22"/>
          <w:szCs w:val="22"/>
        </w:rPr>
        <w:t xml:space="preserve">   </w:t>
      </w:r>
    </w:p>
    <w:p w14:paraId="6D7BD790" w14:textId="77777777" w:rsidR="00F7163D" w:rsidRPr="00C11B6A" w:rsidRDefault="00F7163D" w:rsidP="00C11B6A">
      <w:pPr>
        <w:pStyle w:val="Prrafodelista"/>
        <w:ind w:left="720"/>
        <w:jc w:val="both"/>
        <w:rPr>
          <w:rFonts w:ascii="Verdana" w:hAnsi="Verdana"/>
          <w:bCs/>
          <w:sz w:val="22"/>
          <w:szCs w:val="22"/>
        </w:rPr>
      </w:pPr>
    </w:p>
    <w:p w14:paraId="74C6EBF7" w14:textId="77777777" w:rsidR="00D363ED" w:rsidRPr="00D363ED" w:rsidRDefault="00D363ED" w:rsidP="00CB444E">
      <w:pPr>
        <w:pStyle w:val="Prrafodelista"/>
        <w:numPr>
          <w:ilvl w:val="0"/>
          <w:numId w:val="39"/>
        </w:numPr>
        <w:jc w:val="both"/>
        <w:rPr>
          <w:rFonts w:ascii="Verdana" w:hAnsi="Verdana"/>
          <w:bCs/>
          <w:sz w:val="22"/>
          <w:szCs w:val="22"/>
        </w:rPr>
      </w:pPr>
      <w:r w:rsidRPr="00D363ED">
        <w:rPr>
          <w:rFonts w:ascii="Verdana" w:hAnsi="Verdana"/>
          <w:bCs/>
          <w:sz w:val="22"/>
          <w:szCs w:val="22"/>
        </w:rPr>
        <w:t>El Ministerio de Minas y Energía expidió la Resolución 40311 de 2020, “</w:t>
      </w:r>
      <w:r w:rsidRPr="00C11B6A">
        <w:rPr>
          <w:rFonts w:ascii="Verdana" w:hAnsi="Verdana"/>
          <w:bCs/>
          <w:i/>
          <w:iCs/>
          <w:sz w:val="22"/>
          <w:szCs w:val="22"/>
        </w:rPr>
        <w:t>Por la cual se establecen los lineamientos de política pública para la asignación de capacidad de transporte a generadores en el Sistema Interconectado Naciona</w:t>
      </w:r>
      <w:r w:rsidRPr="00D363ED">
        <w:rPr>
          <w:rFonts w:ascii="Verdana" w:hAnsi="Verdana"/>
          <w:bCs/>
          <w:sz w:val="22"/>
          <w:szCs w:val="22"/>
        </w:rPr>
        <w:t>l”, la cual contiene el siguiente lineamiento en el numeral 11 del artículo 4:</w:t>
      </w:r>
    </w:p>
    <w:p w14:paraId="26FACB43" w14:textId="77777777" w:rsidR="00D363ED" w:rsidRDefault="00D363ED" w:rsidP="00D363ED">
      <w:pPr>
        <w:pStyle w:val="Prrafodelista"/>
        <w:rPr>
          <w:rFonts w:ascii="Verdana" w:hAnsi="Verdana"/>
          <w:bCs/>
          <w:sz w:val="22"/>
          <w:szCs w:val="22"/>
        </w:rPr>
      </w:pPr>
    </w:p>
    <w:p w14:paraId="0E5750F4" w14:textId="2F7D887C" w:rsidR="00D363ED" w:rsidRPr="00C11B6A" w:rsidRDefault="00D363ED" w:rsidP="00C11B6A">
      <w:pPr>
        <w:pStyle w:val="Prrafodelista"/>
        <w:ind w:left="1440"/>
        <w:jc w:val="both"/>
        <w:rPr>
          <w:rFonts w:ascii="Verdana" w:hAnsi="Verdana"/>
          <w:bCs/>
          <w:i/>
          <w:iCs/>
          <w:sz w:val="20"/>
        </w:rPr>
      </w:pPr>
      <w:r w:rsidRPr="00C11B6A">
        <w:rPr>
          <w:rFonts w:ascii="Verdana" w:hAnsi="Verdana"/>
          <w:bCs/>
          <w:sz w:val="20"/>
        </w:rPr>
        <w:lastRenderedPageBreak/>
        <w:t>“</w:t>
      </w:r>
      <w:r w:rsidRPr="00C11B6A">
        <w:rPr>
          <w:rFonts w:ascii="Verdana" w:hAnsi="Verdana"/>
          <w:bCs/>
          <w:i/>
          <w:iCs/>
          <w:sz w:val="20"/>
        </w:rPr>
        <w:t xml:space="preserve">Si a la fecha prevista para la puesta en operación de un proyecto de generación, por retrasos en la puesta en servicio de obras de expansión del Sistema Interconectado Nacional, no se cuenta con la capacidad de transporte que le fue asignada al proyecto, la Unidad de Planeación </w:t>
      </w:r>
      <w:r w:rsidR="00751956" w:rsidRPr="00C11B6A">
        <w:rPr>
          <w:rFonts w:ascii="Verdana" w:hAnsi="Verdana"/>
          <w:bCs/>
          <w:i/>
          <w:iCs/>
          <w:sz w:val="20"/>
        </w:rPr>
        <w:t>Minero-Energética</w:t>
      </w:r>
      <w:r w:rsidRPr="00C11B6A">
        <w:rPr>
          <w:rFonts w:ascii="Verdana" w:hAnsi="Verdana"/>
          <w:bCs/>
          <w:i/>
          <w:iCs/>
          <w:sz w:val="20"/>
        </w:rPr>
        <w:t>-UPME podrá dar concepto favorable para que el proyecto se conecte temporalmente con una capacidad de transporte menor a la asignada. Igualmente, si mientras entran en operación proyectos de generación con capacidad de transporte asignada por la UPME, se cuenta con disponibilidad de transporte en el Sistema Interconectado Nacional, la Unidad podrá dar concepto favorable para que se conecten de manera temporal otros proyectos de generación que beneficien al sistema cumpliendo los criterios de seguridad, calidad y confiabilidad del Sistema Interconectado Nacional.</w:t>
      </w:r>
    </w:p>
    <w:p w14:paraId="588E1797" w14:textId="77777777" w:rsidR="00D363ED" w:rsidRPr="00C11B6A" w:rsidRDefault="00D363ED" w:rsidP="00C11B6A">
      <w:pPr>
        <w:pStyle w:val="Prrafodelista"/>
        <w:ind w:left="1440"/>
        <w:jc w:val="both"/>
        <w:rPr>
          <w:rFonts w:ascii="Verdana" w:hAnsi="Verdana"/>
          <w:bCs/>
          <w:i/>
          <w:iCs/>
          <w:sz w:val="20"/>
        </w:rPr>
      </w:pPr>
    </w:p>
    <w:p w14:paraId="46C95B9C" w14:textId="34D8FCF2" w:rsidR="00D363ED" w:rsidRPr="00C11B6A" w:rsidRDefault="00D363ED" w:rsidP="00C11B6A">
      <w:pPr>
        <w:pStyle w:val="Prrafodelista"/>
        <w:ind w:left="1440"/>
        <w:jc w:val="both"/>
        <w:rPr>
          <w:rFonts w:ascii="Verdana" w:hAnsi="Verdana"/>
          <w:bCs/>
          <w:i/>
          <w:iCs/>
          <w:sz w:val="20"/>
        </w:rPr>
      </w:pPr>
      <w:r w:rsidRPr="00C11B6A">
        <w:rPr>
          <w:rFonts w:ascii="Verdana" w:hAnsi="Verdana"/>
          <w:bCs/>
          <w:i/>
          <w:iCs/>
          <w:sz w:val="20"/>
        </w:rPr>
        <w:t>La Comisión de Regulación de Energía y Gas-CREG, o la entidad que ésta determine, definirá las condiciones, mecanismos y/o esquemas operativos de aquellos casos en que para la fecha de entrada en operación de un proyecto de generación, por retrasos en la puesta en servicio de obras de expansión del Sistema Interconectado Nacional, no se cuenta con la capacidad de transporte que le fue asignada al proyecto por la UPME, y así garantizar que en todo momento, se cumplan los criterios de calidad, seguridad y confiabilidad de operación en las redes del Sistema Interconectado Nacional.</w:t>
      </w:r>
    </w:p>
    <w:p w14:paraId="7771C88C" w14:textId="77777777" w:rsidR="00D363ED" w:rsidRPr="00C11B6A" w:rsidRDefault="00D363ED" w:rsidP="00C11B6A">
      <w:pPr>
        <w:pStyle w:val="Prrafodelista"/>
        <w:ind w:left="1440"/>
        <w:jc w:val="both"/>
        <w:rPr>
          <w:rFonts w:ascii="Verdana" w:hAnsi="Verdana"/>
          <w:bCs/>
          <w:i/>
          <w:iCs/>
          <w:sz w:val="20"/>
        </w:rPr>
      </w:pPr>
    </w:p>
    <w:p w14:paraId="2647B429" w14:textId="262584BF" w:rsidR="00B2419B" w:rsidRDefault="00D363ED" w:rsidP="00C11B6A">
      <w:pPr>
        <w:pStyle w:val="Prrafodelista"/>
        <w:ind w:left="1440"/>
        <w:jc w:val="both"/>
        <w:rPr>
          <w:rFonts w:ascii="Verdana" w:hAnsi="Verdana"/>
          <w:bCs/>
          <w:sz w:val="22"/>
          <w:szCs w:val="22"/>
        </w:rPr>
      </w:pPr>
      <w:r w:rsidRPr="00C11B6A">
        <w:rPr>
          <w:rFonts w:ascii="Verdana" w:hAnsi="Verdana"/>
          <w:bCs/>
          <w:i/>
          <w:iCs/>
          <w:sz w:val="20"/>
        </w:rPr>
        <w:t>Estas condiciones temporales no modifican las obligaciones que un proyecto de generación tenga con el sistema. En caso de que exista más de un interesado en la conexión temporal, se podrá priorizar a los proyectos que tienen obligaciones adquiridas en los mecanismos de mercado que defina para efectos de priorización el Gobierno Nacional, el Ministerio de Minas y Energía o la CREG</w:t>
      </w:r>
      <w:r w:rsidRPr="00C11B6A">
        <w:rPr>
          <w:rFonts w:ascii="Verdana" w:hAnsi="Verdana"/>
          <w:bCs/>
          <w:sz w:val="20"/>
        </w:rPr>
        <w:t>”.</w:t>
      </w:r>
    </w:p>
    <w:p w14:paraId="09107D69" w14:textId="77777777" w:rsidR="00D363ED" w:rsidRDefault="00D363ED" w:rsidP="00C11B6A">
      <w:pPr>
        <w:pStyle w:val="Prrafodelista"/>
        <w:ind w:left="720"/>
        <w:jc w:val="both"/>
        <w:rPr>
          <w:rFonts w:ascii="Verdana" w:hAnsi="Verdana"/>
          <w:bCs/>
          <w:sz w:val="22"/>
          <w:szCs w:val="22"/>
        </w:rPr>
      </w:pPr>
    </w:p>
    <w:p w14:paraId="244EE271" w14:textId="62C4B2D7" w:rsidR="002925D2" w:rsidRPr="00C11B6A" w:rsidRDefault="00D363ED">
      <w:pPr>
        <w:pStyle w:val="Prrafodelista"/>
        <w:ind w:left="720"/>
        <w:jc w:val="both"/>
        <w:rPr>
          <w:rFonts w:ascii="Verdana" w:hAnsi="Verdana"/>
          <w:bCs/>
          <w:sz w:val="22"/>
          <w:szCs w:val="22"/>
        </w:rPr>
      </w:pPr>
      <w:r w:rsidRPr="00D363ED">
        <w:rPr>
          <w:rFonts w:ascii="Verdana" w:hAnsi="Verdana"/>
          <w:bCs/>
          <w:sz w:val="22"/>
          <w:szCs w:val="22"/>
        </w:rPr>
        <w:t>E</w:t>
      </w:r>
      <w:r>
        <w:rPr>
          <w:rFonts w:ascii="Verdana" w:hAnsi="Verdana"/>
          <w:bCs/>
          <w:sz w:val="22"/>
          <w:szCs w:val="22"/>
        </w:rPr>
        <w:t xml:space="preserve">n función de </w:t>
      </w:r>
      <w:r w:rsidR="00BE099A">
        <w:rPr>
          <w:rFonts w:ascii="Verdana" w:hAnsi="Verdana"/>
          <w:bCs/>
          <w:sz w:val="22"/>
          <w:szCs w:val="22"/>
        </w:rPr>
        <w:t>dichos lineamientos</w:t>
      </w:r>
      <w:r>
        <w:rPr>
          <w:rFonts w:ascii="Verdana" w:hAnsi="Verdana"/>
          <w:bCs/>
          <w:sz w:val="22"/>
          <w:szCs w:val="22"/>
        </w:rPr>
        <w:t xml:space="preserve">, la CREG </w:t>
      </w:r>
      <w:r w:rsidRPr="00A93260">
        <w:rPr>
          <w:rFonts w:ascii="Verdana" w:hAnsi="Verdana"/>
          <w:bCs/>
          <w:sz w:val="22"/>
          <w:szCs w:val="22"/>
        </w:rPr>
        <w:t>publicó para comentarios hasta el 5 de noviembre de 2020 la Resolución CREG 208 “</w:t>
      </w:r>
      <w:r w:rsidRPr="00C11B6A">
        <w:rPr>
          <w:rFonts w:ascii="Verdana" w:hAnsi="Verdana"/>
          <w:bCs/>
          <w:i/>
          <w:iCs/>
          <w:sz w:val="22"/>
          <w:szCs w:val="22"/>
        </w:rPr>
        <w:t>Por la cual se dictan normas para la conexión temporal de generadores al SIN</w:t>
      </w:r>
      <w:r w:rsidRPr="00A93260">
        <w:rPr>
          <w:rFonts w:ascii="Verdana" w:hAnsi="Verdana"/>
          <w:bCs/>
          <w:sz w:val="22"/>
          <w:szCs w:val="22"/>
        </w:rPr>
        <w:t>”.</w:t>
      </w:r>
      <w:r w:rsidR="002925D2">
        <w:rPr>
          <w:rFonts w:ascii="Verdana" w:hAnsi="Verdana"/>
          <w:bCs/>
          <w:sz w:val="22"/>
          <w:szCs w:val="22"/>
        </w:rPr>
        <w:t xml:space="preserve"> En el artículo 1 de este proyecto se plantea que la UPME podrá </w:t>
      </w:r>
      <w:r w:rsidR="002925D2" w:rsidRPr="002925D2">
        <w:rPr>
          <w:rFonts w:ascii="Verdana" w:hAnsi="Verdana"/>
          <w:bCs/>
          <w:sz w:val="22"/>
          <w:szCs w:val="22"/>
        </w:rPr>
        <w:t xml:space="preserve">evaluar la factibilidad de dar concepto para que </w:t>
      </w:r>
      <w:r w:rsidR="002925D2">
        <w:rPr>
          <w:rFonts w:ascii="Verdana" w:hAnsi="Verdana"/>
          <w:bCs/>
          <w:sz w:val="22"/>
          <w:szCs w:val="22"/>
        </w:rPr>
        <w:t>una</w:t>
      </w:r>
      <w:r w:rsidR="002925D2" w:rsidRPr="002925D2">
        <w:rPr>
          <w:rFonts w:ascii="Verdana" w:hAnsi="Verdana"/>
          <w:bCs/>
          <w:sz w:val="22"/>
          <w:szCs w:val="22"/>
        </w:rPr>
        <w:t xml:space="preserve"> planta se conecte operando temporalmente con una capacidad menor a la asignada</w:t>
      </w:r>
      <w:r w:rsidR="002925D2">
        <w:rPr>
          <w:rFonts w:ascii="Verdana" w:hAnsi="Verdana"/>
          <w:bCs/>
          <w:sz w:val="22"/>
          <w:szCs w:val="22"/>
        </w:rPr>
        <w:t xml:space="preserve">, </w:t>
      </w:r>
      <w:r w:rsidR="002925D2" w:rsidRPr="002925D2">
        <w:rPr>
          <w:rFonts w:ascii="Verdana" w:hAnsi="Verdana"/>
          <w:bCs/>
          <w:sz w:val="22"/>
          <w:szCs w:val="22"/>
        </w:rPr>
        <w:t>hasta contar con la disponibilidad en el sistema de transporte.</w:t>
      </w:r>
      <w:r w:rsidR="002925D2">
        <w:rPr>
          <w:rFonts w:ascii="Verdana" w:hAnsi="Verdana"/>
          <w:bCs/>
          <w:sz w:val="22"/>
          <w:szCs w:val="22"/>
        </w:rPr>
        <w:t xml:space="preserve"> También se propone que la Unidad p</w:t>
      </w:r>
      <w:r w:rsidR="00072D7C">
        <w:rPr>
          <w:rFonts w:ascii="Verdana" w:hAnsi="Verdana"/>
          <w:bCs/>
          <w:sz w:val="22"/>
          <w:szCs w:val="22"/>
        </w:rPr>
        <w:t>ueda</w:t>
      </w:r>
      <w:r w:rsidR="002925D2">
        <w:rPr>
          <w:rFonts w:ascii="Verdana" w:hAnsi="Verdana"/>
          <w:bCs/>
          <w:sz w:val="22"/>
          <w:szCs w:val="22"/>
        </w:rPr>
        <w:t xml:space="preserve"> </w:t>
      </w:r>
      <w:r w:rsidR="002925D2" w:rsidRPr="00C11B6A">
        <w:rPr>
          <w:rFonts w:ascii="Verdana" w:hAnsi="Verdana"/>
          <w:bCs/>
          <w:sz w:val="22"/>
          <w:szCs w:val="22"/>
        </w:rPr>
        <w:t xml:space="preserve">conceptuar </w:t>
      </w:r>
      <w:r w:rsidR="00072D7C">
        <w:rPr>
          <w:rFonts w:ascii="Verdana" w:hAnsi="Verdana"/>
          <w:bCs/>
          <w:sz w:val="22"/>
          <w:szCs w:val="22"/>
        </w:rPr>
        <w:t>sobre solicitudes</w:t>
      </w:r>
      <w:r w:rsidR="002925D2" w:rsidRPr="00C11B6A">
        <w:rPr>
          <w:rFonts w:ascii="Verdana" w:hAnsi="Verdana"/>
          <w:bCs/>
          <w:sz w:val="22"/>
          <w:szCs w:val="22"/>
        </w:rPr>
        <w:t xml:space="preserve"> temporales por periodos de tiempo donde se detecte que </w:t>
      </w:r>
      <w:r w:rsidR="00072D7C">
        <w:rPr>
          <w:rFonts w:ascii="Verdana" w:hAnsi="Verdana"/>
          <w:bCs/>
          <w:sz w:val="22"/>
          <w:szCs w:val="22"/>
        </w:rPr>
        <w:t>es posible</w:t>
      </w:r>
      <w:r w:rsidR="002925D2" w:rsidRPr="00C11B6A">
        <w:rPr>
          <w:rFonts w:ascii="Verdana" w:hAnsi="Verdana"/>
          <w:bCs/>
          <w:sz w:val="22"/>
          <w:szCs w:val="22"/>
        </w:rPr>
        <w:t xml:space="preserve">. </w:t>
      </w:r>
    </w:p>
    <w:p w14:paraId="3BF607F6" w14:textId="77777777" w:rsidR="002925D2" w:rsidRDefault="002925D2" w:rsidP="002925D2">
      <w:pPr>
        <w:pStyle w:val="Prrafodelista"/>
        <w:ind w:left="720"/>
        <w:jc w:val="both"/>
        <w:rPr>
          <w:rFonts w:ascii="Verdana" w:hAnsi="Verdana"/>
          <w:bCs/>
          <w:sz w:val="22"/>
          <w:szCs w:val="22"/>
        </w:rPr>
      </w:pPr>
    </w:p>
    <w:p w14:paraId="1BBE4222" w14:textId="79F3F682" w:rsidR="00BE099A" w:rsidRDefault="00072D7C" w:rsidP="00072D7C">
      <w:pPr>
        <w:pStyle w:val="Prrafodelista"/>
        <w:ind w:left="720"/>
        <w:jc w:val="both"/>
        <w:rPr>
          <w:rFonts w:ascii="Verdana" w:hAnsi="Verdana"/>
          <w:bCs/>
          <w:sz w:val="22"/>
          <w:szCs w:val="22"/>
        </w:rPr>
      </w:pPr>
      <w:r>
        <w:rPr>
          <w:rFonts w:ascii="Verdana" w:hAnsi="Verdana"/>
          <w:bCs/>
          <w:sz w:val="22"/>
          <w:szCs w:val="22"/>
        </w:rPr>
        <w:t>Finalmente</w:t>
      </w:r>
      <w:r w:rsidR="00BE099A">
        <w:rPr>
          <w:rFonts w:ascii="Verdana" w:hAnsi="Verdana"/>
          <w:bCs/>
          <w:sz w:val="22"/>
          <w:szCs w:val="22"/>
        </w:rPr>
        <w:t>,</w:t>
      </w:r>
      <w:r>
        <w:rPr>
          <w:rFonts w:ascii="Verdana" w:hAnsi="Verdana"/>
          <w:bCs/>
          <w:sz w:val="22"/>
          <w:szCs w:val="22"/>
        </w:rPr>
        <w:t xml:space="preserve"> la Resolución plantea</w:t>
      </w:r>
      <w:r w:rsidR="00BE099A">
        <w:rPr>
          <w:rFonts w:ascii="Verdana" w:hAnsi="Verdana"/>
          <w:bCs/>
          <w:sz w:val="22"/>
          <w:szCs w:val="22"/>
        </w:rPr>
        <w:t>, entre otros aspectos:</w:t>
      </w:r>
    </w:p>
    <w:p w14:paraId="1BC927E1" w14:textId="0CA47236" w:rsidR="00BE099A" w:rsidRDefault="00072D7C" w:rsidP="00072D7C">
      <w:pPr>
        <w:pStyle w:val="Prrafodelista"/>
        <w:ind w:left="720"/>
        <w:jc w:val="both"/>
        <w:rPr>
          <w:rFonts w:ascii="Verdana" w:hAnsi="Verdana"/>
          <w:bCs/>
          <w:sz w:val="22"/>
          <w:szCs w:val="22"/>
        </w:rPr>
      </w:pPr>
      <w:r>
        <w:rPr>
          <w:rFonts w:ascii="Verdana" w:hAnsi="Verdana"/>
          <w:bCs/>
          <w:sz w:val="22"/>
          <w:szCs w:val="22"/>
        </w:rPr>
        <w:t xml:space="preserve"> </w:t>
      </w:r>
    </w:p>
    <w:p w14:paraId="47969001" w14:textId="77777777" w:rsidR="00BE099A" w:rsidRDefault="00BE099A" w:rsidP="00BE099A">
      <w:pPr>
        <w:pStyle w:val="Prrafodelista"/>
        <w:numPr>
          <w:ilvl w:val="0"/>
          <w:numId w:val="38"/>
        </w:numPr>
        <w:contextualSpacing/>
        <w:jc w:val="both"/>
        <w:rPr>
          <w:rFonts w:ascii="Verdana" w:hAnsi="Verdana"/>
          <w:bCs/>
          <w:sz w:val="22"/>
          <w:szCs w:val="22"/>
        </w:rPr>
      </w:pPr>
      <w:r>
        <w:rPr>
          <w:rFonts w:ascii="Verdana" w:hAnsi="Verdana"/>
          <w:bCs/>
          <w:sz w:val="22"/>
          <w:szCs w:val="22"/>
        </w:rPr>
        <w:t>L</w:t>
      </w:r>
      <w:r w:rsidR="002925D2" w:rsidRPr="00C11B6A">
        <w:rPr>
          <w:rFonts w:ascii="Verdana" w:hAnsi="Verdana"/>
          <w:bCs/>
          <w:sz w:val="22"/>
          <w:szCs w:val="22"/>
        </w:rPr>
        <w:t>a UPME defin</w:t>
      </w:r>
      <w:r>
        <w:rPr>
          <w:rFonts w:ascii="Verdana" w:hAnsi="Verdana"/>
          <w:bCs/>
          <w:sz w:val="22"/>
          <w:szCs w:val="22"/>
        </w:rPr>
        <w:t>irá</w:t>
      </w:r>
      <w:r w:rsidR="002925D2" w:rsidRPr="00C11B6A">
        <w:rPr>
          <w:rFonts w:ascii="Verdana" w:hAnsi="Verdana"/>
          <w:bCs/>
          <w:sz w:val="22"/>
          <w:szCs w:val="22"/>
        </w:rPr>
        <w:t xml:space="preserve"> los plazos y la capacidad máxima que la planta de generación pueda entregar dependiendo de las condiciones del sistema</w:t>
      </w:r>
      <w:r>
        <w:rPr>
          <w:rFonts w:ascii="Verdana" w:hAnsi="Verdana"/>
          <w:bCs/>
          <w:sz w:val="22"/>
          <w:szCs w:val="22"/>
        </w:rPr>
        <w:t>.</w:t>
      </w:r>
      <w:r w:rsidR="00072D7C">
        <w:rPr>
          <w:rFonts w:ascii="Verdana" w:hAnsi="Verdana"/>
          <w:bCs/>
          <w:sz w:val="22"/>
          <w:szCs w:val="22"/>
        </w:rPr>
        <w:t xml:space="preserve"> </w:t>
      </w:r>
    </w:p>
    <w:p w14:paraId="18D7B59A" w14:textId="54C67E1C" w:rsidR="002925D2" w:rsidRDefault="00BE099A" w:rsidP="00BE099A">
      <w:pPr>
        <w:pStyle w:val="Prrafodelista"/>
        <w:numPr>
          <w:ilvl w:val="0"/>
          <w:numId w:val="38"/>
        </w:numPr>
        <w:contextualSpacing/>
        <w:jc w:val="both"/>
        <w:rPr>
          <w:rFonts w:ascii="Verdana" w:hAnsi="Verdana"/>
          <w:bCs/>
          <w:sz w:val="22"/>
          <w:szCs w:val="22"/>
        </w:rPr>
      </w:pPr>
      <w:r>
        <w:rPr>
          <w:rFonts w:ascii="Verdana" w:hAnsi="Verdana"/>
          <w:bCs/>
          <w:sz w:val="22"/>
          <w:szCs w:val="22"/>
        </w:rPr>
        <w:t>E</w:t>
      </w:r>
      <w:r w:rsidR="002925D2" w:rsidRPr="00C11B6A">
        <w:rPr>
          <w:rFonts w:ascii="Verdana" w:hAnsi="Verdana"/>
          <w:bCs/>
          <w:sz w:val="22"/>
          <w:szCs w:val="22"/>
        </w:rPr>
        <w:t xml:space="preserve">l CND </w:t>
      </w:r>
      <w:r>
        <w:rPr>
          <w:rFonts w:ascii="Verdana" w:hAnsi="Verdana"/>
          <w:bCs/>
          <w:sz w:val="22"/>
          <w:szCs w:val="22"/>
        </w:rPr>
        <w:t>establecerá</w:t>
      </w:r>
      <w:r w:rsidR="002925D2" w:rsidRPr="00C11B6A">
        <w:rPr>
          <w:rFonts w:ascii="Verdana" w:hAnsi="Verdana"/>
          <w:bCs/>
          <w:sz w:val="22"/>
          <w:szCs w:val="22"/>
        </w:rPr>
        <w:t xml:space="preserve"> los mecanismos o esquemas operativos requeridos para garantizar que no se supere la capacidad temporal autorizada</w:t>
      </w:r>
      <w:r w:rsidRPr="00BE099A">
        <w:t xml:space="preserve"> </w:t>
      </w:r>
      <w:r w:rsidRPr="00BE099A">
        <w:rPr>
          <w:rFonts w:ascii="Verdana" w:hAnsi="Verdana"/>
          <w:bCs/>
          <w:sz w:val="22"/>
          <w:szCs w:val="22"/>
        </w:rPr>
        <w:t>y que, en todo momento, se cumplan los criterios de calidad, seguridad y confiabilidad en la operación del SIN</w:t>
      </w:r>
      <w:r w:rsidR="002925D2" w:rsidRPr="00C11B6A">
        <w:rPr>
          <w:rFonts w:ascii="Verdana" w:hAnsi="Verdana"/>
          <w:bCs/>
          <w:sz w:val="22"/>
          <w:szCs w:val="22"/>
        </w:rPr>
        <w:t>.</w:t>
      </w:r>
    </w:p>
    <w:p w14:paraId="5DE0D289" w14:textId="5BE6D900" w:rsidR="00BE099A" w:rsidRPr="00C11B6A" w:rsidRDefault="00BE099A" w:rsidP="00C11B6A">
      <w:pPr>
        <w:pStyle w:val="Prrafodelista"/>
        <w:numPr>
          <w:ilvl w:val="0"/>
          <w:numId w:val="38"/>
        </w:numPr>
        <w:contextualSpacing/>
        <w:jc w:val="both"/>
        <w:rPr>
          <w:rFonts w:ascii="Verdana" w:hAnsi="Verdana"/>
          <w:bCs/>
          <w:sz w:val="22"/>
          <w:szCs w:val="22"/>
        </w:rPr>
      </w:pPr>
      <w:r>
        <w:rPr>
          <w:rFonts w:ascii="Verdana" w:hAnsi="Verdana"/>
          <w:bCs/>
          <w:sz w:val="22"/>
          <w:szCs w:val="22"/>
        </w:rPr>
        <w:t>L</w:t>
      </w:r>
      <w:r w:rsidRPr="00BE099A">
        <w:rPr>
          <w:rFonts w:ascii="Verdana" w:hAnsi="Verdana"/>
          <w:bCs/>
          <w:sz w:val="22"/>
          <w:szCs w:val="22"/>
        </w:rPr>
        <w:t>a UPME procederá a realizar el análisis correspondiente para emitir su concepto, sin requerir el visto bueno del transportador.</w:t>
      </w:r>
      <w:r>
        <w:rPr>
          <w:rFonts w:ascii="Verdana" w:hAnsi="Verdana"/>
          <w:bCs/>
          <w:sz w:val="22"/>
          <w:szCs w:val="22"/>
        </w:rPr>
        <w:t xml:space="preserve"> </w:t>
      </w:r>
      <w:r w:rsidRPr="00C11B6A">
        <w:rPr>
          <w:rFonts w:ascii="Verdana" w:hAnsi="Verdana"/>
          <w:bCs/>
          <w:sz w:val="22"/>
          <w:szCs w:val="22"/>
        </w:rPr>
        <w:t>Una vez emitido el concepto favorable de la U</w:t>
      </w:r>
      <w:r>
        <w:rPr>
          <w:rFonts w:ascii="Verdana" w:hAnsi="Verdana"/>
          <w:bCs/>
          <w:sz w:val="22"/>
          <w:szCs w:val="22"/>
        </w:rPr>
        <w:t>nidad</w:t>
      </w:r>
      <w:r w:rsidRPr="00C11B6A">
        <w:rPr>
          <w:rFonts w:ascii="Verdana" w:hAnsi="Verdana"/>
          <w:bCs/>
          <w:sz w:val="22"/>
          <w:szCs w:val="22"/>
        </w:rPr>
        <w:t xml:space="preserve">, el transportador deberá llevar a cabo las gestiones necesarias para permitir la conexión del generador al sistema en las condiciones y fechas aprobadas por </w:t>
      </w:r>
      <w:r>
        <w:rPr>
          <w:rFonts w:ascii="Verdana" w:hAnsi="Verdana"/>
          <w:bCs/>
          <w:sz w:val="22"/>
          <w:szCs w:val="22"/>
        </w:rPr>
        <w:t>el Planeador</w:t>
      </w:r>
      <w:r w:rsidRPr="00C11B6A">
        <w:rPr>
          <w:rFonts w:ascii="Verdana" w:hAnsi="Verdana"/>
          <w:bCs/>
          <w:sz w:val="22"/>
          <w:szCs w:val="22"/>
        </w:rPr>
        <w:t>.</w:t>
      </w:r>
    </w:p>
    <w:p w14:paraId="24E8FEF8" w14:textId="77777777" w:rsidR="00D363ED" w:rsidRPr="00C11B6A" w:rsidRDefault="00D363ED" w:rsidP="00C11B6A">
      <w:pPr>
        <w:rPr>
          <w:rFonts w:ascii="Verdana" w:hAnsi="Verdana"/>
          <w:bCs/>
          <w:sz w:val="22"/>
          <w:szCs w:val="22"/>
        </w:rPr>
      </w:pPr>
    </w:p>
    <w:p w14:paraId="06CD9147" w14:textId="7BBAFD72" w:rsidR="00BD4D90" w:rsidRPr="00C11B6A" w:rsidRDefault="00C70B05" w:rsidP="00CB444E">
      <w:pPr>
        <w:pStyle w:val="Prrafodelista"/>
        <w:numPr>
          <w:ilvl w:val="0"/>
          <w:numId w:val="39"/>
        </w:numPr>
        <w:jc w:val="both"/>
        <w:rPr>
          <w:rFonts w:ascii="Verdana" w:hAnsi="Verdana"/>
          <w:bCs/>
          <w:sz w:val="22"/>
          <w:szCs w:val="22"/>
        </w:rPr>
      </w:pPr>
      <w:r>
        <w:rPr>
          <w:rFonts w:ascii="Verdana" w:hAnsi="Verdana"/>
          <w:bCs/>
          <w:sz w:val="22"/>
          <w:szCs w:val="22"/>
        </w:rPr>
        <w:t xml:space="preserve">El CNO </w:t>
      </w:r>
      <w:r w:rsidR="00697E7A">
        <w:rPr>
          <w:rFonts w:ascii="Verdana" w:hAnsi="Verdana"/>
          <w:bCs/>
          <w:sz w:val="22"/>
          <w:szCs w:val="22"/>
        </w:rPr>
        <w:t xml:space="preserve">envió comunicación a la CREG aclarando que el Acuerdo 1019, sobre Esquemas Suplementarios de Protección, no puede ser aplicado para la conexión de nuevos proyectos de generación, o para su incorporación temprana al SIN. La carta se encuentra disponible en la página web del Consejo. </w:t>
      </w:r>
      <w:r w:rsidR="002D5B71">
        <w:rPr>
          <w:rFonts w:ascii="Verdana" w:hAnsi="Verdana"/>
          <w:bCs/>
          <w:sz w:val="22"/>
          <w:szCs w:val="22"/>
        </w:rPr>
        <w:t xml:space="preserve">                                                       </w:t>
      </w:r>
    </w:p>
    <w:p w14:paraId="449BB0B9" w14:textId="77777777" w:rsidR="00B2419B" w:rsidRPr="00C11B6A" w:rsidRDefault="00B2419B" w:rsidP="00C11B6A">
      <w:pPr>
        <w:pStyle w:val="Prrafodelista"/>
        <w:rPr>
          <w:rFonts w:ascii="Verdana" w:hAnsi="Verdana"/>
          <w:bCs/>
          <w:sz w:val="22"/>
          <w:szCs w:val="22"/>
        </w:rPr>
      </w:pPr>
    </w:p>
    <w:p w14:paraId="10C03DAB" w14:textId="6651480D" w:rsidR="005742F0" w:rsidRPr="005742F0" w:rsidRDefault="00DD4466" w:rsidP="00CB444E">
      <w:pPr>
        <w:pStyle w:val="Prrafodelista"/>
        <w:numPr>
          <w:ilvl w:val="0"/>
          <w:numId w:val="39"/>
        </w:numPr>
        <w:jc w:val="both"/>
        <w:rPr>
          <w:rFonts w:ascii="Verdana" w:hAnsi="Verdana"/>
          <w:bCs/>
          <w:sz w:val="22"/>
          <w:szCs w:val="22"/>
        </w:rPr>
      </w:pPr>
      <w:r>
        <w:rPr>
          <w:rFonts w:ascii="Verdana" w:hAnsi="Verdana"/>
          <w:bCs/>
          <w:sz w:val="22"/>
          <w:szCs w:val="22"/>
        </w:rPr>
        <w:lastRenderedPageBreak/>
        <w:t>El CNO en función de los requerimientos de DI-AVANTE,</w:t>
      </w:r>
      <w:r w:rsidR="005742F0">
        <w:rPr>
          <w:rFonts w:ascii="Verdana" w:hAnsi="Verdana"/>
          <w:bCs/>
          <w:sz w:val="22"/>
          <w:szCs w:val="22"/>
        </w:rPr>
        <w:t xml:space="preserve"> </w:t>
      </w:r>
      <w:r>
        <w:rPr>
          <w:rFonts w:ascii="Verdana" w:hAnsi="Verdana"/>
          <w:bCs/>
          <w:sz w:val="22"/>
          <w:szCs w:val="22"/>
        </w:rPr>
        <w:t>consultor de l</w:t>
      </w:r>
      <w:r w:rsidR="005742F0">
        <w:rPr>
          <w:rFonts w:ascii="Verdana" w:hAnsi="Verdana"/>
          <w:bCs/>
          <w:sz w:val="22"/>
          <w:szCs w:val="22"/>
        </w:rPr>
        <w:t xml:space="preserve">a CREG que </w:t>
      </w:r>
      <w:r w:rsidR="003E0243">
        <w:rPr>
          <w:rFonts w:ascii="Verdana" w:hAnsi="Verdana"/>
          <w:bCs/>
          <w:sz w:val="22"/>
          <w:szCs w:val="22"/>
        </w:rPr>
        <w:t>está</w:t>
      </w:r>
      <w:r w:rsidR="005742F0">
        <w:rPr>
          <w:rFonts w:ascii="Verdana" w:hAnsi="Verdana"/>
          <w:bCs/>
          <w:sz w:val="22"/>
          <w:szCs w:val="22"/>
        </w:rPr>
        <w:t xml:space="preserve"> revisando los modelos para el cálculo de la ENFICC de plantas de generación variable, envió a la Comisión el </w:t>
      </w:r>
      <w:r w:rsidR="005742F0" w:rsidRPr="005742F0">
        <w:rPr>
          <w:rFonts w:ascii="Verdana" w:hAnsi="Verdana"/>
          <w:bCs/>
          <w:sz w:val="22"/>
          <w:szCs w:val="22"/>
        </w:rPr>
        <w:t xml:space="preserve">diagnóstico de </w:t>
      </w:r>
      <w:r w:rsidR="005742F0">
        <w:rPr>
          <w:rFonts w:ascii="Verdana" w:hAnsi="Verdana"/>
          <w:bCs/>
          <w:sz w:val="22"/>
          <w:szCs w:val="22"/>
        </w:rPr>
        <w:t xml:space="preserve">la </w:t>
      </w:r>
      <w:r w:rsidR="005742F0" w:rsidRPr="005742F0">
        <w:rPr>
          <w:rFonts w:ascii="Verdana" w:hAnsi="Verdana"/>
          <w:bCs/>
          <w:sz w:val="22"/>
          <w:szCs w:val="22"/>
        </w:rPr>
        <w:t xml:space="preserve">evolución de </w:t>
      </w:r>
      <w:r w:rsidR="005742F0">
        <w:rPr>
          <w:rFonts w:ascii="Verdana" w:hAnsi="Verdana"/>
          <w:bCs/>
          <w:sz w:val="22"/>
          <w:szCs w:val="22"/>
        </w:rPr>
        <w:t xml:space="preserve">la </w:t>
      </w:r>
      <w:r w:rsidR="005742F0" w:rsidRPr="005742F0">
        <w:rPr>
          <w:rFonts w:ascii="Verdana" w:hAnsi="Verdana"/>
          <w:bCs/>
          <w:sz w:val="22"/>
          <w:szCs w:val="22"/>
        </w:rPr>
        <w:t xml:space="preserve">sedimentación </w:t>
      </w:r>
      <w:r w:rsidR="005742F0">
        <w:rPr>
          <w:rFonts w:ascii="Verdana" w:hAnsi="Verdana"/>
          <w:bCs/>
          <w:sz w:val="22"/>
          <w:szCs w:val="22"/>
        </w:rPr>
        <w:t>de</w:t>
      </w:r>
      <w:r w:rsidR="005742F0" w:rsidRPr="005742F0">
        <w:rPr>
          <w:rFonts w:ascii="Verdana" w:hAnsi="Verdana"/>
          <w:bCs/>
          <w:sz w:val="22"/>
          <w:szCs w:val="22"/>
        </w:rPr>
        <w:t xml:space="preserve"> veinticinco (25) embalses del Sistema Interconectado Nacional-SIN</w:t>
      </w:r>
      <w:r w:rsidR="005742F0">
        <w:rPr>
          <w:rFonts w:ascii="Verdana" w:hAnsi="Verdana"/>
          <w:bCs/>
          <w:sz w:val="22"/>
          <w:szCs w:val="22"/>
        </w:rPr>
        <w:t>,</w:t>
      </w:r>
      <w:r w:rsidR="005742F0" w:rsidRPr="005742F0">
        <w:rPr>
          <w:rFonts w:ascii="Verdana" w:hAnsi="Verdana"/>
          <w:bCs/>
          <w:sz w:val="22"/>
          <w:szCs w:val="22"/>
        </w:rPr>
        <w:t xml:space="preserve"> con corte a septiembre 2020. </w:t>
      </w:r>
      <w:r w:rsidR="005742F0">
        <w:rPr>
          <w:rFonts w:ascii="Verdana" w:hAnsi="Verdana"/>
          <w:bCs/>
          <w:sz w:val="22"/>
          <w:szCs w:val="22"/>
        </w:rPr>
        <w:t xml:space="preserve">Asimismo, adjunto los documentos </w:t>
      </w:r>
      <w:r w:rsidR="005742F0" w:rsidRPr="005742F0">
        <w:rPr>
          <w:rFonts w:ascii="Verdana" w:hAnsi="Verdana"/>
          <w:bCs/>
          <w:sz w:val="22"/>
          <w:szCs w:val="22"/>
        </w:rPr>
        <w:t>“</w:t>
      </w:r>
      <w:r w:rsidR="005742F0" w:rsidRPr="00C11B6A">
        <w:rPr>
          <w:rFonts w:ascii="Verdana" w:hAnsi="Verdana"/>
          <w:bCs/>
          <w:i/>
          <w:iCs/>
          <w:sz w:val="22"/>
          <w:szCs w:val="22"/>
        </w:rPr>
        <w:t>Anexo 1-Alcance C-El factor de conversión operacional (FCo) como alternativa al FC del actual protocolo”</w:t>
      </w:r>
      <w:r w:rsidR="005742F0">
        <w:rPr>
          <w:rFonts w:ascii="Verdana" w:hAnsi="Verdana"/>
          <w:bCs/>
          <w:sz w:val="22"/>
          <w:szCs w:val="22"/>
        </w:rPr>
        <w:t xml:space="preserve"> y </w:t>
      </w:r>
      <w:r w:rsidR="005742F0" w:rsidRPr="005742F0">
        <w:rPr>
          <w:rFonts w:ascii="Verdana" w:hAnsi="Verdana"/>
          <w:bCs/>
          <w:sz w:val="22"/>
          <w:szCs w:val="22"/>
        </w:rPr>
        <w:t>“</w:t>
      </w:r>
      <w:r w:rsidR="005742F0" w:rsidRPr="00C11B6A">
        <w:rPr>
          <w:rFonts w:ascii="Verdana" w:hAnsi="Verdana"/>
          <w:bCs/>
          <w:i/>
          <w:iCs/>
          <w:sz w:val="22"/>
          <w:szCs w:val="22"/>
        </w:rPr>
        <w:t>Evaluación del impacto en el sector eléctrico de la guía de estimación del caudal ambiental en Colombia”</w:t>
      </w:r>
      <w:r w:rsidR="005742F0">
        <w:rPr>
          <w:rFonts w:ascii="Verdana" w:hAnsi="Verdana"/>
          <w:bCs/>
          <w:sz w:val="22"/>
          <w:szCs w:val="22"/>
        </w:rPr>
        <w:t>.</w:t>
      </w:r>
      <w:r w:rsidR="005742F0" w:rsidRPr="005742F0">
        <w:rPr>
          <w:rFonts w:ascii="Verdana" w:hAnsi="Verdana"/>
          <w:bCs/>
          <w:sz w:val="22"/>
          <w:szCs w:val="22"/>
        </w:rPr>
        <w:t xml:space="preserve"> </w:t>
      </w:r>
      <w:r w:rsidR="005742F0">
        <w:rPr>
          <w:rFonts w:ascii="Verdana" w:hAnsi="Verdana"/>
          <w:bCs/>
          <w:sz w:val="22"/>
          <w:szCs w:val="22"/>
        </w:rPr>
        <w:t>La comunicación puede ser consultada en la página web del Consejo.</w:t>
      </w:r>
    </w:p>
    <w:p w14:paraId="08DAB701" w14:textId="77777777" w:rsidR="00B2419B" w:rsidRPr="00C11B6A" w:rsidRDefault="00B2419B" w:rsidP="00C11B6A">
      <w:pPr>
        <w:pStyle w:val="Prrafodelista"/>
        <w:rPr>
          <w:rFonts w:ascii="Verdana" w:hAnsi="Verdana"/>
          <w:bCs/>
          <w:sz w:val="22"/>
          <w:szCs w:val="22"/>
        </w:rPr>
      </w:pPr>
    </w:p>
    <w:p w14:paraId="391229CF" w14:textId="364D55BD" w:rsidR="00B2419B" w:rsidRDefault="00C369FA" w:rsidP="00CB444E">
      <w:pPr>
        <w:pStyle w:val="Prrafodelista"/>
        <w:numPr>
          <w:ilvl w:val="0"/>
          <w:numId w:val="39"/>
        </w:numPr>
        <w:jc w:val="both"/>
        <w:rPr>
          <w:rFonts w:ascii="Verdana" w:hAnsi="Verdana"/>
          <w:bCs/>
          <w:sz w:val="22"/>
          <w:szCs w:val="22"/>
        </w:rPr>
      </w:pPr>
      <w:r>
        <w:rPr>
          <w:rFonts w:ascii="Verdana" w:hAnsi="Verdana"/>
          <w:bCs/>
          <w:sz w:val="22"/>
          <w:szCs w:val="22"/>
        </w:rPr>
        <w:t xml:space="preserve">El Subcomité de Planeamiento Operativo-SPO </w:t>
      </w:r>
      <w:r w:rsidR="00A81646">
        <w:rPr>
          <w:rFonts w:ascii="Verdana" w:hAnsi="Verdana"/>
          <w:bCs/>
          <w:sz w:val="22"/>
          <w:szCs w:val="22"/>
        </w:rPr>
        <w:t>está construyendo la propuesta de actualización del Acuerdo 1327, reformulando la metodología para la realización de los análisis de potencia</w:t>
      </w:r>
      <w:r w:rsidR="00B2419B">
        <w:rPr>
          <w:rFonts w:ascii="Verdana" w:hAnsi="Verdana"/>
          <w:bCs/>
          <w:sz w:val="22"/>
          <w:szCs w:val="22"/>
        </w:rPr>
        <w:t>.</w:t>
      </w:r>
      <w:r w:rsidR="00A81646">
        <w:rPr>
          <w:rFonts w:ascii="Verdana" w:hAnsi="Verdana"/>
          <w:bCs/>
          <w:sz w:val="22"/>
          <w:szCs w:val="22"/>
        </w:rPr>
        <w:t xml:space="preserve"> Específicamente se quiere llevar a cabo el análisis para el mes </w:t>
      </w:r>
      <w:r w:rsidR="003E0243">
        <w:rPr>
          <w:rFonts w:ascii="Verdana" w:hAnsi="Verdana"/>
          <w:bCs/>
          <w:sz w:val="22"/>
          <w:szCs w:val="22"/>
        </w:rPr>
        <w:t>más</w:t>
      </w:r>
      <w:r w:rsidR="00A81646">
        <w:rPr>
          <w:rFonts w:ascii="Verdana" w:hAnsi="Verdana"/>
          <w:bCs/>
          <w:sz w:val="22"/>
          <w:szCs w:val="22"/>
        </w:rPr>
        <w:t xml:space="preserve"> cercano y reflejando, con la mejor información, el estado esperado de la red de transporte del SIN y la disponibilidad de combustible con resolución diaria. </w:t>
      </w:r>
    </w:p>
    <w:p w14:paraId="7A951F63" w14:textId="77777777" w:rsidR="00A81646" w:rsidRPr="00C11B6A" w:rsidRDefault="00A81646" w:rsidP="00C11B6A">
      <w:pPr>
        <w:pStyle w:val="Prrafodelista"/>
        <w:rPr>
          <w:rFonts w:ascii="Verdana" w:hAnsi="Verdana"/>
          <w:bCs/>
          <w:sz w:val="22"/>
          <w:szCs w:val="22"/>
        </w:rPr>
      </w:pPr>
    </w:p>
    <w:p w14:paraId="60FA3A22" w14:textId="0CD433F2" w:rsidR="00A81646" w:rsidRDefault="00A81646" w:rsidP="00CB444E">
      <w:pPr>
        <w:pStyle w:val="Prrafodelista"/>
        <w:numPr>
          <w:ilvl w:val="0"/>
          <w:numId w:val="39"/>
        </w:numPr>
        <w:jc w:val="both"/>
        <w:rPr>
          <w:rFonts w:ascii="Verdana" w:hAnsi="Verdana"/>
          <w:bCs/>
          <w:sz w:val="22"/>
          <w:szCs w:val="22"/>
        </w:rPr>
      </w:pPr>
      <w:r>
        <w:rPr>
          <w:rFonts w:ascii="Verdana" w:hAnsi="Verdana"/>
          <w:bCs/>
          <w:sz w:val="22"/>
          <w:szCs w:val="22"/>
        </w:rPr>
        <w:t xml:space="preserve">Teniendo en cuenta la tarea asignada por el CNO al SPO, respecto a su recomendación de mantener o no la Curva de Referencia </w:t>
      </w:r>
      <w:r w:rsidR="00C01534">
        <w:rPr>
          <w:rFonts w:ascii="Verdana" w:hAnsi="Verdana"/>
          <w:bCs/>
          <w:sz w:val="22"/>
          <w:szCs w:val="22"/>
        </w:rPr>
        <w:t>en los análisis de la situación energética en el marco de la Resolución CREG 125 de 2020, este subcomité concluy</w:t>
      </w:r>
      <w:r w:rsidR="001D02E0">
        <w:rPr>
          <w:rFonts w:ascii="Verdana" w:hAnsi="Verdana"/>
          <w:bCs/>
          <w:sz w:val="22"/>
          <w:szCs w:val="22"/>
        </w:rPr>
        <w:t>ó</w:t>
      </w:r>
      <w:r w:rsidR="00C01534">
        <w:rPr>
          <w:rFonts w:ascii="Verdana" w:hAnsi="Verdana"/>
          <w:bCs/>
          <w:sz w:val="22"/>
          <w:szCs w:val="22"/>
        </w:rPr>
        <w:t>:</w:t>
      </w:r>
    </w:p>
    <w:p w14:paraId="439137A6" w14:textId="77777777" w:rsidR="00C01534" w:rsidRPr="00C11B6A" w:rsidRDefault="00C01534" w:rsidP="00C11B6A">
      <w:pPr>
        <w:pStyle w:val="Prrafodelista"/>
        <w:rPr>
          <w:rFonts w:ascii="Verdana" w:hAnsi="Verdana"/>
          <w:bCs/>
          <w:sz w:val="22"/>
          <w:szCs w:val="22"/>
        </w:rPr>
      </w:pPr>
    </w:p>
    <w:p w14:paraId="08B06E57" w14:textId="4AA349FA" w:rsidR="001D02E0" w:rsidRDefault="001D02E0" w:rsidP="00C11B6A">
      <w:pPr>
        <w:pStyle w:val="Prrafodelista"/>
        <w:ind w:left="720"/>
        <w:jc w:val="both"/>
        <w:rPr>
          <w:rFonts w:ascii="Verdana" w:hAnsi="Verdana"/>
          <w:bCs/>
          <w:sz w:val="22"/>
          <w:szCs w:val="22"/>
        </w:rPr>
      </w:pPr>
      <w:r>
        <w:rPr>
          <w:rFonts w:ascii="Verdana" w:hAnsi="Verdana"/>
          <w:bCs/>
          <w:sz w:val="22"/>
          <w:szCs w:val="22"/>
        </w:rPr>
        <w:t>“</w:t>
      </w:r>
      <w:r w:rsidRPr="00C11B6A">
        <w:rPr>
          <w:rFonts w:ascii="Verdana" w:hAnsi="Verdana"/>
          <w:bCs/>
          <w:i/>
          <w:iCs/>
          <w:sz w:val="22"/>
          <w:szCs w:val="22"/>
        </w:rPr>
        <w:t xml:space="preserve">El Indicador de embalsamiento debería continuar, sin embargo, el mismo debe tener un horizonte temporal para que el Consejo pueda tomar decisiones de manera anticipada. Adicionalmente, debe definirse claramente </w:t>
      </w:r>
      <w:r w:rsidR="003E0243" w:rsidRPr="001D02E0">
        <w:rPr>
          <w:rFonts w:ascii="Verdana" w:hAnsi="Verdana"/>
          <w:bCs/>
          <w:i/>
          <w:iCs/>
          <w:sz w:val="22"/>
          <w:szCs w:val="22"/>
        </w:rPr>
        <w:t>cuáles</w:t>
      </w:r>
      <w:r w:rsidRPr="00C11B6A">
        <w:rPr>
          <w:rFonts w:ascii="Verdana" w:hAnsi="Verdana"/>
          <w:bCs/>
          <w:i/>
          <w:iCs/>
          <w:sz w:val="22"/>
          <w:szCs w:val="22"/>
        </w:rPr>
        <w:t xml:space="preserve"> son los supuestos para construirlo y establecer cuáles serían las variables susceptibles de actualización para modificarlo</w:t>
      </w:r>
      <w:r>
        <w:rPr>
          <w:rFonts w:ascii="Verdana" w:hAnsi="Verdana"/>
          <w:bCs/>
          <w:sz w:val="22"/>
          <w:szCs w:val="22"/>
        </w:rPr>
        <w:t>”</w:t>
      </w:r>
      <w:r w:rsidRPr="001D02E0">
        <w:rPr>
          <w:rFonts w:ascii="Verdana" w:hAnsi="Verdana"/>
          <w:bCs/>
          <w:sz w:val="22"/>
          <w:szCs w:val="22"/>
        </w:rPr>
        <w:t>.</w:t>
      </w:r>
    </w:p>
    <w:p w14:paraId="5694A089" w14:textId="77777777" w:rsidR="002925D2" w:rsidRPr="00C11B6A" w:rsidRDefault="002925D2" w:rsidP="00C11B6A">
      <w:pPr>
        <w:rPr>
          <w:rFonts w:ascii="Verdana" w:hAnsi="Verdana"/>
          <w:bCs/>
          <w:sz w:val="22"/>
          <w:szCs w:val="22"/>
        </w:rPr>
      </w:pPr>
    </w:p>
    <w:p w14:paraId="05B6246A" w14:textId="072C006D" w:rsidR="00B2419B" w:rsidRDefault="004D36EE" w:rsidP="00CB444E">
      <w:pPr>
        <w:pStyle w:val="Prrafodelista"/>
        <w:numPr>
          <w:ilvl w:val="0"/>
          <w:numId w:val="39"/>
        </w:numPr>
        <w:jc w:val="both"/>
        <w:rPr>
          <w:rFonts w:ascii="Verdana" w:hAnsi="Verdana"/>
          <w:bCs/>
          <w:sz w:val="22"/>
          <w:szCs w:val="22"/>
        </w:rPr>
      </w:pPr>
      <w:r>
        <w:rPr>
          <w:rFonts w:ascii="Verdana" w:hAnsi="Verdana"/>
          <w:bCs/>
          <w:sz w:val="22"/>
          <w:szCs w:val="22"/>
        </w:rPr>
        <w:t>Considerando</w:t>
      </w:r>
      <w:r w:rsidRPr="004D36EE">
        <w:rPr>
          <w:rFonts w:ascii="Verdana" w:hAnsi="Verdana"/>
          <w:bCs/>
          <w:sz w:val="22"/>
          <w:szCs w:val="22"/>
        </w:rPr>
        <w:t xml:space="preserve"> la importancia de analizar alternativas sistémicas que mejoren la flexibilidad del SIN por la</w:t>
      </w:r>
      <w:r w:rsidR="004C362E">
        <w:rPr>
          <w:rFonts w:ascii="Verdana" w:hAnsi="Verdana"/>
          <w:bCs/>
          <w:sz w:val="22"/>
          <w:szCs w:val="22"/>
        </w:rPr>
        <w:t xml:space="preserve">s características propias de las </w:t>
      </w:r>
      <w:r w:rsidRPr="004D36EE">
        <w:rPr>
          <w:rFonts w:ascii="Verdana" w:hAnsi="Verdana"/>
          <w:bCs/>
          <w:sz w:val="22"/>
          <w:szCs w:val="22"/>
        </w:rPr>
        <w:t>tecnologías de generación convencional</w:t>
      </w:r>
      <w:r w:rsidR="004C362E">
        <w:rPr>
          <w:rFonts w:ascii="Verdana" w:hAnsi="Verdana"/>
          <w:bCs/>
          <w:sz w:val="22"/>
          <w:szCs w:val="22"/>
        </w:rPr>
        <w:t xml:space="preserve"> y el estado actual y esperado del Sistema,</w:t>
      </w:r>
      <w:r w:rsidRPr="004D36EE">
        <w:rPr>
          <w:rFonts w:ascii="Verdana" w:hAnsi="Verdana"/>
          <w:bCs/>
          <w:sz w:val="22"/>
          <w:szCs w:val="22"/>
        </w:rPr>
        <w:t xml:space="preserve"> </w:t>
      </w:r>
      <w:r w:rsidR="004C362E">
        <w:rPr>
          <w:rFonts w:ascii="Verdana" w:hAnsi="Verdana"/>
          <w:bCs/>
          <w:sz w:val="22"/>
          <w:szCs w:val="22"/>
        </w:rPr>
        <w:t>e</w:t>
      </w:r>
      <w:r w:rsidRPr="004D36EE">
        <w:rPr>
          <w:rFonts w:ascii="Verdana" w:hAnsi="Verdana"/>
          <w:bCs/>
          <w:sz w:val="22"/>
          <w:szCs w:val="22"/>
        </w:rPr>
        <w:t xml:space="preserve">l subcomité de Plantas del CNO </w:t>
      </w:r>
      <w:r w:rsidR="004C362E">
        <w:rPr>
          <w:rFonts w:ascii="Verdana" w:hAnsi="Verdana"/>
          <w:bCs/>
          <w:sz w:val="22"/>
          <w:szCs w:val="22"/>
        </w:rPr>
        <w:t>está construyendo</w:t>
      </w:r>
      <w:r w:rsidRPr="004D36EE">
        <w:rPr>
          <w:rFonts w:ascii="Verdana" w:hAnsi="Verdana"/>
          <w:bCs/>
          <w:sz w:val="22"/>
          <w:szCs w:val="22"/>
        </w:rPr>
        <w:t xml:space="preserve"> </w:t>
      </w:r>
      <w:r w:rsidR="004C362E">
        <w:rPr>
          <w:rFonts w:ascii="Verdana" w:hAnsi="Verdana"/>
          <w:bCs/>
          <w:sz w:val="22"/>
          <w:szCs w:val="22"/>
        </w:rPr>
        <w:t>l</w:t>
      </w:r>
      <w:r w:rsidRPr="004D36EE">
        <w:rPr>
          <w:rFonts w:ascii="Verdana" w:hAnsi="Verdana"/>
          <w:bCs/>
          <w:sz w:val="22"/>
          <w:szCs w:val="22"/>
        </w:rPr>
        <w:t xml:space="preserve">os términos de referencia para la contratación de un estudio que permita determinar en el corto, mediano y largo plazo </w:t>
      </w:r>
      <w:r w:rsidR="004C362E">
        <w:rPr>
          <w:rFonts w:ascii="Verdana" w:hAnsi="Verdana"/>
          <w:bCs/>
          <w:sz w:val="22"/>
          <w:szCs w:val="22"/>
        </w:rPr>
        <w:t xml:space="preserve">cuales son </w:t>
      </w:r>
      <w:r w:rsidRPr="004D36EE">
        <w:rPr>
          <w:rFonts w:ascii="Verdana" w:hAnsi="Verdana"/>
          <w:bCs/>
          <w:sz w:val="22"/>
          <w:szCs w:val="22"/>
        </w:rPr>
        <w:t xml:space="preserve">las </w:t>
      </w:r>
      <w:r w:rsidR="004C362E">
        <w:rPr>
          <w:rFonts w:ascii="Verdana" w:hAnsi="Verdana"/>
          <w:bCs/>
          <w:sz w:val="22"/>
          <w:szCs w:val="22"/>
        </w:rPr>
        <w:t>mejores opciones (</w:t>
      </w:r>
      <w:r w:rsidRPr="004D36EE">
        <w:rPr>
          <w:rFonts w:ascii="Verdana" w:hAnsi="Verdana"/>
          <w:bCs/>
          <w:sz w:val="22"/>
          <w:szCs w:val="22"/>
        </w:rPr>
        <w:t>costo-efectivas</w:t>
      </w:r>
      <w:r w:rsidR="004C362E">
        <w:rPr>
          <w:rFonts w:ascii="Verdana" w:hAnsi="Verdana"/>
          <w:bCs/>
          <w:sz w:val="22"/>
          <w:szCs w:val="22"/>
        </w:rPr>
        <w:t>)</w:t>
      </w:r>
      <w:r w:rsidRPr="004D36EE">
        <w:rPr>
          <w:rFonts w:ascii="Verdana" w:hAnsi="Verdana"/>
          <w:bCs/>
          <w:sz w:val="22"/>
          <w:szCs w:val="22"/>
        </w:rPr>
        <w:t xml:space="preserve"> para incrementar </w:t>
      </w:r>
      <w:r w:rsidR="004C362E">
        <w:rPr>
          <w:rFonts w:ascii="Verdana" w:hAnsi="Verdana"/>
          <w:bCs/>
          <w:sz w:val="22"/>
          <w:szCs w:val="22"/>
        </w:rPr>
        <w:t>dicha flexibilidad</w:t>
      </w:r>
      <w:r w:rsidRPr="004D36EE">
        <w:rPr>
          <w:rFonts w:ascii="Verdana" w:hAnsi="Verdana"/>
          <w:bCs/>
          <w:sz w:val="22"/>
          <w:szCs w:val="22"/>
        </w:rPr>
        <w:t>.</w:t>
      </w:r>
      <w:r w:rsidR="004C362E">
        <w:rPr>
          <w:rFonts w:ascii="Verdana" w:hAnsi="Verdana"/>
          <w:bCs/>
          <w:sz w:val="22"/>
          <w:szCs w:val="22"/>
        </w:rPr>
        <w:t xml:space="preserve"> </w:t>
      </w:r>
      <w:r w:rsidR="00825382">
        <w:rPr>
          <w:rFonts w:ascii="Verdana" w:hAnsi="Verdana"/>
          <w:bCs/>
          <w:sz w:val="22"/>
          <w:szCs w:val="22"/>
        </w:rPr>
        <w:t>En</w:t>
      </w:r>
      <w:r w:rsidR="004C362E">
        <w:rPr>
          <w:rFonts w:ascii="Verdana" w:hAnsi="Verdana"/>
          <w:bCs/>
          <w:sz w:val="22"/>
          <w:szCs w:val="22"/>
        </w:rPr>
        <w:t xml:space="preserve"> la primera reunión del Consejo del 2021 se presentará la propuesta de términos.</w:t>
      </w:r>
    </w:p>
    <w:p w14:paraId="768B14A6" w14:textId="77777777" w:rsidR="004D36EE" w:rsidRPr="00C11B6A" w:rsidRDefault="004D36EE" w:rsidP="00C11B6A">
      <w:pPr>
        <w:pStyle w:val="Prrafodelista"/>
        <w:ind w:left="720"/>
        <w:jc w:val="both"/>
        <w:rPr>
          <w:rFonts w:ascii="Verdana" w:hAnsi="Verdana"/>
          <w:bCs/>
          <w:sz w:val="22"/>
          <w:szCs w:val="22"/>
        </w:rPr>
      </w:pPr>
    </w:p>
    <w:p w14:paraId="30FD0AB2" w14:textId="4DEF4702" w:rsidR="005742F0" w:rsidRPr="00C11B6A" w:rsidRDefault="00C3695A" w:rsidP="00CB444E">
      <w:pPr>
        <w:pStyle w:val="Prrafodelista"/>
        <w:numPr>
          <w:ilvl w:val="0"/>
          <w:numId w:val="39"/>
        </w:numPr>
        <w:jc w:val="both"/>
        <w:rPr>
          <w:rFonts w:ascii="Verdana" w:hAnsi="Verdana"/>
          <w:bCs/>
          <w:sz w:val="22"/>
          <w:szCs w:val="22"/>
        </w:rPr>
      </w:pPr>
      <w:r>
        <w:rPr>
          <w:rFonts w:ascii="Verdana" w:hAnsi="Verdana"/>
          <w:bCs/>
          <w:sz w:val="22"/>
          <w:szCs w:val="22"/>
        </w:rPr>
        <w:t xml:space="preserve">El CND presentó </w:t>
      </w:r>
      <w:r w:rsidR="00893D9F">
        <w:rPr>
          <w:rFonts w:ascii="Verdana" w:hAnsi="Verdana"/>
          <w:bCs/>
          <w:sz w:val="22"/>
          <w:szCs w:val="22"/>
        </w:rPr>
        <w:t>en el SAPE y en la reunión conjunta de los Comités de Operación, Transmisión y Distribución</w:t>
      </w:r>
      <w:r w:rsidR="00A45578">
        <w:rPr>
          <w:rFonts w:ascii="Verdana" w:hAnsi="Verdana"/>
          <w:bCs/>
          <w:sz w:val="22"/>
          <w:szCs w:val="22"/>
        </w:rPr>
        <w:t>, la versión más actualizada d</w:t>
      </w:r>
      <w:r w:rsidR="00893D9F">
        <w:rPr>
          <w:rFonts w:ascii="Verdana" w:hAnsi="Verdana"/>
          <w:bCs/>
          <w:sz w:val="22"/>
          <w:szCs w:val="22"/>
        </w:rPr>
        <w:t>el Informe de Planeamiento Operativo</w:t>
      </w:r>
      <w:r w:rsidR="00A45578">
        <w:rPr>
          <w:rFonts w:ascii="Verdana" w:hAnsi="Verdana"/>
          <w:bCs/>
          <w:sz w:val="22"/>
          <w:szCs w:val="22"/>
        </w:rPr>
        <w:t xml:space="preserve"> Eléctrico</w:t>
      </w:r>
      <w:r w:rsidR="00893D9F">
        <w:rPr>
          <w:rFonts w:ascii="Verdana" w:hAnsi="Verdana"/>
          <w:bCs/>
          <w:sz w:val="22"/>
          <w:szCs w:val="22"/>
        </w:rPr>
        <w:t xml:space="preserve"> de Mediano Plazo-IPOEM</w:t>
      </w:r>
      <w:r w:rsidR="00A45578">
        <w:rPr>
          <w:rFonts w:ascii="Verdana" w:hAnsi="Verdana"/>
          <w:bCs/>
          <w:sz w:val="22"/>
          <w:szCs w:val="22"/>
        </w:rPr>
        <w:t xml:space="preserve">P. Del mismo destaca los análisis asociados a la red a 500 kV que se espera esté en servicio en el año 2021. Si bien los nuevos enlaces permitirán, por ejemplo, un incremento del límite de importación del área Caribe en casi 900 MW, el CND llama la atención sobre las situaciones operativas que se podrían presentar en tiempo real para el control de tensiones por el aporte capacitivo de la nueva infraestructura. En este sentido, se recomendó nuevamente a la UPME estudiar la posibilidad de instalar elementos de compensación inductiva en varias zonas del SIN.  </w:t>
      </w:r>
    </w:p>
    <w:p w14:paraId="4EE54C21" w14:textId="77777777" w:rsidR="006D6954" w:rsidRPr="00C11B6A" w:rsidRDefault="006D6954" w:rsidP="00C11B6A">
      <w:pPr>
        <w:rPr>
          <w:rFonts w:ascii="Verdana" w:hAnsi="Verdana"/>
          <w:bCs/>
          <w:sz w:val="22"/>
          <w:szCs w:val="22"/>
        </w:rPr>
      </w:pPr>
    </w:p>
    <w:p w14:paraId="300352B6" w14:textId="7DE9D23D" w:rsidR="006D6954" w:rsidRDefault="006D6954" w:rsidP="00CB444E">
      <w:pPr>
        <w:pStyle w:val="Prrafodelista"/>
        <w:numPr>
          <w:ilvl w:val="0"/>
          <w:numId w:val="39"/>
        </w:numPr>
        <w:jc w:val="both"/>
        <w:rPr>
          <w:rFonts w:ascii="Verdana" w:hAnsi="Verdana"/>
          <w:bCs/>
          <w:sz w:val="22"/>
          <w:szCs w:val="22"/>
        </w:rPr>
      </w:pPr>
      <w:r>
        <w:rPr>
          <w:rFonts w:ascii="Verdana" w:hAnsi="Verdana"/>
          <w:bCs/>
          <w:sz w:val="22"/>
          <w:szCs w:val="22"/>
        </w:rPr>
        <w:t xml:space="preserve">En el Subcomité de Controles </w:t>
      </w:r>
      <w:r w:rsidRPr="006D6954">
        <w:rPr>
          <w:rFonts w:ascii="Verdana" w:hAnsi="Verdana"/>
          <w:bCs/>
          <w:sz w:val="22"/>
          <w:szCs w:val="22"/>
        </w:rPr>
        <w:t>TRINA SOLAR present</w:t>
      </w:r>
      <w:r>
        <w:rPr>
          <w:rFonts w:ascii="Verdana" w:hAnsi="Verdana"/>
          <w:bCs/>
          <w:sz w:val="22"/>
          <w:szCs w:val="22"/>
        </w:rPr>
        <w:t>ó</w:t>
      </w:r>
      <w:r w:rsidRPr="006D6954">
        <w:rPr>
          <w:rFonts w:ascii="Verdana" w:hAnsi="Verdana"/>
          <w:bCs/>
          <w:sz w:val="22"/>
          <w:szCs w:val="22"/>
        </w:rPr>
        <w:t xml:space="preserve"> su experiencia </w:t>
      </w:r>
      <w:r>
        <w:rPr>
          <w:rFonts w:ascii="Verdana" w:hAnsi="Verdana"/>
          <w:bCs/>
          <w:sz w:val="22"/>
          <w:szCs w:val="22"/>
        </w:rPr>
        <w:t>llevando a cabo las</w:t>
      </w:r>
      <w:r w:rsidRPr="006D6954">
        <w:rPr>
          <w:rFonts w:ascii="Verdana" w:hAnsi="Verdana"/>
          <w:bCs/>
          <w:sz w:val="22"/>
          <w:szCs w:val="22"/>
        </w:rPr>
        <w:t xml:space="preserve"> pruebas </w:t>
      </w:r>
      <w:r>
        <w:rPr>
          <w:rFonts w:ascii="Verdana" w:hAnsi="Verdana"/>
          <w:bCs/>
          <w:sz w:val="22"/>
          <w:szCs w:val="22"/>
        </w:rPr>
        <w:t xml:space="preserve">definidas en </w:t>
      </w:r>
      <w:r w:rsidRPr="006D6954">
        <w:rPr>
          <w:rFonts w:ascii="Verdana" w:hAnsi="Verdana"/>
          <w:bCs/>
          <w:sz w:val="22"/>
          <w:szCs w:val="22"/>
        </w:rPr>
        <w:t xml:space="preserve">la </w:t>
      </w:r>
      <w:r>
        <w:rPr>
          <w:rFonts w:ascii="Verdana" w:hAnsi="Verdana"/>
          <w:bCs/>
          <w:sz w:val="22"/>
          <w:szCs w:val="22"/>
        </w:rPr>
        <w:t>R</w:t>
      </w:r>
      <w:r w:rsidRPr="006D6954">
        <w:rPr>
          <w:rFonts w:ascii="Verdana" w:hAnsi="Verdana"/>
          <w:bCs/>
          <w:sz w:val="22"/>
          <w:szCs w:val="22"/>
        </w:rPr>
        <w:t>esolución CREG 060 de 2019</w:t>
      </w:r>
      <w:r>
        <w:rPr>
          <w:rFonts w:ascii="Verdana" w:hAnsi="Verdana"/>
          <w:bCs/>
          <w:sz w:val="22"/>
          <w:szCs w:val="22"/>
        </w:rPr>
        <w:t>, para la</w:t>
      </w:r>
      <w:r w:rsidRPr="006D6954">
        <w:rPr>
          <w:rFonts w:ascii="Verdana" w:hAnsi="Verdana"/>
          <w:bCs/>
          <w:sz w:val="22"/>
          <w:szCs w:val="22"/>
        </w:rPr>
        <w:t xml:space="preserve"> planta Bosque Solar de Los </w:t>
      </w:r>
      <w:r w:rsidR="00C76ED8">
        <w:rPr>
          <w:rFonts w:ascii="Verdana" w:hAnsi="Verdana"/>
          <w:bCs/>
          <w:sz w:val="22"/>
          <w:szCs w:val="22"/>
        </w:rPr>
        <w:t xml:space="preserve">Llanos, </w:t>
      </w:r>
      <w:r w:rsidRPr="006D6954">
        <w:rPr>
          <w:rFonts w:ascii="Verdana" w:hAnsi="Verdana"/>
          <w:bCs/>
          <w:sz w:val="22"/>
          <w:szCs w:val="22"/>
        </w:rPr>
        <w:t xml:space="preserve">conectada </w:t>
      </w:r>
      <w:r>
        <w:rPr>
          <w:rFonts w:ascii="Verdana" w:hAnsi="Verdana"/>
          <w:bCs/>
          <w:sz w:val="22"/>
          <w:szCs w:val="22"/>
        </w:rPr>
        <w:t>en e</w:t>
      </w:r>
      <w:r w:rsidRPr="006D6954">
        <w:rPr>
          <w:rFonts w:ascii="Verdana" w:hAnsi="Verdana"/>
          <w:bCs/>
          <w:sz w:val="22"/>
          <w:szCs w:val="22"/>
        </w:rPr>
        <w:t>l SDL.</w:t>
      </w:r>
      <w:r w:rsidR="00C76ED8">
        <w:rPr>
          <w:rFonts w:ascii="Verdana" w:hAnsi="Verdana"/>
          <w:bCs/>
          <w:sz w:val="22"/>
          <w:szCs w:val="22"/>
        </w:rPr>
        <w:t xml:space="preserve"> Al respecto, el agente generador manifestó que, </w:t>
      </w:r>
      <w:r w:rsidR="00C76ED8" w:rsidRPr="00C76ED8">
        <w:rPr>
          <w:rFonts w:ascii="Verdana" w:hAnsi="Verdana"/>
          <w:bCs/>
          <w:sz w:val="22"/>
          <w:szCs w:val="22"/>
        </w:rPr>
        <w:t>en promedio</w:t>
      </w:r>
      <w:r w:rsidR="00C76ED8">
        <w:rPr>
          <w:rFonts w:ascii="Verdana" w:hAnsi="Verdana"/>
          <w:bCs/>
          <w:sz w:val="22"/>
          <w:szCs w:val="22"/>
        </w:rPr>
        <w:t xml:space="preserve">, </w:t>
      </w:r>
      <w:r w:rsidR="00C76ED8" w:rsidRPr="00C76ED8">
        <w:rPr>
          <w:rFonts w:ascii="Verdana" w:hAnsi="Verdana"/>
          <w:bCs/>
          <w:sz w:val="22"/>
          <w:szCs w:val="22"/>
        </w:rPr>
        <w:t xml:space="preserve">se requirieron </w:t>
      </w:r>
      <w:r w:rsidR="00C76ED8">
        <w:rPr>
          <w:rFonts w:ascii="Verdana" w:hAnsi="Verdana"/>
          <w:bCs/>
          <w:sz w:val="22"/>
          <w:szCs w:val="22"/>
        </w:rPr>
        <w:t>cuatro (</w:t>
      </w:r>
      <w:r w:rsidR="00C76ED8" w:rsidRPr="00C76ED8">
        <w:rPr>
          <w:rFonts w:ascii="Verdana" w:hAnsi="Verdana"/>
          <w:bCs/>
          <w:sz w:val="22"/>
          <w:szCs w:val="22"/>
        </w:rPr>
        <w:t>4</w:t>
      </w:r>
      <w:r w:rsidR="00C76ED8">
        <w:rPr>
          <w:rFonts w:ascii="Verdana" w:hAnsi="Verdana"/>
          <w:bCs/>
          <w:sz w:val="22"/>
          <w:szCs w:val="22"/>
        </w:rPr>
        <w:t>)</w:t>
      </w:r>
      <w:r w:rsidR="00C76ED8" w:rsidRPr="00C76ED8">
        <w:rPr>
          <w:rFonts w:ascii="Verdana" w:hAnsi="Verdana"/>
          <w:bCs/>
          <w:sz w:val="22"/>
          <w:szCs w:val="22"/>
        </w:rPr>
        <w:t xml:space="preserve"> intentos para lograr cubrir todo el rango operativo de la planta de generación en las pruebas de los sistemas de contro</w:t>
      </w:r>
      <w:r w:rsidR="00C76ED8">
        <w:rPr>
          <w:rFonts w:ascii="Verdana" w:hAnsi="Verdana"/>
          <w:bCs/>
          <w:sz w:val="22"/>
          <w:szCs w:val="22"/>
        </w:rPr>
        <w:t xml:space="preserve">l. </w:t>
      </w:r>
      <w:r w:rsidR="00751956">
        <w:rPr>
          <w:rFonts w:ascii="Verdana" w:hAnsi="Verdana"/>
          <w:bCs/>
          <w:sz w:val="22"/>
          <w:szCs w:val="22"/>
        </w:rPr>
        <w:t>En relación con</w:t>
      </w:r>
      <w:r w:rsidR="00C76ED8">
        <w:rPr>
          <w:rFonts w:ascii="Verdana" w:hAnsi="Verdana"/>
          <w:bCs/>
          <w:sz w:val="22"/>
          <w:szCs w:val="22"/>
        </w:rPr>
        <w:t xml:space="preserve"> las otras pruebas, no se indicó alguna dificultad aplicando los protocolos del Consejo. </w:t>
      </w:r>
    </w:p>
    <w:p w14:paraId="0A88EA7C" w14:textId="77777777" w:rsidR="006D6954" w:rsidRPr="00C11B6A" w:rsidRDefault="006D6954" w:rsidP="00C11B6A">
      <w:pPr>
        <w:pStyle w:val="Prrafodelista"/>
        <w:rPr>
          <w:rFonts w:ascii="Verdana" w:hAnsi="Verdana"/>
          <w:bCs/>
          <w:sz w:val="22"/>
          <w:szCs w:val="22"/>
        </w:rPr>
      </w:pPr>
    </w:p>
    <w:p w14:paraId="3B007AE1" w14:textId="03BC65F7" w:rsidR="00FF6C89" w:rsidRPr="004B2286" w:rsidRDefault="00FF6C89">
      <w:pPr>
        <w:pStyle w:val="Prrafodelista"/>
        <w:ind w:left="360"/>
        <w:jc w:val="both"/>
        <w:rPr>
          <w:rFonts w:ascii="Verdana" w:hAnsi="Verdana"/>
          <w:color w:val="000000" w:themeColor="text1"/>
          <w:sz w:val="22"/>
          <w:szCs w:val="22"/>
        </w:rPr>
      </w:pPr>
    </w:p>
    <w:p w14:paraId="30A01BCC" w14:textId="77777777" w:rsidR="00831F43" w:rsidRPr="00831F43" w:rsidRDefault="00831F43" w:rsidP="00831F43">
      <w:pPr>
        <w:shd w:val="clear" w:color="auto" w:fill="FFFFFF"/>
        <w:spacing w:after="240"/>
        <w:jc w:val="both"/>
        <w:textAlignment w:val="baseline"/>
        <w:rPr>
          <w:rFonts w:ascii="Verdana" w:hAnsi="Verdana"/>
          <w:color w:val="000000" w:themeColor="text1"/>
          <w:sz w:val="22"/>
          <w:szCs w:val="22"/>
        </w:rPr>
      </w:pPr>
    </w:p>
    <w:p w14:paraId="0A6D6A2A" w14:textId="74EDA0C2" w:rsidR="00A91586" w:rsidRDefault="00A91586" w:rsidP="00A91586">
      <w:pPr>
        <w:jc w:val="both"/>
        <w:rPr>
          <w:rFonts w:ascii="Verdana" w:hAnsi="Verdana"/>
          <w:color w:val="000000" w:themeColor="text1"/>
          <w:sz w:val="22"/>
          <w:szCs w:val="22"/>
        </w:rPr>
      </w:pPr>
    </w:p>
    <w:p w14:paraId="5B3D19F4" w14:textId="77777777" w:rsidR="00A91586" w:rsidRPr="00A91586" w:rsidRDefault="00A91586" w:rsidP="00A91586">
      <w:pPr>
        <w:jc w:val="both"/>
        <w:rPr>
          <w:rFonts w:ascii="Verdana" w:hAnsi="Verdana"/>
          <w:color w:val="000000" w:themeColor="text1"/>
          <w:sz w:val="22"/>
          <w:szCs w:val="22"/>
        </w:rPr>
      </w:pPr>
    </w:p>
    <w:p w14:paraId="00596B79" w14:textId="017CA4A1" w:rsidR="00003D40" w:rsidRDefault="00003D40" w:rsidP="00003D40">
      <w:pPr>
        <w:pStyle w:val="Prrafodelista"/>
        <w:ind w:left="720"/>
        <w:jc w:val="both"/>
        <w:rPr>
          <w:rFonts w:ascii="Verdana" w:hAnsi="Verdana"/>
          <w:color w:val="000000" w:themeColor="text1"/>
          <w:sz w:val="22"/>
          <w:szCs w:val="22"/>
        </w:rPr>
      </w:pPr>
    </w:p>
    <w:p w14:paraId="403C2F48" w14:textId="5FEEA5C3" w:rsidR="00826338" w:rsidRDefault="00826338" w:rsidP="00826338">
      <w:pPr>
        <w:pStyle w:val="Prrafodelista"/>
        <w:ind w:left="720"/>
        <w:jc w:val="both"/>
        <w:rPr>
          <w:rFonts w:ascii="Verdana" w:hAnsi="Verdana"/>
          <w:bCs/>
          <w:sz w:val="22"/>
          <w:szCs w:val="22"/>
        </w:rPr>
      </w:pPr>
    </w:p>
    <w:p w14:paraId="05182908" w14:textId="0F8D7131" w:rsidR="00820DF3" w:rsidRPr="005976AD" w:rsidRDefault="00826338" w:rsidP="00826338">
      <w:pPr>
        <w:pStyle w:val="Prrafodelista"/>
        <w:ind w:left="720"/>
        <w:jc w:val="both"/>
        <w:rPr>
          <w:rFonts w:ascii="Verdana" w:hAnsi="Verdana"/>
          <w:bCs/>
          <w:sz w:val="22"/>
          <w:szCs w:val="22"/>
        </w:rPr>
      </w:pPr>
      <w:r>
        <w:rPr>
          <w:rFonts w:ascii="Verdana" w:hAnsi="Verdana"/>
          <w:bCs/>
          <w:sz w:val="22"/>
          <w:szCs w:val="22"/>
        </w:rPr>
        <w:t xml:space="preserve"> </w:t>
      </w:r>
      <w:r w:rsidR="005D2E4A">
        <w:rPr>
          <w:rFonts w:ascii="Verdana" w:hAnsi="Verdana"/>
          <w:bCs/>
          <w:sz w:val="22"/>
          <w:szCs w:val="22"/>
        </w:rPr>
        <w:t xml:space="preserve"> </w:t>
      </w:r>
      <w:r w:rsidR="00BC2A2E">
        <w:rPr>
          <w:rFonts w:ascii="Verdana" w:hAnsi="Verdana"/>
          <w:bCs/>
          <w:sz w:val="22"/>
          <w:szCs w:val="22"/>
        </w:rPr>
        <w:t xml:space="preserve">      </w:t>
      </w:r>
      <w:r w:rsidR="005976AD">
        <w:rPr>
          <w:rFonts w:ascii="Verdana" w:hAnsi="Verdana"/>
          <w:bCs/>
          <w:sz w:val="22"/>
          <w:szCs w:val="22"/>
        </w:rPr>
        <w:t xml:space="preserve">  </w:t>
      </w:r>
    </w:p>
    <w:sectPr w:rsidR="00820DF3" w:rsidRPr="005976AD">
      <w:headerReference w:type="default" r:id="rId8"/>
      <w:footerReference w:type="default" r:id="rId9"/>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64AB3" w14:textId="77777777" w:rsidR="00315216" w:rsidRDefault="00315216">
      <w:r>
        <w:separator/>
      </w:r>
    </w:p>
  </w:endnote>
  <w:endnote w:type="continuationSeparator" w:id="0">
    <w:p w14:paraId="63247762" w14:textId="77777777" w:rsidR="00315216" w:rsidRDefault="0031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cizar Sans 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76705" w14:textId="376F2AE7" w:rsidR="00A45578" w:rsidRPr="00AE4128" w:rsidRDefault="00A45578">
    <w:pPr>
      <w:pBdr>
        <w:top w:val="nil"/>
        <w:left w:val="nil"/>
        <w:bottom w:val="nil"/>
        <w:right w:val="nil"/>
        <w:between w:val="nil"/>
      </w:pBdr>
      <w:tabs>
        <w:tab w:val="center" w:pos="4252"/>
        <w:tab w:val="right" w:pos="8504"/>
      </w:tabs>
      <w:rPr>
        <w:rFonts w:ascii="Verdana" w:eastAsia="Verdana" w:hAnsi="Verdana" w:cs="Verdana"/>
        <w:color w:val="000000"/>
        <w:sz w:val="16"/>
        <w:szCs w:val="16"/>
      </w:rPr>
    </w:pPr>
    <w:r w:rsidRPr="00AE4128">
      <w:rPr>
        <w:rFonts w:ascii="Verdana" w:eastAsia="Verdana" w:hAnsi="Verdana" w:cs="Verdana"/>
        <w:color w:val="000000"/>
        <w:sz w:val="16"/>
        <w:szCs w:val="16"/>
      </w:rPr>
      <w:t>Informe CNO 6</w:t>
    </w:r>
    <w:r>
      <w:rPr>
        <w:rFonts w:ascii="Verdana" w:eastAsia="Verdana" w:hAnsi="Verdana" w:cs="Verdana"/>
        <w:color w:val="000000"/>
        <w:sz w:val="16"/>
        <w:szCs w:val="16"/>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D0AB8" w14:textId="77777777" w:rsidR="00315216" w:rsidRDefault="00315216">
      <w:r>
        <w:separator/>
      </w:r>
    </w:p>
  </w:footnote>
  <w:footnote w:type="continuationSeparator" w:id="0">
    <w:p w14:paraId="74BCEF95" w14:textId="77777777" w:rsidR="00315216" w:rsidRDefault="00315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4407" w14:textId="77777777" w:rsidR="00A45578" w:rsidRDefault="00A45578">
    <w:pPr>
      <w:pBdr>
        <w:top w:val="nil"/>
        <w:left w:val="nil"/>
        <w:bottom w:val="nil"/>
        <w:right w:val="nil"/>
        <w:between w:val="nil"/>
      </w:pBdr>
      <w:tabs>
        <w:tab w:val="center" w:pos="4419"/>
        <w:tab w:val="left" w:pos="7180"/>
      </w:tabs>
      <w:rPr>
        <w:b/>
        <w:color w:val="000000"/>
        <w:sz w:val="40"/>
        <w:szCs w:val="40"/>
      </w:rPr>
    </w:pPr>
  </w:p>
  <w:p w14:paraId="35C99D28" w14:textId="77777777" w:rsidR="00A45578" w:rsidRDefault="00A45578">
    <w:pPr>
      <w:pBdr>
        <w:top w:val="nil"/>
        <w:left w:val="nil"/>
        <w:bottom w:val="nil"/>
        <w:right w:val="nil"/>
        <w:between w:val="nil"/>
      </w:pBdr>
      <w:tabs>
        <w:tab w:val="center" w:pos="4419"/>
        <w:tab w:val="left" w:pos="7180"/>
      </w:tabs>
      <w:rPr>
        <w:b/>
        <w:color w:val="000000"/>
        <w:sz w:val="40"/>
        <w:szCs w:val="40"/>
      </w:rPr>
    </w:pPr>
    <w:r>
      <w:rPr>
        <w:b/>
        <w:color w:val="000000"/>
        <w:sz w:val="40"/>
        <w:szCs w:val="40"/>
      </w:rPr>
      <w:tab/>
    </w:r>
    <w:r>
      <w:rPr>
        <w:b/>
        <w:color w:val="000000"/>
        <w:sz w:val="40"/>
        <w:szCs w:val="40"/>
      </w:rPr>
      <w:tab/>
    </w:r>
    <w:r>
      <w:rPr>
        <w:noProof/>
      </w:rPr>
      <w:drawing>
        <wp:anchor distT="0" distB="0" distL="114300" distR="114300" simplePos="0" relativeHeight="251658240" behindDoc="0" locked="0" layoutInCell="1" hidden="0" allowOverlap="1" wp14:anchorId="3F22EB6C" wp14:editId="39AE63E1">
          <wp:simplePos x="0" y="0"/>
          <wp:positionH relativeFrom="column">
            <wp:posOffset>2011679</wp:posOffset>
          </wp:positionH>
          <wp:positionV relativeFrom="paragraph">
            <wp:posOffset>-445134</wp:posOffset>
          </wp:positionV>
          <wp:extent cx="1827530" cy="695325"/>
          <wp:effectExtent l="0" t="0" r="0" b="0"/>
          <wp:wrapSquare wrapText="bothSides" distT="0" distB="0" distL="114300" distR="114300"/>
          <wp:docPr id="5" name="image1.png" descr="cid:image002.jpg@01D3D593.164EAD00"/>
          <wp:cNvGraphicFramePr/>
          <a:graphic xmlns:a="http://schemas.openxmlformats.org/drawingml/2006/main">
            <a:graphicData uri="http://schemas.openxmlformats.org/drawingml/2006/picture">
              <pic:pic xmlns:pic="http://schemas.openxmlformats.org/drawingml/2006/picture">
                <pic:nvPicPr>
                  <pic:cNvPr id="0" name="image1.png" descr="cid:image002.jpg@01D3D593.164EAD00"/>
                  <pic:cNvPicPr preferRelativeResize="0"/>
                </pic:nvPicPr>
                <pic:blipFill>
                  <a:blip r:embed="rId1"/>
                  <a:srcRect/>
                  <a:stretch>
                    <a:fillRect/>
                  </a:stretch>
                </pic:blipFill>
                <pic:spPr>
                  <a:xfrm>
                    <a:off x="0" y="0"/>
                    <a:ext cx="1827530" cy="6953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131C7"/>
    <w:multiLevelType w:val="hybridMultilevel"/>
    <w:tmpl w:val="D58AC7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54579D"/>
    <w:multiLevelType w:val="hybridMultilevel"/>
    <w:tmpl w:val="A1A26FE6"/>
    <w:lvl w:ilvl="0" w:tplc="240A000F">
      <w:start w:val="1"/>
      <w:numFmt w:val="decimal"/>
      <w:lvlText w:val="%1."/>
      <w:lvlJc w:val="left"/>
      <w:pPr>
        <w:ind w:left="360" w:hanging="360"/>
      </w:pPr>
      <w:rPr>
        <w:rFont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A754ACC"/>
    <w:multiLevelType w:val="multilevel"/>
    <w:tmpl w:val="4FE0C44C"/>
    <w:lvl w:ilvl="0">
      <w:start w:val="1"/>
      <w:numFmt w:val="decimal"/>
      <w:lvlText w:val="%1."/>
      <w:lvlJc w:val="left"/>
      <w:pPr>
        <w:ind w:left="360" w:hanging="360"/>
      </w:pPr>
      <w:rPr>
        <w:rFonts w:ascii="Verdana" w:eastAsia="Verdana" w:hAnsi="Verdana" w:cs="Verdana"/>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BDF0F9E"/>
    <w:multiLevelType w:val="hybridMultilevel"/>
    <w:tmpl w:val="C6207178"/>
    <w:lvl w:ilvl="0" w:tplc="42E012D6">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DA4206"/>
    <w:multiLevelType w:val="hybridMultilevel"/>
    <w:tmpl w:val="3B242A4C"/>
    <w:lvl w:ilvl="0" w:tplc="240A0001">
      <w:start w:val="1"/>
      <w:numFmt w:val="bullet"/>
      <w:lvlText w:val=""/>
      <w:lvlJc w:val="left"/>
      <w:pPr>
        <w:ind w:left="800" w:hanging="360"/>
      </w:pPr>
      <w:rPr>
        <w:rFonts w:ascii="Symbol" w:hAnsi="Symbol" w:hint="default"/>
      </w:rPr>
    </w:lvl>
    <w:lvl w:ilvl="1" w:tplc="240A0003" w:tentative="1">
      <w:start w:val="1"/>
      <w:numFmt w:val="bullet"/>
      <w:lvlText w:val="o"/>
      <w:lvlJc w:val="left"/>
      <w:pPr>
        <w:ind w:left="1520" w:hanging="360"/>
      </w:pPr>
      <w:rPr>
        <w:rFonts w:ascii="Courier New" w:hAnsi="Courier New" w:cs="Courier New" w:hint="default"/>
      </w:rPr>
    </w:lvl>
    <w:lvl w:ilvl="2" w:tplc="240A0005" w:tentative="1">
      <w:start w:val="1"/>
      <w:numFmt w:val="bullet"/>
      <w:lvlText w:val=""/>
      <w:lvlJc w:val="left"/>
      <w:pPr>
        <w:ind w:left="2240" w:hanging="360"/>
      </w:pPr>
      <w:rPr>
        <w:rFonts w:ascii="Wingdings" w:hAnsi="Wingdings" w:hint="default"/>
      </w:rPr>
    </w:lvl>
    <w:lvl w:ilvl="3" w:tplc="240A0001" w:tentative="1">
      <w:start w:val="1"/>
      <w:numFmt w:val="bullet"/>
      <w:lvlText w:val=""/>
      <w:lvlJc w:val="left"/>
      <w:pPr>
        <w:ind w:left="2960" w:hanging="360"/>
      </w:pPr>
      <w:rPr>
        <w:rFonts w:ascii="Symbol" w:hAnsi="Symbol" w:hint="default"/>
      </w:rPr>
    </w:lvl>
    <w:lvl w:ilvl="4" w:tplc="240A0003" w:tentative="1">
      <w:start w:val="1"/>
      <w:numFmt w:val="bullet"/>
      <w:lvlText w:val="o"/>
      <w:lvlJc w:val="left"/>
      <w:pPr>
        <w:ind w:left="3680" w:hanging="360"/>
      </w:pPr>
      <w:rPr>
        <w:rFonts w:ascii="Courier New" w:hAnsi="Courier New" w:cs="Courier New" w:hint="default"/>
      </w:rPr>
    </w:lvl>
    <w:lvl w:ilvl="5" w:tplc="240A0005" w:tentative="1">
      <w:start w:val="1"/>
      <w:numFmt w:val="bullet"/>
      <w:lvlText w:val=""/>
      <w:lvlJc w:val="left"/>
      <w:pPr>
        <w:ind w:left="4400" w:hanging="360"/>
      </w:pPr>
      <w:rPr>
        <w:rFonts w:ascii="Wingdings" w:hAnsi="Wingdings" w:hint="default"/>
      </w:rPr>
    </w:lvl>
    <w:lvl w:ilvl="6" w:tplc="240A0001" w:tentative="1">
      <w:start w:val="1"/>
      <w:numFmt w:val="bullet"/>
      <w:lvlText w:val=""/>
      <w:lvlJc w:val="left"/>
      <w:pPr>
        <w:ind w:left="5120" w:hanging="360"/>
      </w:pPr>
      <w:rPr>
        <w:rFonts w:ascii="Symbol" w:hAnsi="Symbol" w:hint="default"/>
      </w:rPr>
    </w:lvl>
    <w:lvl w:ilvl="7" w:tplc="240A0003" w:tentative="1">
      <w:start w:val="1"/>
      <w:numFmt w:val="bullet"/>
      <w:lvlText w:val="o"/>
      <w:lvlJc w:val="left"/>
      <w:pPr>
        <w:ind w:left="5840" w:hanging="360"/>
      </w:pPr>
      <w:rPr>
        <w:rFonts w:ascii="Courier New" w:hAnsi="Courier New" w:cs="Courier New" w:hint="default"/>
      </w:rPr>
    </w:lvl>
    <w:lvl w:ilvl="8" w:tplc="240A0005" w:tentative="1">
      <w:start w:val="1"/>
      <w:numFmt w:val="bullet"/>
      <w:lvlText w:val=""/>
      <w:lvlJc w:val="left"/>
      <w:pPr>
        <w:ind w:left="6560" w:hanging="360"/>
      </w:pPr>
      <w:rPr>
        <w:rFonts w:ascii="Wingdings" w:hAnsi="Wingdings" w:hint="default"/>
      </w:rPr>
    </w:lvl>
  </w:abstractNum>
  <w:abstractNum w:abstractNumId="5" w15:restartNumberingAfterBreak="0">
    <w:nsid w:val="1DA878FE"/>
    <w:multiLevelType w:val="hybridMultilevel"/>
    <w:tmpl w:val="B20AC4E8"/>
    <w:lvl w:ilvl="0" w:tplc="9BA8ECD6">
      <w:start w:val="1"/>
      <w:numFmt w:val="decimal"/>
      <w:lvlText w:val="%1."/>
      <w:lvlJc w:val="left"/>
      <w:pPr>
        <w:ind w:left="360" w:hanging="360"/>
      </w:pPr>
      <w:rPr>
        <w:rFonts w:hint="default"/>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F1E6A72"/>
    <w:multiLevelType w:val="hybridMultilevel"/>
    <w:tmpl w:val="B06E09AC"/>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1310331"/>
    <w:multiLevelType w:val="hybridMultilevel"/>
    <w:tmpl w:val="F1C255BA"/>
    <w:lvl w:ilvl="0" w:tplc="240A0005">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F062DB"/>
    <w:multiLevelType w:val="hybridMultilevel"/>
    <w:tmpl w:val="3FD8A52E"/>
    <w:lvl w:ilvl="0" w:tplc="36C483E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6222EFB"/>
    <w:multiLevelType w:val="hybridMultilevel"/>
    <w:tmpl w:val="34FAD972"/>
    <w:lvl w:ilvl="0" w:tplc="CCB003A6">
      <w:numFmt w:val="bullet"/>
      <w:lvlText w:val="-"/>
      <w:lvlJc w:val="left"/>
      <w:pPr>
        <w:ind w:left="720" w:hanging="360"/>
      </w:pPr>
      <w:rPr>
        <w:rFonts w:ascii="Century Gothic" w:eastAsia="Times New Roman" w:hAnsi="Century Gothic" w:cs="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3300724"/>
    <w:multiLevelType w:val="hybridMultilevel"/>
    <w:tmpl w:val="C1B249C2"/>
    <w:lvl w:ilvl="0" w:tplc="CC7C6F7E">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356A72AF"/>
    <w:multiLevelType w:val="hybridMultilevel"/>
    <w:tmpl w:val="D2467BA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76A1A06"/>
    <w:multiLevelType w:val="hybridMultilevel"/>
    <w:tmpl w:val="FF8076A8"/>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3A297D63"/>
    <w:multiLevelType w:val="hybridMultilevel"/>
    <w:tmpl w:val="2FAA0008"/>
    <w:lvl w:ilvl="0" w:tplc="916666C0">
      <w:start w:val="1"/>
      <w:numFmt w:val="decimal"/>
      <w:lvlText w:val="%1."/>
      <w:lvlJc w:val="left"/>
      <w:pPr>
        <w:ind w:left="360" w:hanging="360"/>
      </w:pPr>
      <w:rPr>
        <w:rFonts w:hint="default"/>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D657D83"/>
    <w:multiLevelType w:val="hybridMultilevel"/>
    <w:tmpl w:val="BDB2E8C4"/>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3DD7137A"/>
    <w:multiLevelType w:val="hybridMultilevel"/>
    <w:tmpl w:val="B1685520"/>
    <w:lvl w:ilvl="0" w:tplc="240A000F">
      <w:start w:val="1"/>
      <w:numFmt w:val="decimal"/>
      <w:lvlText w:val="%1."/>
      <w:lvlJc w:val="left"/>
      <w:pPr>
        <w:ind w:left="360" w:hanging="360"/>
      </w:pPr>
    </w:lvl>
    <w:lvl w:ilvl="1" w:tplc="970ABF8C">
      <w:numFmt w:val="bullet"/>
      <w:lvlText w:val="•"/>
      <w:lvlJc w:val="left"/>
      <w:pPr>
        <w:ind w:left="1416" w:hanging="696"/>
      </w:pPr>
      <w:rPr>
        <w:rFonts w:ascii="Century Gothic" w:eastAsia="Calibri" w:hAnsi="Century Gothic" w:cs="Times New Roman" w:hint="default"/>
      </w:r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15:restartNumberingAfterBreak="0">
    <w:nsid w:val="40EE3133"/>
    <w:multiLevelType w:val="hybridMultilevel"/>
    <w:tmpl w:val="493269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2686339"/>
    <w:multiLevelType w:val="hybridMultilevel"/>
    <w:tmpl w:val="77CE9C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7250B8B"/>
    <w:multiLevelType w:val="hybridMultilevel"/>
    <w:tmpl w:val="2C12052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48577CD0"/>
    <w:multiLevelType w:val="hybridMultilevel"/>
    <w:tmpl w:val="F0D23BC2"/>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4BED0BD5"/>
    <w:multiLevelType w:val="multilevel"/>
    <w:tmpl w:val="5516AA44"/>
    <w:lvl w:ilvl="0">
      <w:start w:val="1"/>
      <w:numFmt w:val="decimal"/>
      <w:pStyle w:val="Nivel1"/>
      <w:lvlText w:val="%1."/>
      <w:lvlJc w:val="left"/>
      <w:pPr>
        <w:ind w:left="360" w:hanging="360"/>
      </w:pPr>
      <w:rPr>
        <w:sz w:val="20"/>
        <w:szCs w:val="20"/>
      </w:rPr>
    </w:lvl>
    <w:lvl w:ilvl="1">
      <w:start w:val="1"/>
      <w:numFmt w:val="lowerLetter"/>
      <w:pStyle w:val="Nivel2"/>
      <w:lvlText w:val="%2."/>
      <w:lvlJc w:val="left"/>
      <w:pPr>
        <w:ind w:left="1080" w:hanging="360"/>
      </w:pPr>
    </w:lvl>
    <w:lvl w:ilvl="2">
      <w:start w:val="1"/>
      <w:numFmt w:val="lowerRoman"/>
      <w:pStyle w:val="Nivel3"/>
      <w:lvlText w:val="%3."/>
      <w:lvlJc w:val="right"/>
      <w:pPr>
        <w:ind w:left="1800" w:hanging="180"/>
      </w:pPr>
    </w:lvl>
    <w:lvl w:ilvl="3">
      <w:start w:val="1"/>
      <w:numFmt w:val="decimal"/>
      <w:pStyle w:val="Nivel4"/>
      <w:lvlText w:val="%4."/>
      <w:lvlJc w:val="left"/>
      <w:pPr>
        <w:ind w:left="2520" w:hanging="360"/>
      </w:pPr>
    </w:lvl>
    <w:lvl w:ilvl="4">
      <w:start w:val="1"/>
      <w:numFmt w:val="lowerLetter"/>
      <w:pStyle w:val="Nivel5"/>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E642378"/>
    <w:multiLevelType w:val="hybridMultilevel"/>
    <w:tmpl w:val="25405676"/>
    <w:lvl w:ilvl="0" w:tplc="50D8BD1A">
      <w:start w:val="1"/>
      <w:numFmt w:val="decimal"/>
      <w:lvlText w:val="%1."/>
      <w:lvlJc w:val="left"/>
      <w:pPr>
        <w:ind w:left="720" w:hanging="720"/>
      </w:pPr>
      <w:rPr>
        <w:rFonts w:ascii="Verdana" w:eastAsia="Verdana" w:hAnsi="Verdana" w:cs="Verdana" w:hint="default"/>
        <w:color w:val="auto"/>
        <w:sz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4EC929B1"/>
    <w:multiLevelType w:val="hybridMultilevel"/>
    <w:tmpl w:val="2FF087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10C0E55"/>
    <w:multiLevelType w:val="hybridMultilevel"/>
    <w:tmpl w:val="B030BF4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519220AF"/>
    <w:multiLevelType w:val="hybridMultilevel"/>
    <w:tmpl w:val="4ACCE24A"/>
    <w:lvl w:ilvl="0" w:tplc="46B601BE">
      <w:numFmt w:val="bullet"/>
      <w:lvlText w:val="-"/>
      <w:lvlJc w:val="left"/>
      <w:pPr>
        <w:ind w:left="720" w:hanging="360"/>
      </w:pPr>
      <w:rPr>
        <w:rFonts w:ascii="Verdana" w:eastAsia="Verdana" w:hAnsi="Verdana" w:cs="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2F0934"/>
    <w:multiLevelType w:val="hybridMultilevel"/>
    <w:tmpl w:val="DB864B3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52EC6357"/>
    <w:multiLevelType w:val="hybridMultilevel"/>
    <w:tmpl w:val="98A456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15:restartNumberingAfterBreak="0">
    <w:nsid w:val="59F146CE"/>
    <w:multiLevelType w:val="hybridMultilevel"/>
    <w:tmpl w:val="7FA090B0"/>
    <w:lvl w:ilvl="0" w:tplc="FA4CF5C8">
      <w:numFmt w:val="bullet"/>
      <w:lvlText w:val="-"/>
      <w:lvlJc w:val="left"/>
      <w:pPr>
        <w:ind w:left="720" w:hanging="360"/>
      </w:pPr>
      <w:rPr>
        <w:rFonts w:ascii="Verdana" w:eastAsia="Verdana" w:hAnsi="Verdana" w:cs="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FD004BC"/>
    <w:multiLevelType w:val="hybridMultilevel"/>
    <w:tmpl w:val="6254973A"/>
    <w:lvl w:ilvl="0" w:tplc="681C8F5C">
      <w:start w:val="1"/>
      <w:numFmt w:val="bullet"/>
      <w:lvlText w:val="-"/>
      <w:lvlJc w:val="left"/>
      <w:pPr>
        <w:ind w:left="360" w:hanging="360"/>
      </w:pPr>
      <w:rPr>
        <w:rFonts w:ascii="Verdana" w:eastAsia="Verdana" w:hAnsi="Verdana" w:cs="Verdan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61206680"/>
    <w:multiLevelType w:val="hybridMultilevel"/>
    <w:tmpl w:val="2FB238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66B04626"/>
    <w:multiLevelType w:val="hybridMultilevel"/>
    <w:tmpl w:val="C316D2F4"/>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698B3C72"/>
    <w:multiLevelType w:val="hybridMultilevel"/>
    <w:tmpl w:val="3926AE52"/>
    <w:lvl w:ilvl="0" w:tplc="240A0001">
      <w:start w:val="1"/>
      <w:numFmt w:val="bullet"/>
      <w:lvlText w:val=""/>
      <w:lvlJc w:val="left"/>
      <w:pPr>
        <w:ind w:left="720" w:hanging="720"/>
      </w:pPr>
      <w:rPr>
        <w:rFonts w:ascii="Symbol" w:hAnsi="Symbol" w:hint="default"/>
        <w:color w:val="auto"/>
        <w:sz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6C973A65"/>
    <w:multiLevelType w:val="hybridMultilevel"/>
    <w:tmpl w:val="CF6051C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F79493C"/>
    <w:multiLevelType w:val="multilevel"/>
    <w:tmpl w:val="AAC00D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0F12340"/>
    <w:multiLevelType w:val="hybridMultilevel"/>
    <w:tmpl w:val="25C2D82A"/>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360" w:hanging="360"/>
      </w:pPr>
      <w:rPr>
        <w:rFonts w:ascii="Courier New" w:hAnsi="Courier New" w:cs="Courier New" w:hint="default"/>
      </w:rPr>
    </w:lvl>
    <w:lvl w:ilvl="2" w:tplc="240A0005" w:tentative="1">
      <w:start w:val="1"/>
      <w:numFmt w:val="bullet"/>
      <w:lvlText w:val=""/>
      <w:lvlJc w:val="left"/>
      <w:pPr>
        <w:ind w:left="360" w:hanging="360"/>
      </w:pPr>
      <w:rPr>
        <w:rFonts w:ascii="Wingdings" w:hAnsi="Wingdings" w:hint="default"/>
      </w:rPr>
    </w:lvl>
    <w:lvl w:ilvl="3" w:tplc="240A0001" w:tentative="1">
      <w:start w:val="1"/>
      <w:numFmt w:val="bullet"/>
      <w:lvlText w:val=""/>
      <w:lvlJc w:val="left"/>
      <w:pPr>
        <w:ind w:left="1080" w:hanging="360"/>
      </w:pPr>
      <w:rPr>
        <w:rFonts w:ascii="Symbol" w:hAnsi="Symbol" w:hint="default"/>
      </w:rPr>
    </w:lvl>
    <w:lvl w:ilvl="4" w:tplc="240A0003" w:tentative="1">
      <w:start w:val="1"/>
      <w:numFmt w:val="bullet"/>
      <w:lvlText w:val="o"/>
      <w:lvlJc w:val="left"/>
      <w:pPr>
        <w:ind w:left="1800" w:hanging="360"/>
      </w:pPr>
      <w:rPr>
        <w:rFonts w:ascii="Courier New" w:hAnsi="Courier New" w:cs="Courier New" w:hint="default"/>
      </w:rPr>
    </w:lvl>
    <w:lvl w:ilvl="5" w:tplc="240A0005" w:tentative="1">
      <w:start w:val="1"/>
      <w:numFmt w:val="bullet"/>
      <w:lvlText w:val=""/>
      <w:lvlJc w:val="left"/>
      <w:pPr>
        <w:ind w:left="2520" w:hanging="360"/>
      </w:pPr>
      <w:rPr>
        <w:rFonts w:ascii="Wingdings" w:hAnsi="Wingdings" w:hint="default"/>
      </w:rPr>
    </w:lvl>
    <w:lvl w:ilvl="6" w:tplc="240A0001" w:tentative="1">
      <w:start w:val="1"/>
      <w:numFmt w:val="bullet"/>
      <w:lvlText w:val=""/>
      <w:lvlJc w:val="left"/>
      <w:pPr>
        <w:ind w:left="3240" w:hanging="360"/>
      </w:pPr>
      <w:rPr>
        <w:rFonts w:ascii="Symbol" w:hAnsi="Symbol" w:hint="default"/>
      </w:rPr>
    </w:lvl>
    <w:lvl w:ilvl="7" w:tplc="240A0003" w:tentative="1">
      <w:start w:val="1"/>
      <w:numFmt w:val="bullet"/>
      <w:lvlText w:val="o"/>
      <w:lvlJc w:val="left"/>
      <w:pPr>
        <w:ind w:left="3960" w:hanging="360"/>
      </w:pPr>
      <w:rPr>
        <w:rFonts w:ascii="Courier New" w:hAnsi="Courier New" w:cs="Courier New" w:hint="default"/>
      </w:rPr>
    </w:lvl>
    <w:lvl w:ilvl="8" w:tplc="240A0005" w:tentative="1">
      <w:start w:val="1"/>
      <w:numFmt w:val="bullet"/>
      <w:lvlText w:val=""/>
      <w:lvlJc w:val="left"/>
      <w:pPr>
        <w:ind w:left="4680" w:hanging="360"/>
      </w:pPr>
      <w:rPr>
        <w:rFonts w:ascii="Wingdings" w:hAnsi="Wingdings" w:hint="default"/>
      </w:rPr>
    </w:lvl>
  </w:abstractNum>
  <w:abstractNum w:abstractNumId="35" w15:restartNumberingAfterBreak="0">
    <w:nsid w:val="741C1FCF"/>
    <w:multiLevelType w:val="hybridMultilevel"/>
    <w:tmpl w:val="21C27C6A"/>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6" w15:restartNumberingAfterBreak="0">
    <w:nsid w:val="741D447F"/>
    <w:multiLevelType w:val="hybridMultilevel"/>
    <w:tmpl w:val="3FD8A52E"/>
    <w:lvl w:ilvl="0" w:tplc="36C483E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784E0DD5"/>
    <w:multiLevelType w:val="hybridMultilevel"/>
    <w:tmpl w:val="1D1283A2"/>
    <w:lvl w:ilvl="0" w:tplc="E0A6D626">
      <w:start w:val="5"/>
      <w:numFmt w:val="bullet"/>
      <w:lvlText w:val="-"/>
      <w:lvlJc w:val="left"/>
      <w:pPr>
        <w:ind w:left="720" w:hanging="360"/>
      </w:pPr>
      <w:rPr>
        <w:rFonts w:ascii="Verdana" w:eastAsia="Times New Roman" w:hAnsi="Verdana"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7AEA37CF"/>
    <w:multiLevelType w:val="hybridMultilevel"/>
    <w:tmpl w:val="91223B74"/>
    <w:lvl w:ilvl="0" w:tplc="240A000B">
      <w:start w:val="1"/>
      <w:numFmt w:val="bullet"/>
      <w:lvlText w:val=""/>
      <w:lvlJc w:val="left"/>
      <w:pPr>
        <w:ind w:left="800" w:hanging="360"/>
      </w:pPr>
      <w:rPr>
        <w:rFonts w:ascii="Wingdings" w:hAnsi="Wingdings" w:hint="default"/>
      </w:rPr>
    </w:lvl>
    <w:lvl w:ilvl="1" w:tplc="240A0003" w:tentative="1">
      <w:start w:val="1"/>
      <w:numFmt w:val="bullet"/>
      <w:lvlText w:val="o"/>
      <w:lvlJc w:val="left"/>
      <w:pPr>
        <w:ind w:left="1520" w:hanging="360"/>
      </w:pPr>
      <w:rPr>
        <w:rFonts w:ascii="Courier New" w:hAnsi="Courier New" w:cs="Courier New" w:hint="default"/>
      </w:rPr>
    </w:lvl>
    <w:lvl w:ilvl="2" w:tplc="240A0005" w:tentative="1">
      <w:start w:val="1"/>
      <w:numFmt w:val="bullet"/>
      <w:lvlText w:val=""/>
      <w:lvlJc w:val="left"/>
      <w:pPr>
        <w:ind w:left="2240" w:hanging="360"/>
      </w:pPr>
      <w:rPr>
        <w:rFonts w:ascii="Wingdings" w:hAnsi="Wingdings" w:hint="default"/>
      </w:rPr>
    </w:lvl>
    <w:lvl w:ilvl="3" w:tplc="240A0001" w:tentative="1">
      <w:start w:val="1"/>
      <w:numFmt w:val="bullet"/>
      <w:lvlText w:val=""/>
      <w:lvlJc w:val="left"/>
      <w:pPr>
        <w:ind w:left="2960" w:hanging="360"/>
      </w:pPr>
      <w:rPr>
        <w:rFonts w:ascii="Symbol" w:hAnsi="Symbol" w:hint="default"/>
      </w:rPr>
    </w:lvl>
    <w:lvl w:ilvl="4" w:tplc="240A0003" w:tentative="1">
      <w:start w:val="1"/>
      <w:numFmt w:val="bullet"/>
      <w:lvlText w:val="o"/>
      <w:lvlJc w:val="left"/>
      <w:pPr>
        <w:ind w:left="3680" w:hanging="360"/>
      </w:pPr>
      <w:rPr>
        <w:rFonts w:ascii="Courier New" w:hAnsi="Courier New" w:cs="Courier New" w:hint="default"/>
      </w:rPr>
    </w:lvl>
    <w:lvl w:ilvl="5" w:tplc="240A0005" w:tentative="1">
      <w:start w:val="1"/>
      <w:numFmt w:val="bullet"/>
      <w:lvlText w:val=""/>
      <w:lvlJc w:val="left"/>
      <w:pPr>
        <w:ind w:left="4400" w:hanging="360"/>
      </w:pPr>
      <w:rPr>
        <w:rFonts w:ascii="Wingdings" w:hAnsi="Wingdings" w:hint="default"/>
      </w:rPr>
    </w:lvl>
    <w:lvl w:ilvl="6" w:tplc="240A0001" w:tentative="1">
      <w:start w:val="1"/>
      <w:numFmt w:val="bullet"/>
      <w:lvlText w:val=""/>
      <w:lvlJc w:val="left"/>
      <w:pPr>
        <w:ind w:left="5120" w:hanging="360"/>
      </w:pPr>
      <w:rPr>
        <w:rFonts w:ascii="Symbol" w:hAnsi="Symbol" w:hint="default"/>
      </w:rPr>
    </w:lvl>
    <w:lvl w:ilvl="7" w:tplc="240A0003" w:tentative="1">
      <w:start w:val="1"/>
      <w:numFmt w:val="bullet"/>
      <w:lvlText w:val="o"/>
      <w:lvlJc w:val="left"/>
      <w:pPr>
        <w:ind w:left="5840" w:hanging="360"/>
      </w:pPr>
      <w:rPr>
        <w:rFonts w:ascii="Courier New" w:hAnsi="Courier New" w:cs="Courier New" w:hint="default"/>
      </w:rPr>
    </w:lvl>
    <w:lvl w:ilvl="8" w:tplc="240A0005" w:tentative="1">
      <w:start w:val="1"/>
      <w:numFmt w:val="bullet"/>
      <w:lvlText w:val=""/>
      <w:lvlJc w:val="left"/>
      <w:pPr>
        <w:ind w:left="6560" w:hanging="360"/>
      </w:pPr>
      <w:rPr>
        <w:rFonts w:ascii="Wingdings" w:hAnsi="Wingdings" w:hint="default"/>
      </w:rPr>
    </w:lvl>
  </w:abstractNum>
  <w:abstractNum w:abstractNumId="39" w15:restartNumberingAfterBreak="0">
    <w:nsid w:val="7B302166"/>
    <w:multiLevelType w:val="hybridMultilevel"/>
    <w:tmpl w:val="0276D91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B55A22"/>
    <w:multiLevelType w:val="hybridMultilevel"/>
    <w:tmpl w:val="1CF2F2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13"/>
  </w:num>
  <w:num w:numId="3">
    <w:abstractNumId w:val="18"/>
  </w:num>
  <w:num w:numId="4">
    <w:abstractNumId w:val="16"/>
  </w:num>
  <w:num w:numId="5">
    <w:abstractNumId w:val="33"/>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5"/>
  </w:num>
  <w:num w:numId="10">
    <w:abstractNumId w:val="34"/>
  </w:num>
  <w:num w:numId="11">
    <w:abstractNumId w:val="39"/>
  </w:num>
  <w:num w:numId="12">
    <w:abstractNumId w:val="11"/>
  </w:num>
  <w:num w:numId="13">
    <w:abstractNumId w:val="22"/>
  </w:num>
  <w:num w:numId="14">
    <w:abstractNumId w:val="28"/>
  </w:num>
  <w:num w:numId="15">
    <w:abstractNumId w:val="1"/>
  </w:num>
  <w:num w:numId="16">
    <w:abstractNumId w:val="2"/>
  </w:num>
  <w:num w:numId="17">
    <w:abstractNumId w:val="0"/>
  </w:num>
  <w:num w:numId="18">
    <w:abstractNumId w:val="7"/>
  </w:num>
  <w:num w:numId="19">
    <w:abstractNumId w:val="24"/>
  </w:num>
  <w:num w:numId="20">
    <w:abstractNumId w:val="27"/>
  </w:num>
  <w:num w:numId="21">
    <w:abstractNumId w:val="21"/>
  </w:num>
  <w:num w:numId="22">
    <w:abstractNumId w:val="12"/>
  </w:num>
  <w:num w:numId="23">
    <w:abstractNumId w:val="1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19"/>
  </w:num>
  <w:num w:numId="27">
    <w:abstractNumId w:val="40"/>
  </w:num>
  <w:num w:numId="28">
    <w:abstractNumId w:val="31"/>
  </w:num>
  <w:num w:numId="29">
    <w:abstractNumId w:val="4"/>
  </w:num>
  <w:num w:numId="30">
    <w:abstractNumId w:val="38"/>
  </w:num>
  <w:num w:numId="31">
    <w:abstractNumId w:val="10"/>
  </w:num>
  <w:num w:numId="32">
    <w:abstractNumId w:val="29"/>
  </w:num>
  <w:num w:numId="33">
    <w:abstractNumId w:val="30"/>
  </w:num>
  <w:num w:numId="34">
    <w:abstractNumId w:val="32"/>
  </w:num>
  <w:num w:numId="35">
    <w:abstractNumId w:val="9"/>
  </w:num>
  <w:num w:numId="3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6"/>
  </w:num>
  <w:num w:numId="39">
    <w:abstractNumId w:val="36"/>
  </w:num>
  <w:num w:numId="40">
    <w:abstractNumId w:val="23"/>
  </w:num>
  <w:num w:numId="41">
    <w:abstractNumId w:val="8"/>
  </w:num>
  <w:num w:numId="42">
    <w:abstractNumId w:val="3"/>
  </w:num>
  <w:num w:numId="43">
    <w:abstractNumId w:val="26"/>
  </w:num>
  <w:num w:numId="44">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983"/>
    <w:rsid w:val="000015C1"/>
    <w:rsid w:val="00001D7F"/>
    <w:rsid w:val="000025BE"/>
    <w:rsid w:val="00003D40"/>
    <w:rsid w:val="00006C18"/>
    <w:rsid w:val="00007307"/>
    <w:rsid w:val="00014A98"/>
    <w:rsid w:val="00016F5E"/>
    <w:rsid w:val="00020762"/>
    <w:rsid w:val="0002100F"/>
    <w:rsid w:val="00024171"/>
    <w:rsid w:val="00024740"/>
    <w:rsid w:val="000378FB"/>
    <w:rsid w:val="0004076A"/>
    <w:rsid w:val="00040CA2"/>
    <w:rsid w:val="0004170E"/>
    <w:rsid w:val="00050144"/>
    <w:rsid w:val="000507CA"/>
    <w:rsid w:val="00051257"/>
    <w:rsid w:val="00051482"/>
    <w:rsid w:val="00052450"/>
    <w:rsid w:val="00072642"/>
    <w:rsid w:val="00072CB8"/>
    <w:rsid w:val="00072CFB"/>
    <w:rsid w:val="00072D7C"/>
    <w:rsid w:val="000742F8"/>
    <w:rsid w:val="00075B3F"/>
    <w:rsid w:val="00076B3C"/>
    <w:rsid w:val="00080889"/>
    <w:rsid w:val="0008210D"/>
    <w:rsid w:val="0008226B"/>
    <w:rsid w:val="00084002"/>
    <w:rsid w:val="0008742F"/>
    <w:rsid w:val="00092041"/>
    <w:rsid w:val="000958F0"/>
    <w:rsid w:val="00097077"/>
    <w:rsid w:val="000970DA"/>
    <w:rsid w:val="000A2032"/>
    <w:rsid w:val="000A27B6"/>
    <w:rsid w:val="000A2B0C"/>
    <w:rsid w:val="000A2C2A"/>
    <w:rsid w:val="000A459F"/>
    <w:rsid w:val="000B039D"/>
    <w:rsid w:val="000C2ED4"/>
    <w:rsid w:val="000C35D9"/>
    <w:rsid w:val="000C5A39"/>
    <w:rsid w:val="000D0278"/>
    <w:rsid w:val="000D0FE5"/>
    <w:rsid w:val="000D12E1"/>
    <w:rsid w:val="000D2F11"/>
    <w:rsid w:val="000D5E88"/>
    <w:rsid w:val="000E24EB"/>
    <w:rsid w:val="000F099A"/>
    <w:rsid w:val="000F403F"/>
    <w:rsid w:val="000F525F"/>
    <w:rsid w:val="000F7AB8"/>
    <w:rsid w:val="000F7D73"/>
    <w:rsid w:val="001113E5"/>
    <w:rsid w:val="001116E9"/>
    <w:rsid w:val="0011288E"/>
    <w:rsid w:val="00112C06"/>
    <w:rsid w:val="001208BF"/>
    <w:rsid w:val="00122CB9"/>
    <w:rsid w:val="0012350D"/>
    <w:rsid w:val="00123AA8"/>
    <w:rsid w:val="00124416"/>
    <w:rsid w:val="001313A0"/>
    <w:rsid w:val="0013508F"/>
    <w:rsid w:val="001375A7"/>
    <w:rsid w:val="00137792"/>
    <w:rsid w:val="00137C47"/>
    <w:rsid w:val="0014233E"/>
    <w:rsid w:val="001427A3"/>
    <w:rsid w:val="00142CB9"/>
    <w:rsid w:val="0014580B"/>
    <w:rsid w:val="00150974"/>
    <w:rsid w:val="00164CCA"/>
    <w:rsid w:val="00171D43"/>
    <w:rsid w:val="00175A38"/>
    <w:rsid w:val="00184F68"/>
    <w:rsid w:val="00184F80"/>
    <w:rsid w:val="00185CE1"/>
    <w:rsid w:val="001939BB"/>
    <w:rsid w:val="00194C37"/>
    <w:rsid w:val="0019552B"/>
    <w:rsid w:val="001A59B0"/>
    <w:rsid w:val="001B0466"/>
    <w:rsid w:val="001B36E2"/>
    <w:rsid w:val="001B528C"/>
    <w:rsid w:val="001B5848"/>
    <w:rsid w:val="001B655C"/>
    <w:rsid w:val="001B6888"/>
    <w:rsid w:val="001C10B9"/>
    <w:rsid w:val="001C2C40"/>
    <w:rsid w:val="001C4065"/>
    <w:rsid w:val="001C4A97"/>
    <w:rsid w:val="001C50E6"/>
    <w:rsid w:val="001D01B2"/>
    <w:rsid w:val="001D02E0"/>
    <w:rsid w:val="001D1DF8"/>
    <w:rsid w:val="001D21E7"/>
    <w:rsid w:val="001D3366"/>
    <w:rsid w:val="001E36F0"/>
    <w:rsid w:val="001E75B0"/>
    <w:rsid w:val="001F0127"/>
    <w:rsid w:val="001F2A0A"/>
    <w:rsid w:val="001F2DDB"/>
    <w:rsid w:val="001F7F53"/>
    <w:rsid w:val="0020013A"/>
    <w:rsid w:val="00200562"/>
    <w:rsid w:val="00201D31"/>
    <w:rsid w:val="00203036"/>
    <w:rsid w:val="002049AE"/>
    <w:rsid w:val="0020693D"/>
    <w:rsid w:val="0021167D"/>
    <w:rsid w:val="00213180"/>
    <w:rsid w:val="002137B2"/>
    <w:rsid w:val="002157DF"/>
    <w:rsid w:val="00217887"/>
    <w:rsid w:val="002200A0"/>
    <w:rsid w:val="00220CFF"/>
    <w:rsid w:val="0022132E"/>
    <w:rsid w:val="0022257E"/>
    <w:rsid w:val="00223CA5"/>
    <w:rsid w:val="00225B17"/>
    <w:rsid w:val="00225D8B"/>
    <w:rsid w:val="0023663C"/>
    <w:rsid w:val="00246608"/>
    <w:rsid w:val="0025017B"/>
    <w:rsid w:val="0025028F"/>
    <w:rsid w:val="0025096A"/>
    <w:rsid w:val="00251A8B"/>
    <w:rsid w:val="002537BC"/>
    <w:rsid w:val="00256FEC"/>
    <w:rsid w:val="00257C13"/>
    <w:rsid w:val="002600C9"/>
    <w:rsid w:val="00260892"/>
    <w:rsid w:val="0026220B"/>
    <w:rsid w:val="00262AAF"/>
    <w:rsid w:val="0026412D"/>
    <w:rsid w:val="002651C8"/>
    <w:rsid w:val="002655EC"/>
    <w:rsid w:val="00267C1D"/>
    <w:rsid w:val="002703C3"/>
    <w:rsid w:val="00273423"/>
    <w:rsid w:val="00275415"/>
    <w:rsid w:val="002758D8"/>
    <w:rsid w:val="00280F9A"/>
    <w:rsid w:val="00282C44"/>
    <w:rsid w:val="002906DE"/>
    <w:rsid w:val="002925D2"/>
    <w:rsid w:val="00292DBE"/>
    <w:rsid w:val="00297358"/>
    <w:rsid w:val="002A139B"/>
    <w:rsid w:val="002A3FDD"/>
    <w:rsid w:val="002A4CED"/>
    <w:rsid w:val="002B0B29"/>
    <w:rsid w:val="002B4A9E"/>
    <w:rsid w:val="002C23F3"/>
    <w:rsid w:val="002C4C15"/>
    <w:rsid w:val="002C55F3"/>
    <w:rsid w:val="002C66AB"/>
    <w:rsid w:val="002D2FD6"/>
    <w:rsid w:val="002D2FEC"/>
    <w:rsid w:val="002D5B71"/>
    <w:rsid w:val="002E67EE"/>
    <w:rsid w:val="002F48AD"/>
    <w:rsid w:val="002F6519"/>
    <w:rsid w:val="00303520"/>
    <w:rsid w:val="00305BB3"/>
    <w:rsid w:val="00307A0C"/>
    <w:rsid w:val="0031268D"/>
    <w:rsid w:val="00313043"/>
    <w:rsid w:val="00314DA5"/>
    <w:rsid w:val="00314FC9"/>
    <w:rsid w:val="00315216"/>
    <w:rsid w:val="00316A82"/>
    <w:rsid w:val="003202B4"/>
    <w:rsid w:val="00321268"/>
    <w:rsid w:val="00321A94"/>
    <w:rsid w:val="00322A99"/>
    <w:rsid w:val="00323968"/>
    <w:rsid w:val="00326F04"/>
    <w:rsid w:val="00327EE9"/>
    <w:rsid w:val="00332075"/>
    <w:rsid w:val="00335915"/>
    <w:rsid w:val="00340C3C"/>
    <w:rsid w:val="0034727B"/>
    <w:rsid w:val="00350364"/>
    <w:rsid w:val="00355717"/>
    <w:rsid w:val="003561F1"/>
    <w:rsid w:val="003611EF"/>
    <w:rsid w:val="0036314B"/>
    <w:rsid w:val="003639CF"/>
    <w:rsid w:val="00366091"/>
    <w:rsid w:val="003740A7"/>
    <w:rsid w:val="00375F83"/>
    <w:rsid w:val="00381BE0"/>
    <w:rsid w:val="00384434"/>
    <w:rsid w:val="0038624D"/>
    <w:rsid w:val="00387DDA"/>
    <w:rsid w:val="0039082B"/>
    <w:rsid w:val="00394C9F"/>
    <w:rsid w:val="0039784B"/>
    <w:rsid w:val="003A0094"/>
    <w:rsid w:val="003A093D"/>
    <w:rsid w:val="003A7EEB"/>
    <w:rsid w:val="003B499D"/>
    <w:rsid w:val="003B4ED7"/>
    <w:rsid w:val="003B759E"/>
    <w:rsid w:val="003B7E66"/>
    <w:rsid w:val="003C3859"/>
    <w:rsid w:val="003C70F6"/>
    <w:rsid w:val="003D234B"/>
    <w:rsid w:val="003D61F5"/>
    <w:rsid w:val="003D7626"/>
    <w:rsid w:val="003E0186"/>
    <w:rsid w:val="003E0243"/>
    <w:rsid w:val="003E2065"/>
    <w:rsid w:val="003E2D64"/>
    <w:rsid w:val="003E7004"/>
    <w:rsid w:val="003F28E4"/>
    <w:rsid w:val="003F5C6F"/>
    <w:rsid w:val="003F5C95"/>
    <w:rsid w:val="003F7758"/>
    <w:rsid w:val="0040158E"/>
    <w:rsid w:val="004020EB"/>
    <w:rsid w:val="00402555"/>
    <w:rsid w:val="00405022"/>
    <w:rsid w:val="0041139D"/>
    <w:rsid w:val="00412969"/>
    <w:rsid w:val="00412FC8"/>
    <w:rsid w:val="00414024"/>
    <w:rsid w:val="00414DDF"/>
    <w:rsid w:val="004156BC"/>
    <w:rsid w:val="00421ABA"/>
    <w:rsid w:val="0043199B"/>
    <w:rsid w:val="0044159B"/>
    <w:rsid w:val="004418FE"/>
    <w:rsid w:val="00442F08"/>
    <w:rsid w:val="004475E8"/>
    <w:rsid w:val="00450862"/>
    <w:rsid w:val="004548C0"/>
    <w:rsid w:val="00460EAE"/>
    <w:rsid w:val="00462EA8"/>
    <w:rsid w:val="004637E1"/>
    <w:rsid w:val="004652A1"/>
    <w:rsid w:val="00466B8F"/>
    <w:rsid w:val="00466C32"/>
    <w:rsid w:val="0046776D"/>
    <w:rsid w:val="00470C3C"/>
    <w:rsid w:val="00470CA8"/>
    <w:rsid w:val="004712E3"/>
    <w:rsid w:val="00473DC0"/>
    <w:rsid w:val="0048478B"/>
    <w:rsid w:val="0048656D"/>
    <w:rsid w:val="00486CC1"/>
    <w:rsid w:val="0049230B"/>
    <w:rsid w:val="00493ACF"/>
    <w:rsid w:val="00495975"/>
    <w:rsid w:val="004A0280"/>
    <w:rsid w:val="004A73EE"/>
    <w:rsid w:val="004B0855"/>
    <w:rsid w:val="004B2286"/>
    <w:rsid w:val="004B2B5D"/>
    <w:rsid w:val="004B3AB5"/>
    <w:rsid w:val="004C0B9B"/>
    <w:rsid w:val="004C251A"/>
    <w:rsid w:val="004C362E"/>
    <w:rsid w:val="004C3E57"/>
    <w:rsid w:val="004C4342"/>
    <w:rsid w:val="004C6147"/>
    <w:rsid w:val="004D046F"/>
    <w:rsid w:val="004D36EE"/>
    <w:rsid w:val="004D6E62"/>
    <w:rsid w:val="004E3D43"/>
    <w:rsid w:val="004E5458"/>
    <w:rsid w:val="004F2C9B"/>
    <w:rsid w:val="004F31D7"/>
    <w:rsid w:val="00500734"/>
    <w:rsid w:val="00506CC8"/>
    <w:rsid w:val="00511962"/>
    <w:rsid w:val="00512257"/>
    <w:rsid w:val="0051616B"/>
    <w:rsid w:val="00520F8F"/>
    <w:rsid w:val="00522087"/>
    <w:rsid w:val="005245FA"/>
    <w:rsid w:val="00524F3C"/>
    <w:rsid w:val="00530852"/>
    <w:rsid w:val="00530A9F"/>
    <w:rsid w:val="00540587"/>
    <w:rsid w:val="005452DF"/>
    <w:rsid w:val="005529E6"/>
    <w:rsid w:val="0055398A"/>
    <w:rsid w:val="00555CD5"/>
    <w:rsid w:val="00555D67"/>
    <w:rsid w:val="00556094"/>
    <w:rsid w:val="00561CF0"/>
    <w:rsid w:val="0056565F"/>
    <w:rsid w:val="005662C5"/>
    <w:rsid w:val="00566CD8"/>
    <w:rsid w:val="005675E9"/>
    <w:rsid w:val="00572EFD"/>
    <w:rsid w:val="005742F0"/>
    <w:rsid w:val="005771B0"/>
    <w:rsid w:val="00580C49"/>
    <w:rsid w:val="005814CA"/>
    <w:rsid w:val="005817B8"/>
    <w:rsid w:val="0058226B"/>
    <w:rsid w:val="00583D82"/>
    <w:rsid w:val="00587626"/>
    <w:rsid w:val="00592780"/>
    <w:rsid w:val="00595B59"/>
    <w:rsid w:val="005976AD"/>
    <w:rsid w:val="005B3CAD"/>
    <w:rsid w:val="005B53E6"/>
    <w:rsid w:val="005B7807"/>
    <w:rsid w:val="005C379E"/>
    <w:rsid w:val="005C75B2"/>
    <w:rsid w:val="005D0B2D"/>
    <w:rsid w:val="005D2E4A"/>
    <w:rsid w:val="005D37C7"/>
    <w:rsid w:val="005D48D3"/>
    <w:rsid w:val="005D6282"/>
    <w:rsid w:val="005D687A"/>
    <w:rsid w:val="005D73FD"/>
    <w:rsid w:val="005D7C4C"/>
    <w:rsid w:val="005E1CE1"/>
    <w:rsid w:val="005E3522"/>
    <w:rsid w:val="005E3BC6"/>
    <w:rsid w:val="005E5BED"/>
    <w:rsid w:val="005E70DF"/>
    <w:rsid w:val="005E7B46"/>
    <w:rsid w:val="005F359D"/>
    <w:rsid w:val="005F56D1"/>
    <w:rsid w:val="00600502"/>
    <w:rsid w:val="0060078E"/>
    <w:rsid w:val="00601157"/>
    <w:rsid w:val="00601AF6"/>
    <w:rsid w:val="00605D71"/>
    <w:rsid w:val="00607A6C"/>
    <w:rsid w:val="00611156"/>
    <w:rsid w:val="00611338"/>
    <w:rsid w:val="00612225"/>
    <w:rsid w:val="00614F89"/>
    <w:rsid w:val="006152C2"/>
    <w:rsid w:val="006308DA"/>
    <w:rsid w:val="00631932"/>
    <w:rsid w:val="0064007B"/>
    <w:rsid w:val="00643788"/>
    <w:rsid w:val="00647489"/>
    <w:rsid w:val="00650D27"/>
    <w:rsid w:val="00660087"/>
    <w:rsid w:val="006644DF"/>
    <w:rsid w:val="00664BF7"/>
    <w:rsid w:val="00665C00"/>
    <w:rsid w:val="00671A32"/>
    <w:rsid w:val="0067256F"/>
    <w:rsid w:val="0067477E"/>
    <w:rsid w:val="0067485E"/>
    <w:rsid w:val="0067737C"/>
    <w:rsid w:val="00680231"/>
    <w:rsid w:val="006810C0"/>
    <w:rsid w:val="006834DB"/>
    <w:rsid w:val="006915E5"/>
    <w:rsid w:val="006957C6"/>
    <w:rsid w:val="00697E7A"/>
    <w:rsid w:val="006A41B8"/>
    <w:rsid w:val="006A69FE"/>
    <w:rsid w:val="006B20B8"/>
    <w:rsid w:val="006B36C7"/>
    <w:rsid w:val="006B4F86"/>
    <w:rsid w:val="006B580F"/>
    <w:rsid w:val="006C10C3"/>
    <w:rsid w:val="006D363D"/>
    <w:rsid w:val="006D3835"/>
    <w:rsid w:val="006D554C"/>
    <w:rsid w:val="006D63B8"/>
    <w:rsid w:val="006D6954"/>
    <w:rsid w:val="006D7F4F"/>
    <w:rsid w:val="006E2A9D"/>
    <w:rsid w:val="006E56A5"/>
    <w:rsid w:val="006F0F5E"/>
    <w:rsid w:val="006F4547"/>
    <w:rsid w:val="006F461C"/>
    <w:rsid w:val="00701B04"/>
    <w:rsid w:val="00702C1E"/>
    <w:rsid w:val="00711503"/>
    <w:rsid w:val="007150B1"/>
    <w:rsid w:val="007152A7"/>
    <w:rsid w:val="0071532A"/>
    <w:rsid w:val="0071693F"/>
    <w:rsid w:val="00716AC9"/>
    <w:rsid w:val="00720EA5"/>
    <w:rsid w:val="007235DD"/>
    <w:rsid w:val="00723CA5"/>
    <w:rsid w:val="00723FDC"/>
    <w:rsid w:val="00724A47"/>
    <w:rsid w:val="00726CB9"/>
    <w:rsid w:val="00727C2C"/>
    <w:rsid w:val="007342DB"/>
    <w:rsid w:val="0073501C"/>
    <w:rsid w:val="00735928"/>
    <w:rsid w:val="00737211"/>
    <w:rsid w:val="007439BF"/>
    <w:rsid w:val="00751956"/>
    <w:rsid w:val="00765481"/>
    <w:rsid w:val="00765EF4"/>
    <w:rsid w:val="00767508"/>
    <w:rsid w:val="0078188C"/>
    <w:rsid w:val="0078212B"/>
    <w:rsid w:val="00782CC8"/>
    <w:rsid w:val="0078364C"/>
    <w:rsid w:val="007849E0"/>
    <w:rsid w:val="0078530C"/>
    <w:rsid w:val="007854B7"/>
    <w:rsid w:val="007864B2"/>
    <w:rsid w:val="007908A2"/>
    <w:rsid w:val="00790902"/>
    <w:rsid w:val="00790928"/>
    <w:rsid w:val="00795BD1"/>
    <w:rsid w:val="007A0ABB"/>
    <w:rsid w:val="007A0C35"/>
    <w:rsid w:val="007A36DD"/>
    <w:rsid w:val="007A40B0"/>
    <w:rsid w:val="007A77AF"/>
    <w:rsid w:val="007A78F9"/>
    <w:rsid w:val="007B6024"/>
    <w:rsid w:val="007B6C13"/>
    <w:rsid w:val="007B763B"/>
    <w:rsid w:val="007C279E"/>
    <w:rsid w:val="007C2C4B"/>
    <w:rsid w:val="007C4EA0"/>
    <w:rsid w:val="007C5635"/>
    <w:rsid w:val="007C6E0F"/>
    <w:rsid w:val="007D0A41"/>
    <w:rsid w:val="007F2F35"/>
    <w:rsid w:val="007F605E"/>
    <w:rsid w:val="007F640A"/>
    <w:rsid w:val="007F65BB"/>
    <w:rsid w:val="007F76E8"/>
    <w:rsid w:val="0080295F"/>
    <w:rsid w:val="0081003D"/>
    <w:rsid w:val="00811C44"/>
    <w:rsid w:val="00811D95"/>
    <w:rsid w:val="00811F60"/>
    <w:rsid w:val="00813D73"/>
    <w:rsid w:val="008175FB"/>
    <w:rsid w:val="00817794"/>
    <w:rsid w:val="00820C6F"/>
    <w:rsid w:val="00820DF3"/>
    <w:rsid w:val="00822410"/>
    <w:rsid w:val="00824BA4"/>
    <w:rsid w:val="00825382"/>
    <w:rsid w:val="00826338"/>
    <w:rsid w:val="0082756F"/>
    <w:rsid w:val="00831F43"/>
    <w:rsid w:val="00844DDC"/>
    <w:rsid w:val="008536DA"/>
    <w:rsid w:val="00853B5D"/>
    <w:rsid w:val="008546B0"/>
    <w:rsid w:val="00856A47"/>
    <w:rsid w:val="00863B90"/>
    <w:rsid w:val="00865EB8"/>
    <w:rsid w:val="0086798E"/>
    <w:rsid w:val="00867A24"/>
    <w:rsid w:val="008708BF"/>
    <w:rsid w:val="008714D9"/>
    <w:rsid w:val="00871BBE"/>
    <w:rsid w:val="00875D71"/>
    <w:rsid w:val="008812A7"/>
    <w:rsid w:val="008845CA"/>
    <w:rsid w:val="008916B0"/>
    <w:rsid w:val="00893D9F"/>
    <w:rsid w:val="00897BA0"/>
    <w:rsid w:val="008A2C42"/>
    <w:rsid w:val="008B2C35"/>
    <w:rsid w:val="008B4949"/>
    <w:rsid w:val="008C128A"/>
    <w:rsid w:val="008C2BE0"/>
    <w:rsid w:val="008C3C1E"/>
    <w:rsid w:val="008C6D48"/>
    <w:rsid w:val="008C7333"/>
    <w:rsid w:val="008D5386"/>
    <w:rsid w:val="008D6CC0"/>
    <w:rsid w:val="008D7568"/>
    <w:rsid w:val="008D7F77"/>
    <w:rsid w:val="008E1DB6"/>
    <w:rsid w:val="008F3C55"/>
    <w:rsid w:val="00901D8F"/>
    <w:rsid w:val="00901E60"/>
    <w:rsid w:val="00902E85"/>
    <w:rsid w:val="00906EBD"/>
    <w:rsid w:val="0091073A"/>
    <w:rsid w:val="00911F7E"/>
    <w:rsid w:val="0091312F"/>
    <w:rsid w:val="009132CB"/>
    <w:rsid w:val="009132D1"/>
    <w:rsid w:val="00913D2C"/>
    <w:rsid w:val="00914416"/>
    <w:rsid w:val="009242BD"/>
    <w:rsid w:val="009317EF"/>
    <w:rsid w:val="009500FB"/>
    <w:rsid w:val="0095439B"/>
    <w:rsid w:val="00962848"/>
    <w:rsid w:val="00963173"/>
    <w:rsid w:val="00964F40"/>
    <w:rsid w:val="00970B2B"/>
    <w:rsid w:val="00970E60"/>
    <w:rsid w:val="00971629"/>
    <w:rsid w:val="0097427B"/>
    <w:rsid w:val="00981638"/>
    <w:rsid w:val="00987BF5"/>
    <w:rsid w:val="00990D98"/>
    <w:rsid w:val="00990F21"/>
    <w:rsid w:val="00992B6C"/>
    <w:rsid w:val="00993CF4"/>
    <w:rsid w:val="00994D73"/>
    <w:rsid w:val="0099745F"/>
    <w:rsid w:val="00997659"/>
    <w:rsid w:val="00997849"/>
    <w:rsid w:val="009A1F17"/>
    <w:rsid w:val="009A55CA"/>
    <w:rsid w:val="009A5E50"/>
    <w:rsid w:val="009B0A4F"/>
    <w:rsid w:val="009B1AB3"/>
    <w:rsid w:val="009B29ED"/>
    <w:rsid w:val="009B4294"/>
    <w:rsid w:val="009C1758"/>
    <w:rsid w:val="009C1EA8"/>
    <w:rsid w:val="009C5275"/>
    <w:rsid w:val="009D2922"/>
    <w:rsid w:val="009D3CA9"/>
    <w:rsid w:val="009D4ADE"/>
    <w:rsid w:val="009D70B4"/>
    <w:rsid w:val="009E0104"/>
    <w:rsid w:val="009E46A8"/>
    <w:rsid w:val="009E4F3E"/>
    <w:rsid w:val="009E75F4"/>
    <w:rsid w:val="009E7C40"/>
    <w:rsid w:val="009F0674"/>
    <w:rsid w:val="009F1A46"/>
    <w:rsid w:val="009F262D"/>
    <w:rsid w:val="009F387E"/>
    <w:rsid w:val="009F3EF9"/>
    <w:rsid w:val="009F59CE"/>
    <w:rsid w:val="009F6B24"/>
    <w:rsid w:val="009F79B5"/>
    <w:rsid w:val="00A01E36"/>
    <w:rsid w:val="00A0325F"/>
    <w:rsid w:val="00A0447D"/>
    <w:rsid w:val="00A05392"/>
    <w:rsid w:val="00A10382"/>
    <w:rsid w:val="00A13D43"/>
    <w:rsid w:val="00A2427B"/>
    <w:rsid w:val="00A3345D"/>
    <w:rsid w:val="00A3794F"/>
    <w:rsid w:val="00A42AF2"/>
    <w:rsid w:val="00A440CD"/>
    <w:rsid w:val="00A4446A"/>
    <w:rsid w:val="00A45578"/>
    <w:rsid w:val="00A50FDC"/>
    <w:rsid w:val="00A53249"/>
    <w:rsid w:val="00A546EF"/>
    <w:rsid w:val="00A56285"/>
    <w:rsid w:val="00A642A5"/>
    <w:rsid w:val="00A6722F"/>
    <w:rsid w:val="00A67727"/>
    <w:rsid w:val="00A703D5"/>
    <w:rsid w:val="00A7258B"/>
    <w:rsid w:val="00A748CA"/>
    <w:rsid w:val="00A750AE"/>
    <w:rsid w:val="00A75BAF"/>
    <w:rsid w:val="00A81646"/>
    <w:rsid w:val="00A822D1"/>
    <w:rsid w:val="00A87384"/>
    <w:rsid w:val="00A91586"/>
    <w:rsid w:val="00A93C39"/>
    <w:rsid w:val="00A957D8"/>
    <w:rsid w:val="00A97D64"/>
    <w:rsid w:val="00AA0123"/>
    <w:rsid w:val="00AB4B88"/>
    <w:rsid w:val="00AC0053"/>
    <w:rsid w:val="00AC01D9"/>
    <w:rsid w:val="00AC29A3"/>
    <w:rsid w:val="00AD0D28"/>
    <w:rsid w:val="00AD1255"/>
    <w:rsid w:val="00AD41B2"/>
    <w:rsid w:val="00AD5EA7"/>
    <w:rsid w:val="00AE01B5"/>
    <w:rsid w:val="00AE2AAD"/>
    <w:rsid w:val="00AE4128"/>
    <w:rsid w:val="00AE535E"/>
    <w:rsid w:val="00AE56DF"/>
    <w:rsid w:val="00AF1041"/>
    <w:rsid w:val="00B0226C"/>
    <w:rsid w:val="00B11334"/>
    <w:rsid w:val="00B1281A"/>
    <w:rsid w:val="00B12E49"/>
    <w:rsid w:val="00B1646E"/>
    <w:rsid w:val="00B22CCE"/>
    <w:rsid w:val="00B2419B"/>
    <w:rsid w:val="00B261B6"/>
    <w:rsid w:val="00B26918"/>
    <w:rsid w:val="00B27312"/>
    <w:rsid w:val="00B27F5F"/>
    <w:rsid w:val="00B32EC0"/>
    <w:rsid w:val="00B33ECC"/>
    <w:rsid w:val="00B34C09"/>
    <w:rsid w:val="00B34C7C"/>
    <w:rsid w:val="00B3655A"/>
    <w:rsid w:val="00B36B33"/>
    <w:rsid w:val="00B40AC1"/>
    <w:rsid w:val="00B41BFA"/>
    <w:rsid w:val="00B4299D"/>
    <w:rsid w:val="00B43D35"/>
    <w:rsid w:val="00B45738"/>
    <w:rsid w:val="00B45C59"/>
    <w:rsid w:val="00B5406F"/>
    <w:rsid w:val="00B5622F"/>
    <w:rsid w:val="00B56FFD"/>
    <w:rsid w:val="00B57A69"/>
    <w:rsid w:val="00B60D79"/>
    <w:rsid w:val="00B624E7"/>
    <w:rsid w:val="00B63B7B"/>
    <w:rsid w:val="00B67423"/>
    <w:rsid w:val="00B76793"/>
    <w:rsid w:val="00B77070"/>
    <w:rsid w:val="00B8337B"/>
    <w:rsid w:val="00B854F1"/>
    <w:rsid w:val="00B85D28"/>
    <w:rsid w:val="00BA4AC6"/>
    <w:rsid w:val="00BA5E98"/>
    <w:rsid w:val="00BB037D"/>
    <w:rsid w:val="00BB23ED"/>
    <w:rsid w:val="00BB4A11"/>
    <w:rsid w:val="00BB4D96"/>
    <w:rsid w:val="00BB6C68"/>
    <w:rsid w:val="00BC0C10"/>
    <w:rsid w:val="00BC22BB"/>
    <w:rsid w:val="00BC2A2E"/>
    <w:rsid w:val="00BC4864"/>
    <w:rsid w:val="00BD3534"/>
    <w:rsid w:val="00BD3DBF"/>
    <w:rsid w:val="00BD4D90"/>
    <w:rsid w:val="00BD6169"/>
    <w:rsid w:val="00BD6618"/>
    <w:rsid w:val="00BE099A"/>
    <w:rsid w:val="00BE166F"/>
    <w:rsid w:val="00BE2058"/>
    <w:rsid w:val="00BE259A"/>
    <w:rsid w:val="00BE37CB"/>
    <w:rsid w:val="00BF09DE"/>
    <w:rsid w:val="00BF5D2D"/>
    <w:rsid w:val="00BF69B5"/>
    <w:rsid w:val="00C01534"/>
    <w:rsid w:val="00C040FE"/>
    <w:rsid w:val="00C1089D"/>
    <w:rsid w:val="00C10998"/>
    <w:rsid w:val="00C10F48"/>
    <w:rsid w:val="00C11B6A"/>
    <w:rsid w:val="00C126FB"/>
    <w:rsid w:val="00C13469"/>
    <w:rsid w:val="00C215AD"/>
    <w:rsid w:val="00C24954"/>
    <w:rsid w:val="00C24BAF"/>
    <w:rsid w:val="00C24C6E"/>
    <w:rsid w:val="00C307B4"/>
    <w:rsid w:val="00C32D46"/>
    <w:rsid w:val="00C33F0D"/>
    <w:rsid w:val="00C33FB4"/>
    <w:rsid w:val="00C35356"/>
    <w:rsid w:val="00C3645A"/>
    <w:rsid w:val="00C3695A"/>
    <w:rsid w:val="00C369FA"/>
    <w:rsid w:val="00C36BCB"/>
    <w:rsid w:val="00C4146F"/>
    <w:rsid w:val="00C41CE0"/>
    <w:rsid w:val="00C43EDE"/>
    <w:rsid w:val="00C4496B"/>
    <w:rsid w:val="00C5159A"/>
    <w:rsid w:val="00C5293B"/>
    <w:rsid w:val="00C53AF0"/>
    <w:rsid w:val="00C546F2"/>
    <w:rsid w:val="00C5692A"/>
    <w:rsid w:val="00C62691"/>
    <w:rsid w:val="00C62F34"/>
    <w:rsid w:val="00C63E5E"/>
    <w:rsid w:val="00C65253"/>
    <w:rsid w:val="00C66FAA"/>
    <w:rsid w:val="00C70489"/>
    <w:rsid w:val="00C70B05"/>
    <w:rsid w:val="00C71C46"/>
    <w:rsid w:val="00C7421B"/>
    <w:rsid w:val="00C74C51"/>
    <w:rsid w:val="00C75715"/>
    <w:rsid w:val="00C76ED8"/>
    <w:rsid w:val="00C7754D"/>
    <w:rsid w:val="00C81BC0"/>
    <w:rsid w:val="00C84388"/>
    <w:rsid w:val="00C859E5"/>
    <w:rsid w:val="00C85C7F"/>
    <w:rsid w:val="00C8625B"/>
    <w:rsid w:val="00C867E4"/>
    <w:rsid w:val="00C87335"/>
    <w:rsid w:val="00C877C4"/>
    <w:rsid w:val="00C95C68"/>
    <w:rsid w:val="00CA3DFD"/>
    <w:rsid w:val="00CA4193"/>
    <w:rsid w:val="00CB2E8D"/>
    <w:rsid w:val="00CB3A0E"/>
    <w:rsid w:val="00CB444E"/>
    <w:rsid w:val="00CB657A"/>
    <w:rsid w:val="00CC0CD3"/>
    <w:rsid w:val="00CC3F1B"/>
    <w:rsid w:val="00CC44B6"/>
    <w:rsid w:val="00CC4529"/>
    <w:rsid w:val="00CC4AE3"/>
    <w:rsid w:val="00CC6CEF"/>
    <w:rsid w:val="00CD1779"/>
    <w:rsid w:val="00CD5069"/>
    <w:rsid w:val="00CE011E"/>
    <w:rsid w:val="00CE5D7C"/>
    <w:rsid w:val="00CE6393"/>
    <w:rsid w:val="00CF4E03"/>
    <w:rsid w:val="00CF6FB0"/>
    <w:rsid w:val="00CF7680"/>
    <w:rsid w:val="00D0320F"/>
    <w:rsid w:val="00D0429B"/>
    <w:rsid w:val="00D05BA1"/>
    <w:rsid w:val="00D10E8A"/>
    <w:rsid w:val="00D13566"/>
    <w:rsid w:val="00D15C4E"/>
    <w:rsid w:val="00D2247A"/>
    <w:rsid w:val="00D2720F"/>
    <w:rsid w:val="00D304B7"/>
    <w:rsid w:val="00D3052A"/>
    <w:rsid w:val="00D326A3"/>
    <w:rsid w:val="00D3302F"/>
    <w:rsid w:val="00D356FB"/>
    <w:rsid w:val="00D363ED"/>
    <w:rsid w:val="00D37117"/>
    <w:rsid w:val="00D37EBB"/>
    <w:rsid w:val="00D42012"/>
    <w:rsid w:val="00D42D32"/>
    <w:rsid w:val="00D432F1"/>
    <w:rsid w:val="00D43AC2"/>
    <w:rsid w:val="00D43B4D"/>
    <w:rsid w:val="00D43F30"/>
    <w:rsid w:val="00D472EA"/>
    <w:rsid w:val="00D51231"/>
    <w:rsid w:val="00D55223"/>
    <w:rsid w:val="00D576EF"/>
    <w:rsid w:val="00D64834"/>
    <w:rsid w:val="00D7163E"/>
    <w:rsid w:val="00D72C94"/>
    <w:rsid w:val="00D74E79"/>
    <w:rsid w:val="00D83B78"/>
    <w:rsid w:val="00D86AB0"/>
    <w:rsid w:val="00D90F04"/>
    <w:rsid w:val="00D928DB"/>
    <w:rsid w:val="00D9298D"/>
    <w:rsid w:val="00D92F07"/>
    <w:rsid w:val="00DA291A"/>
    <w:rsid w:val="00DA5868"/>
    <w:rsid w:val="00DA6429"/>
    <w:rsid w:val="00DB61FF"/>
    <w:rsid w:val="00DC2411"/>
    <w:rsid w:val="00DC3E69"/>
    <w:rsid w:val="00DC5BBE"/>
    <w:rsid w:val="00DC5EFA"/>
    <w:rsid w:val="00DD1303"/>
    <w:rsid w:val="00DD1D85"/>
    <w:rsid w:val="00DD4466"/>
    <w:rsid w:val="00DD5CDD"/>
    <w:rsid w:val="00DD6527"/>
    <w:rsid w:val="00DE4252"/>
    <w:rsid w:val="00DE7720"/>
    <w:rsid w:val="00DF14B9"/>
    <w:rsid w:val="00DF5B06"/>
    <w:rsid w:val="00E01102"/>
    <w:rsid w:val="00E03594"/>
    <w:rsid w:val="00E07F30"/>
    <w:rsid w:val="00E1273E"/>
    <w:rsid w:val="00E133A3"/>
    <w:rsid w:val="00E16BE6"/>
    <w:rsid w:val="00E17F87"/>
    <w:rsid w:val="00E2022B"/>
    <w:rsid w:val="00E226AA"/>
    <w:rsid w:val="00E232DB"/>
    <w:rsid w:val="00E25C44"/>
    <w:rsid w:val="00E358A5"/>
    <w:rsid w:val="00E4097C"/>
    <w:rsid w:val="00E41C44"/>
    <w:rsid w:val="00E434A4"/>
    <w:rsid w:val="00E438A2"/>
    <w:rsid w:val="00E451B5"/>
    <w:rsid w:val="00E45F2E"/>
    <w:rsid w:val="00E50AD6"/>
    <w:rsid w:val="00E51673"/>
    <w:rsid w:val="00E521E5"/>
    <w:rsid w:val="00E55983"/>
    <w:rsid w:val="00E56EF7"/>
    <w:rsid w:val="00E57880"/>
    <w:rsid w:val="00E61EA8"/>
    <w:rsid w:val="00E63AE8"/>
    <w:rsid w:val="00E63D23"/>
    <w:rsid w:val="00E63D9E"/>
    <w:rsid w:val="00E64237"/>
    <w:rsid w:val="00E6425E"/>
    <w:rsid w:val="00E660A7"/>
    <w:rsid w:val="00E66F02"/>
    <w:rsid w:val="00E704EC"/>
    <w:rsid w:val="00E713B7"/>
    <w:rsid w:val="00E71A35"/>
    <w:rsid w:val="00E76C9F"/>
    <w:rsid w:val="00E77BDF"/>
    <w:rsid w:val="00E81EE7"/>
    <w:rsid w:val="00E83EFB"/>
    <w:rsid w:val="00E85331"/>
    <w:rsid w:val="00E861CF"/>
    <w:rsid w:val="00E872C5"/>
    <w:rsid w:val="00E9127D"/>
    <w:rsid w:val="00E9224A"/>
    <w:rsid w:val="00E935ED"/>
    <w:rsid w:val="00E9387C"/>
    <w:rsid w:val="00E94436"/>
    <w:rsid w:val="00E9547F"/>
    <w:rsid w:val="00E95B64"/>
    <w:rsid w:val="00EA02F6"/>
    <w:rsid w:val="00EA128F"/>
    <w:rsid w:val="00EA40E9"/>
    <w:rsid w:val="00EA41A5"/>
    <w:rsid w:val="00EA43F0"/>
    <w:rsid w:val="00EA64A8"/>
    <w:rsid w:val="00EB3502"/>
    <w:rsid w:val="00EB5468"/>
    <w:rsid w:val="00EC4BFD"/>
    <w:rsid w:val="00EC6CE5"/>
    <w:rsid w:val="00ED0285"/>
    <w:rsid w:val="00ED124F"/>
    <w:rsid w:val="00ED6850"/>
    <w:rsid w:val="00EE27F8"/>
    <w:rsid w:val="00EE47C2"/>
    <w:rsid w:val="00EE6BAE"/>
    <w:rsid w:val="00EE7E9E"/>
    <w:rsid w:val="00EF045E"/>
    <w:rsid w:val="00EF0B32"/>
    <w:rsid w:val="00EF492C"/>
    <w:rsid w:val="00EF6524"/>
    <w:rsid w:val="00F029D8"/>
    <w:rsid w:val="00F05A28"/>
    <w:rsid w:val="00F07318"/>
    <w:rsid w:val="00F108A3"/>
    <w:rsid w:val="00F14958"/>
    <w:rsid w:val="00F15031"/>
    <w:rsid w:val="00F159F6"/>
    <w:rsid w:val="00F16AB1"/>
    <w:rsid w:val="00F16F34"/>
    <w:rsid w:val="00F1722A"/>
    <w:rsid w:val="00F23F6A"/>
    <w:rsid w:val="00F242C0"/>
    <w:rsid w:val="00F27452"/>
    <w:rsid w:val="00F314D1"/>
    <w:rsid w:val="00F33F97"/>
    <w:rsid w:val="00F3476A"/>
    <w:rsid w:val="00F41BAD"/>
    <w:rsid w:val="00F52177"/>
    <w:rsid w:val="00F52872"/>
    <w:rsid w:val="00F54A62"/>
    <w:rsid w:val="00F56E6C"/>
    <w:rsid w:val="00F56F81"/>
    <w:rsid w:val="00F57913"/>
    <w:rsid w:val="00F62B4B"/>
    <w:rsid w:val="00F653A0"/>
    <w:rsid w:val="00F7163D"/>
    <w:rsid w:val="00F717BE"/>
    <w:rsid w:val="00F80108"/>
    <w:rsid w:val="00F822B2"/>
    <w:rsid w:val="00F84B33"/>
    <w:rsid w:val="00F86575"/>
    <w:rsid w:val="00F92CCE"/>
    <w:rsid w:val="00F93213"/>
    <w:rsid w:val="00F935AA"/>
    <w:rsid w:val="00F9563C"/>
    <w:rsid w:val="00F973E5"/>
    <w:rsid w:val="00FA3EC6"/>
    <w:rsid w:val="00FB19C8"/>
    <w:rsid w:val="00FB33B0"/>
    <w:rsid w:val="00FB7D38"/>
    <w:rsid w:val="00FC2616"/>
    <w:rsid w:val="00FC6278"/>
    <w:rsid w:val="00FC7030"/>
    <w:rsid w:val="00FC7B6E"/>
    <w:rsid w:val="00FD0748"/>
    <w:rsid w:val="00FD0765"/>
    <w:rsid w:val="00FE055F"/>
    <w:rsid w:val="00FE3017"/>
    <w:rsid w:val="00FF2108"/>
    <w:rsid w:val="00FF29AB"/>
    <w:rsid w:val="00FF6C89"/>
    <w:rsid w:val="00FF6F84"/>
    <w:rsid w:val="00FF7C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020EA"/>
  <w15:docId w15:val="{70BD8642-0026-4B9D-9A78-3FAAC19D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5E5"/>
    <w:rPr>
      <w:lang w:eastAsia="es-ES_tradnl"/>
    </w:rPr>
  </w:style>
  <w:style w:type="paragraph" w:styleId="Ttulo1">
    <w:name w:val="heading 1"/>
    <w:aliases w:val="ARTICULO 1º,Negrita"/>
    <w:basedOn w:val="Normal"/>
    <w:next w:val="Normal"/>
    <w:uiPriority w:val="9"/>
    <w:qFormat/>
    <w:rsid w:val="002628DB"/>
    <w:pPr>
      <w:keepNext/>
      <w:jc w:val="both"/>
      <w:outlineLvl w:val="0"/>
    </w:pPr>
    <w:rPr>
      <w:szCs w:val="20"/>
      <w:lang w:val="es-MX" w:eastAsia="es-ES"/>
    </w:rPr>
  </w:style>
  <w:style w:type="paragraph" w:styleId="Ttulo2">
    <w:name w:val="heading 2"/>
    <w:basedOn w:val="Normal"/>
    <w:next w:val="Normal"/>
    <w:link w:val="Ttulo2Car"/>
    <w:uiPriority w:val="9"/>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lang w:eastAsia="es-ES"/>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A58F1"/>
    <w:pPr>
      <w:contextualSpacing/>
    </w:pPr>
    <w:rPr>
      <w:rFonts w:asciiTheme="majorHAnsi" w:eastAsiaTheme="majorEastAsia" w:hAnsiTheme="majorHAnsi" w:cstheme="majorBidi"/>
      <w:spacing w:val="-10"/>
      <w:kern w:val="28"/>
      <w:sz w:val="56"/>
      <w:szCs w:val="56"/>
      <w:lang w:eastAsia="es-ES"/>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lang w:eastAsia="es-ES"/>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lang w:eastAsia="es-ES"/>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lang w:eastAsia="es-ES"/>
    </w:rPr>
  </w:style>
  <w:style w:type="paragraph" w:customStyle="1" w:styleId="Nivel4">
    <w:name w:val="Nivel4"/>
    <w:basedOn w:val="Normal"/>
    <w:rsid w:val="002628DB"/>
    <w:pPr>
      <w:numPr>
        <w:ilvl w:val="3"/>
        <w:numId w:val="1"/>
      </w:numPr>
      <w:spacing w:before="120" w:after="120"/>
      <w:jc w:val="both"/>
    </w:pPr>
    <w:rPr>
      <w:rFonts w:ascii="Arial" w:hAnsi="Arial"/>
      <w:szCs w:val="20"/>
      <w:lang w:eastAsia="es-ES"/>
    </w:rPr>
  </w:style>
  <w:style w:type="paragraph" w:customStyle="1" w:styleId="Nivel5">
    <w:name w:val="Nivel5"/>
    <w:basedOn w:val="Normal"/>
    <w:rsid w:val="002628DB"/>
    <w:pPr>
      <w:numPr>
        <w:ilvl w:val="4"/>
        <w:numId w:val="1"/>
      </w:numPr>
      <w:spacing w:before="120" w:after="120"/>
      <w:jc w:val="both"/>
    </w:pPr>
    <w:rPr>
      <w:rFonts w:ascii="Arial" w:hAnsi="Arial"/>
      <w:szCs w:val="20"/>
      <w:lang w:eastAsia="es-ES"/>
    </w:rPr>
  </w:style>
  <w:style w:type="paragraph" w:styleId="Encabezado">
    <w:name w:val="header"/>
    <w:basedOn w:val="Normal"/>
    <w:link w:val="EncabezadoCar"/>
    <w:uiPriority w:val="99"/>
    <w:rsid w:val="002628DB"/>
    <w:pPr>
      <w:tabs>
        <w:tab w:val="center" w:pos="4252"/>
        <w:tab w:val="right" w:pos="8504"/>
      </w:tabs>
    </w:pPr>
    <w:rPr>
      <w:lang w:eastAsia="es-ES"/>
    </w:rPr>
  </w:style>
  <w:style w:type="paragraph" w:styleId="Piedepgina">
    <w:name w:val="footer"/>
    <w:basedOn w:val="Normal"/>
    <w:link w:val="PiedepginaCar"/>
    <w:uiPriority w:val="99"/>
    <w:rsid w:val="002628DB"/>
    <w:pPr>
      <w:tabs>
        <w:tab w:val="center" w:pos="4252"/>
        <w:tab w:val="right" w:pos="8504"/>
      </w:tabs>
    </w:pPr>
    <w:rPr>
      <w:lang w:eastAsia="es-ES"/>
    </w:r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eastAsia="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eastAsia="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lang w:eastAsia="es-ES"/>
    </w:rPr>
  </w:style>
  <w:style w:type="paragraph" w:customStyle="1" w:styleId="Textoindependiente21">
    <w:name w:val="Texto independiente 21"/>
    <w:basedOn w:val="Normal"/>
    <w:rsid w:val="00BB455C"/>
    <w:pPr>
      <w:spacing w:line="360" w:lineRule="auto"/>
      <w:jc w:val="both"/>
    </w:pPr>
    <w:rPr>
      <w:rFonts w:ascii="Arial" w:hAnsi="Arial"/>
      <w:szCs w:val="20"/>
      <w:lang w:eastAsia="es-ES"/>
    </w:rPr>
  </w:style>
  <w:style w:type="paragraph" w:styleId="NormalWeb">
    <w:name w:val="Normal (Web)"/>
    <w:basedOn w:val="Normal"/>
    <w:uiPriority w:val="99"/>
    <w:rsid w:val="00E65BE5"/>
    <w:pPr>
      <w:spacing w:before="100" w:beforeAutospacing="1" w:after="100" w:afterAutospacing="1"/>
    </w:pPr>
    <w:rPr>
      <w:lang w:val="es-ES" w:eastAsia="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lang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eastAsia="es-ES"/>
    </w:rPr>
  </w:style>
  <w:style w:type="paragraph" w:styleId="Sinespaciado">
    <w:name w:val="No Spacing"/>
    <w:uiPriority w:val="1"/>
    <w:qFormat/>
    <w:rsid w:val="00C9169E"/>
    <w:rPr>
      <w:rFonts w:asciiTheme="minorHAnsi" w:eastAsiaTheme="minorHAnsi" w:hAnsiTheme="minorHAnsi" w:cstheme="minorBidi"/>
      <w:szCs w:val="22"/>
      <w:lang w:val="en-US" w:eastAsia="en-US"/>
    </w:rPr>
  </w:style>
  <w:style w:type="character" w:customStyle="1" w:styleId="Ttulo2Car">
    <w:name w:val="Título 2 Car"/>
    <w:basedOn w:val="Fuentedeprrafopredeter"/>
    <w:link w:val="Ttulo2"/>
    <w:uiPriority w:val="9"/>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ormal31">
    <w:name w:val="Tabla normal 31"/>
    <w:basedOn w:val="Normal"/>
    <w:uiPriority w:val="34"/>
    <w:qFormat/>
    <w:rsid w:val="00CF0B30"/>
    <w:pPr>
      <w:suppressAutoHyphens/>
      <w:ind w:left="708"/>
    </w:pPr>
    <w:rPr>
      <w:lang w:eastAsia="zh-CN"/>
    </w:rPr>
  </w:style>
  <w:style w:type="paragraph" w:customStyle="1" w:styleId="Listamulticolor-nfasis11">
    <w:name w:val="Lista multicolor - Énfasis 11"/>
    <w:basedOn w:val="Normal"/>
    <w:uiPriority w:val="34"/>
    <w:qFormat/>
    <w:rsid w:val="009761E3"/>
    <w:pPr>
      <w:spacing w:after="200" w:line="276" w:lineRule="auto"/>
      <w:ind w:left="720"/>
      <w:contextualSpacing/>
    </w:pPr>
    <w:rPr>
      <w:rFonts w:ascii="Calibri" w:eastAsia="Calibri" w:hAnsi="Calibri"/>
      <w:sz w:val="22"/>
      <w:szCs w:val="22"/>
      <w:lang w:eastAsia="en-US"/>
    </w:rPr>
  </w:style>
  <w:style w:type="paragraph" w:styleId="Sangra2detindependiente">
    <w:name w:val="Body Text Indent 2"/>
    <w:basedOn w:val="Normal"/>
    <w:link w:val="Sangra2detindependienteCar"/>
    <w:uiPriority w:val="99"/>
    <w:unhideWhenUsed/>
    <w:rsid w:val="001A717E"/>
    <w:pPr>
      <w:spacing w:after="120" w:line="480" w:lineRule="auto"/>
      <w:ind w:left="283"/>
    </w:pPr>
    <w:rPr>
      <w:lang w:val="es-ES" w:eastAsia="es-ES"/>
    </w:rPr>
  </w:style>
  <w:style w:type="character" w:customStyle="1" w:styleId="Sangra2detindependienteCar">
    <w:name w:val="Sangría 2 de t. independiente Car"/>
    <w:basedOn w:val="Fuentedeprrafopredeter"/>
    <w:link w:val="Sangra2detindependiente"/>
    <w:uiPriority w:val="99"/>
    <w:rsid w:val="001A717E"/>
    <w:rPr>
      <w:sz w:val="24"/>
      <w:szCs w:val="24"/>
      <w:lang w:val="es-ES" w:eastAsia="es-ES"/>
    </w:rPr>
  </w:style>
  <w:style w:type="character" w:customStyle="1" w:styleId="TtuloCar">
    <w:name w:val="Título Car"/>
    <w:basedOn w:val="Fuentedeprrafopredeter"/>
    <w:link w:val="Ttulo"/>
    <w:uiPriority w:val="10"/>
    <w:rsid w:val="005A58F1"/>
    <w:rPr>
      <w:rFonts w:asciiTheme="majorHAnsi" w:eastAsiaTheme="majorEastAsia" w:hAnsiTheme="majorHAnsi" w:cstheme="majorBidi"/>
      <w:spacing w:val="-10"/>
      <w:kern w:val="28"/>
      <w:sz w:val="56"/>
      <w:szCs w:val="56"/>
      <w:lang w:val="es-CO" w:eastAsia="es-ES"/>
    </w:rPr>
  </w:style>
  <w:style w:type="character" w:customStyle="1" w:styleId="Mencinsinresolver1">
    <w:name w:val="Mención sin resolver1"/>
    <w:basedOn w:val="Fuentedeprrafopredeter"/>
    <w:uiPriority w:val="99"/>
    <w:semiHidden/>
    <w:unhideWhenUsed/>
    <w:rsid w:val="007C0C2D"/>
    <w:rPr>
      <w:color w:val="808080"/>
      <w:shd w:val="clear" w:color="auto" w:fill="E6E6E6"/>
    </w:rPr>
  </w:style>
  <w:style w:type="paragraph" w:styleId="Revisin">
    <w:name w:val="Revision"/>
    <w:hidden/>
    <w:uiPriority w:val="99"/>
    <w:semiHidden/>
    <w:rsid w:val="00351531"/>
    <w:rPr>
      <w:lang w:eastAsia="es-ES"/>
    </w:rPr>
  </w:style>
  <w:style w:type="paragraph" w:customStyle="1" w:styleId="textocarta">
    <w:name w:val="texto carta"/>
    <w:basedOn w:val="Normal"/>
    <w:uiPriority w:val="99"/>
    <w:rsid w:val="00351F5C"/>
    <w:pPr>
      <w:autoSpaceDE w:val="0"/>
      <w:autoSpaceDN w:val="0"/>
      <w:adjustRightInd w:val="0"/>
      <w:spacing w:line="300" w:lineRule="atLeast"/>
      <w:ind w:firstLine="300"/>
      <w:jc w:val="both"/>
      <w:textAlignment w:val="center"/>
    </w:pPr>
    <w:rPr>
      <w:rFonts w:ascii="Ancizar Sans Regular" w:eastAsiaTheme="minorEastAsia" w:hAnsi="Ancizar Sans Regular" w:cs="Ancizar Sans Regular"/>
      <w:color w:val="000000"/>
      <w:sz w:val="22"/>
      <w:szCs w:val="22"/>
      <w:lang w:val="es-ES_tradnl"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lang w:eastAsia="es-ES"/>
    </w:rPr>
  </w:style>
  <w:style w:type="character" w:styleId="Mencinsinresolver">
    <w:name w:val="Unresolved Mention"/>
    <w:basedOn w:val="Fuentedeprrafopredeter"/>
    <w:uiPriority w:val="99"/>
    <w:semiHidden/>
    <w:unhideWhenUsed/>
    <w:rsid w:val="003B759E"/>
    <w:rPr>
      <w:color w:val="605E5C"/>
      <w:shd w:val="clear" w:color="auto" w:fill="E1DFDD"/>
    </w:rPr>
  </w:style>
  <w:style w:type="character" w:customStyle="1" w:styleId="date-display-single">
    <w:name w:val="date-display-single"/>
    <w:basedOn w:val="Fuentedeprrafopredeter"/>
    <w:rsid w:val="00273423"/>
  </w:style>
  <w:style w:type="character" w:styleId="Hipervnculovisitado">
    <w:name w:val="FollowedHyperlink"/>
    <w:basedOn w:val="Fuentedeprrafopredeter"/>
    <w:uiPriority w:val="99"/>
    <w:semiHidden/>
    <w:unhideWhenUsed/>
    <w:rsid w:val="00E50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3509">
      <w:bodyDiv w:val="1"/>
      <w:marLeft w:val="0"/>
      <w:marRight w:val="0"/>
      <w:marTop w:val="0"/>
      <w:marBottom w:val="0"/>
      <w:divBdr>
        <w:top w:val="none" w:sz="0" w:space="0" w:color="auto"/>
        <w:left w:val="none" w:sz="0" w:space="0" w:color="auto"/>
        <w:bottom w:val="none" w:sz="0" w:space="0" w:color="auto"/>
        <w:right w:val="none" w:sz="0" w:space="0" w:color="auto"/>
      </w:divBdr>
      <w:divsChild>
        <w:div w:id="773748176">
          <w:marLeft w:val="0"/>
          <w:marRight w:val="0"/>
          <w:marTop w:val="0"/>
          <w:marBottom w:val="225"/>
          <w:divBdr>
            <w:top w:val="none" w:sz="0" w:space="0" w:color="auto"/>
            <w:left w:val="none" w:sz="0" w:space="0" w:color="auto"/>
            <w:bottom w:val="none" w:sz="0" w:space="0" w:color="auto"/>
            <w:right w:val="none" w:sz="0" w:space="0" w:color="auto"/>
          </w:divBdr>
          <w:divsChild>
            <w:div w:id="237138436">
              <w:marLeft w:val="0"/>
              <w:marRight w:val="0"/>
              <w:marTop w:val="0"/>
              <w:marBottom w:val="0"/>
              <w:divBdr>
                <w:top w:val="none" w:sz="0" w:space="0" w:color="auto"/>
                <w:left w:val="none" w:sz="0" w:space="0" w:color="auto"/>
                <w:bottom w:val="none" w:sz="0" w:space="0" w:color="auto"/>
                <w:right w:val="none" w:sz="0" w:space="0" w:color="auto"/>
              </w:divBdr>
              <w:divsChild>
                <w:div w:id="2065639252">
                  <w:marLeft w:val="0"/>
                  <w:marRight w:val="0"/>
                  <w:marTop w:val="0"/>
                  <w:marBottom w:val="0"/>
                  <w:divBdr>
                    <w:top w:val="none" w:sz="0" w:space="0" w:color="auto"/>
                    <w:left w:val="none" w:sz="0" w:space="0" w:color="auto"/>
                    <w:bottom w:val="none" w:sz="0" w:space="0" w:color="auto"/>
                    <w:right w:val="none" w:sz="0" w:space="0" w:color="auto"/>
                  </w:divBdr>
                  <w:divsChild>
                    <w:div w:id="1108547165">
                      <w:marLeft w:val="0"/>
                      <w:marRight w:val="0"/>
                      <w:marTop w:val="0"/>
                      <w:marBottom w:val="150"/>
                      <w:divBdr>
                        <w:top w:val="none" w:sz="0" w:space="0" w:color="auto"/>
                        <w:left w:val="none" w:sz="0" w:space="0" w:color="auto"/>
                        <w:bottom w:val="none" w:sz="0" w:space="0" w:color="auto"/>
                        <w:right w:val="none" w:sz="0" w:space="0" w:color="auto"/>
                      </w:divBdr>
                    </w:div>
                    <w:div w:id="91822068">
                      <w:marLeft w:val="0"/>
                      <w:marRight w:val="0"/>
                      <w:marTop w:val="0"/>
                      <w:marBottom w:val="75"/>
                      <w:divBdr>
                        <w:top w:val="none" w:sz="0" w:space="0" w:color="auto"/>
                        <w:left w:val="none" w:sz="0" w:space="0" w:color="auto"/>
                        <w:bottom w:val="none" w:sz="0" w:space="0" w:color="auto"/>
                        <w:right w:val="none" w:sz="0" w:space="0" w:color="auto"/>
                      </w:divBdr>
                    </w:div>
                    <w:div w:id="1883857028">
                      <w:marLeft w:val="0"/>
                      <w:marRight w:val="0"/>
                      <w:marTop w:val="0"/>
                      <w:marBottom w:val="150"/>
                      <w:divBdr>
                        <w:top w:val="none" w:sz="0" w:space="0" w:color="auto"/>
                        <w:left w:val="none" w:sz="0" w:space="0" w:color="auto"/>
                        <w:bottom w:val="none" w:sz="0" w:space="0" w:color="auto"/>
                        <w:right w:val="none" w:sz="0" w:space="0" w:color="auto"/>
                      </w:divBdr>
                    </w:div>
                    <w:div w:id="9791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88691">
          <w:marLeft w:val="0"/>
          <w:marRight w:val="0"/>
          <w:marTop w:val="0"/>
          <w:marBottom w:val="0"/>
          <w:divBdr>
            <w:top w:val="none" w:sz="0" w:space="0" w:color="auto"/>
            <w:left w:val="none" w:sz="0" w:space="0" w:color="auto"/>
            <w:bottom w:val="none" w:sz="0" w:space="0" w:color="auto"/>
            <w:right w:val="none" w:sz="0" w:space="0" w:color="auto"/>
          </w:divBdr>
          <w:divsChild>
            <w:div w:id="60367967">
              <w:marLeft w:val="0"/>
              <w:marRight w:val="0"/>
              <w:marTop w:val="0"/>
              <w:marBottom w:val="150"/>
              <w:divBdr>
                <w:top w:val="none" w:sz="0" w:space="0" w:color="auto"/>
                <w:left w:val="none" w:sz="0" w:space="0" w:color="auto"/>
                <w:bottom w:val="none" w:sz="0" w:space="0" w:color="auto"/>
                <w:right w:val="none" w:sz="0" w:space="0" w:color="auto"/>
              </w:divBdr>
            </w:div>
            <w:div w:id="693314250">
              <w:marLeft w:val="0"/>
              <w:marRight w:val="0"/>
              <w:marTop w:val="0"/>
              <w:marBottom w:val="75"/>
              <w:divBdr>
                <w:top w:val="none" w:sz="0" w:space="0" w:color="auto"/>
                <w:left w:val="none" w:sz="0" w:space="0" w:color="auto"/>
                <w:bottom w:val="none" w:sz="0" w:space="0" w:color="auto"/>
                <w:right w:val="none" w:sz="0" w:space="0" w:color="auto"/>
              </w:divBdr>
            </w:div>
            <w:div w:id="419762201">
              <w:marLeft w:val="0"/>
              <w:marRight w:val="0"/>
              <w:marTop w:val="0"/>
              <w:marBottom w:val="150"/>
              <w:divBdr>
                <w:top w:val="none" w:sz="0" w:space="0" w:color="auto"/>
                <w:left w:val="none" w:sz="0" w:space="0" w:color="auto"/>
                <w:bottom w:val="none" w:sz="0" w:space="0" w:color="auto"/>
                <w:right w:val="none" w:sz="0" w:space="0" w:color="auto"/>
              </w:divBdr>
            </w:div>
            <w:div w:id="234434736">
              <w:marLeft w:val="0"/>
              <w:marRight w:val="0"/>
              <w:marTop w:val="0"/>
              <w:marBottom w:val="0"/>
              <w:divBdr>
                <w:top w:val="none" w:sz="0" w:space="0" w:color="auto"/>
                <w:left w:val="none" w:sz="0" w:space="0" w:color="auto"/>
                <w:bottom w:val="none" w:sz="0" w:space="0" w:color="auto"/>
                <w:right w:val="none" w:sz="0" w:space="0" w:color="auto"/>
              </w:divBdr>
            </w:div>
          </w:divsChild>
        </w:div>
        <w:div w:id="1265764636">
          <w:marLeft w:val="0"/>
          <w:marRight w:val="0"/>
          <w:marTop w:val="0"/>
          <w:marBottom w:val="225"/>
          <w:divBdr>
            <w:top w:val="none" w:sz="0" w:space="0" w:color="auto"/>
            <w:left w:val="none" w:sz="0" w:space="0" w:color="auto"/>
            <w:bottom w:val="none" w:sz="0" w:space="0" w:color="auto"/>
            <w:right w:val="none" w:sz="0" w:space="0" w:color="auto"/>
          </w:divBdr>
          <w:divsChild>
            <w:div w:id="1612738937">
              <w:marLeft w:val="0"/>
              <w:marRight w:val="0"/>
              <w:marTop w:val="0"/>
              <w:marBottom w:val="0"/>
              <w:divBdr>
                <w:top w:val="none" w:sz="0" w:space="0" w:color="auto"/>
                <w:left w:val="none" w:sz="0" w:space="0" w:color="auto"/>
                <w:bottom w:val="none" w:sz="0" w:space="0" w:color="auto"/>
                <w:right w:val="none" w:sz="0" w:space="0" w:color="auto"/>
              </w:divBdr>
              <w:divsChild>
                <w:div w:id="1441411631">
                  <w:marLeft w:val="0"/>
                  <w:marRight w:val="0"/>
                  <w:marTop w:val="0"/>
                  <w:marBottom w:val="0"/>
                  <w:divBdr>
                    <w:top w:val="none" w:sz="0" w:space="0" w:color="auto"/>
                    <w:left w:val="none" w:sz="0" w:space="0" w:color="auto"/>
                    <w:bottom w:val="none" w:sz="0" w:space="0" w:color="auto"/>
                    <w:right w:val="none" w:sz="0" w:space="0" w:color="auto"/>
                  </w:divBdr>
                  <w:divsChild>
                    <w:div w:id="1996257912">
                      <w:marLeft w:val="0"/>
                      <w:marRight w:val="0"/>
                      <w:marTop w:val="0"/>
                      <w:marBottom w:val="150"/>
                      <w:divBdr>
                        <w:top w:val="none" w:sz="0" w:space="0" w:color="auto"/>
                        <w:left w:val="none" w:sz="0" w:space="0" w:color="auto"/>
                        <w:bottom w:val="none" w:sz="0" w:space="0" w:color="auto"/>
                        <w:right w:val="none" w:sz="0" w:space="0" w:color="auto"/>
                      </w:divBdr>
                    </w:div>
                    <w:div w:id="9396041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56778371">
      <w:bodyDiv w:val="1"/>
      <w:marLeft w:val="0"/>
      <w:marRight w:val="0"/>
      <w:marTop w:val="0"/>
      <w:marBottom w:val="0"/>
      <w:divBdr>
        <w:top w:val="none" w:sz="0" w:space="0" w:color="auto"/>
        <w:left w:val="none" w:sz="0" w:space="0" w:color="auto"/>
        <w:bottom w:val="none" w:sz="0" w:space="0" w:color="auto"/>
        <w:right w:val="none" w:sz="0" w:space="0" w:color="auto"/>
      </w:divBdr>
    </w:div>
    <w:div w:id="433792752">
      <w:bodyDiv w:val="1"/>
      <w:marLeft w:val="0"/>
      <w:marRight w:val="0"/>
      <w:marTop w:val="0"/>
      <w:marBottom w:val="0"/>
      <w:divBdr>
        <w:top w:val="none" w:sz="0" w:space="0" w:color="auto"/>
        <w:left w:val="none" w:sz="0" w:space="0" w:color="auto"/>
        <w:bottom w:val="none" w:sz="0" w:space="0" w:color="auto"/>
        <w:right w:val="none" w:sz="0" w:space="0" w:color="auto"/>
      </w:divBdr>
    </w:div>
    <w:div w:id="463623888">
      <w:bodyDiv w:val="1"/>
      <w:marLeft w:val="0"/>
      <w:marRight w:val="0"/>
      <w:marTop w:val="0"/>
      <w:marBottom w:val="0"/>
      <w:divBdr>
        <w:top w:val="none" w:sz="0" w:space="0" w:color="auto"/>
        <w:left w:val="none" w:sz="0" w:space="0" w:color="auto"/>
        <w:bottom w:val="none" w:sz="0" w:space="0" w:color="auto"/>
        <w:right w:val="none" w:sz="0" w:space="0" w:color="auto"/>
      </w:divBdr>
    </w:div>
    <w:div w:id="470562882">
      <w:bodyDiv w:val="1"/>
      <w:marLeft w:val="0"/>
      <w:marRight w:val="0"/>
      <w:marTop w:val="0"/>
      <w:marBottom w:val="0"/>
      <w:divBdr>
        <w:top w:val="none" w:sz="0" w:space="0" w:color="auto"/>
        <w:left w:val="none" w:sz="0" w:space="0" w:color="auto"/>
        <w:bottom w:val="none" w:sz="0" w:space="0" w:color="auto"/>
        <w:right w:val="none" w:sz="0" w:space="0" w:color="auto"/>
      </w:divBdr>
    </w:div>
    <w:div w:id="511574261">
      <w:bodyDiv w:val="1"/>
      <w:marLeft w:val="0"/>
      <w:marRight w:val="0"/>
      <w:marTop w:val="0"/>
      <w:marBottom w:val="0"/>
      <w:divBdr>
        <w:top w:val="none" w:sz="0" w:space="0" w:color="auto"/>
        <w:left w:val="none" w:sz="0" w:space="0" w:color="auto"/>
        <w:bottom w:val="none" w:sz="0" w:space="0" w:color="auto"/>
        <w:right w:val="none" w:sz="0" w:space="0" w:color="auto"/>
      </w:divBdr>
    </w:div>
    <w:div w:id="584463271">
      <w:bodyDiv w:val="1"/>
      <w:marLeft w:val="0"/>
      <w:marRight w:val="0"/>
      <w:marTop w:val="0"/>
      <w:marBottom w:val="0"/>
      <w:divBdr>
        <w:top w:val="none" w:sz="0" w:space="0" w:color="auto"/>
        <w:left w:val="none" w:sz="0" w:space="0" w:color="auto"/>
        <w:bottom w:val="none" w:sz="0" w:space="0" w:color="auto"/>
        <w:right w:val="none" w:sz="0" w:space="0" w:color="auto"/>
      </w:divBdr>
    </w:div>
    <w:div w:id="604964098">
      <w:bodyDiv w:val="1"/>
      <w:marLeft w:val="0"/>
      <w:marRight w:val="0"/>
      <w:marTop w:val="0"/>
      <w:marBottom w:val="0"/>
      <w:divBdr>
        <w:top w:val="none" w:sz="0" w:space="0" w:color="auto"/>
        <w:left w:val="none" w:sz="0" w:space="0" w:color="auto"/>
        <w:bottom w:val="none" w:sz="0" w:space="0" w:color="auto"/>
        <w:right w:val="none" w:sz="0" w:space="0" w:color="auto"/>
      </w:divBdr>
    </w:div>
    <w:div w:id="642348620">
      <w:bodyDiv w:val="1"/>
      <w:marLeft w:val="0"/>
      <w:marRight w:val="0"/>
      <w:marTop w:val="0"/>
      <w:marBottom w:val="0"/>
      <w:divBdr>
        <w:top w:val="none" w:sz="0" w:space="0" w:color="auto"/>
        <w:left w:val="none" w:sz="0" w:space="0" w:color="auto"/>
        <w:bottom w:val="none" w:sz="0" w:space="0" w:color="auto"/>
        <w:right w:val="none" w:sz="0" w:space="0" w:color="auto"/>
      </w:divBdr>
    </w:div>
    <w:div w:id="771315904">
      <w:bodyDiv w:val="1"/>
      <w:marLeft w:val="0"/>
      <w:marRight w:val="0"/>
      <w:marTop w:val="0"/>
      <w:marBottom w:val="0"/>
      <w:divBdr>
        <w:top w:val="none" w:sz="0" w:space="0" w:color="auto"/>
        <w:left w:val="none" w:sz="0" w:space="0" w:color="auto"/>
        <w:bottom w:val="none" w:sz="0" w:space="0" w:color="auto"/>
        <w:right w:val="none" w:sz="0" w:space="0" w:color="auto"/>
      </w:divBdr>
      <w:divsChild>
        <w:div w:id="1947537660">
          <w:marLeft w:val="0"/>
          <w:marRight w:val="0"/>
          <w:marTop w:val="0"/>
          <w:marBottom w:val="0"/>
          <w:divBdr>
            <w:top w:val="none" w:sz="0" w:space="0" w:color="auto"/>
            <w:left w:val="none" w:sz="0" w:space="0" w:color="auto"/>
            <w:bottom w:val="none" w:sz="0" w:space="0" w:color="auto"/>
            <w:right w:val="none" w:sz="0" w:space="0" w:color="auto"/>
          </w:divBdr>
        </w:div>
      </w:divsChild>
    </w:div>
    <w:div w:id="819808103">
      <w:bodyDiv w:val="1"/>
      <w:marLeft w:val="0"/>
      <w:marRight w:val="0"/>
      <w:marTop w:val="0"/>
      <w:marBottom w:val="0"/>
      <w:divBdr>
        <w:top w:val="none" w:sz="0" w:space="0" w:color="auto"/>
        <w:left w:val="none" w:sz="0" w:space="0" w:color="auto"/>
        <w:bottom w:val="none" w:sz="0" w:space="0" w:color="auto"/>
        <w:right w:val="none" w:sz="0" w:space="0" w:color="auto"/>
      </w:divBdr>
    </w:div>
    <w:div w:id="922564902">
      <w:bodyDiv w:val="1"/>
      <w:marLeft w:val="0"/>
      <w:marRight w:val="0"/>
      <w:marTop w:val="0"/>
      <w:marBottom w:val="0"/>
      <w:divBdr>
        <w:top w:val="none" w:sz="0" w:space="0" w:color="auto"/>
        <w:left w:val="none" w:sz="0" w:space="0" w:color="auto"/>
        <w:bottom w:val="none" w:sz="0" w:space="0" w:color="auto"/>
        <w:right w:val="none" w:sz="0" w:space="0" w:color="auto"/>
      </w:divBdr>
    </w:div>
    <w:div w:id="982152788">
      <w:bodyDiv w:val="1"/>
      <w:marLeft w:val="0"/>
      <w:marRight w:val="0"/>
      <w:marTop w:val="0"/>
      <w:marBottom w:val="0"/>
      <w:divBdr>
        <w:top w:val="none" w:sz="0" w:space="0" w:color="auto"/>
        <w:left w:val="none" w:sz="0" w:space="0" w:color="auto"/>
        <w:bottom w:val="none" w:sz="0" w:space="0" w:color="auto"/>
        <w:right w:val="none" w:sz="0" w:space="0" w:color="auto"/>
      </w:divBdr>
    </w:div>
    <w:div w:id="1017150024">
      <w:bodyDiv w:val="1"/>
      <w:marLeft w:val="0"/>
      <w:marRight w:val="0"/>
      <w:marTop w:val="0"/>
      <w:marBottom w:val="0"/>
      <w:divBdr>
        <w:top w:val="none" w:sz="0" w:space="0" w:color="auto"/>
        <w:left w:val="none" w:sz="0" w:space="0" w:color="auto"/>
        <w:bottom w:val="none" w:sz="0" w:space="0" w:color="auto"/>
        <w:right w:val="none" w:sz="0" w:space="0" w:color="auto"/>
      </w:divBdr>
    </w:div>
    <w:div w:id="1057976637">
      <w:bodyDiv w:val="1"/>
      <w:marLeft w:val="0"/>
      <w:marRight w:val="0"/>
      <w:marTop w:val="0"/>
      <w:marBottom w:val="0"/>
      <w:divBdr>
        <w:top w:val="none" w:sz="0" w:space="0" w:color="auto"/>
        <w:left w:val="none" w:sz="0" w:space="0" w:color="auto"/>
        <w:bottom w:val="none" w:sz="0" w:space="0" w:color="auto"/>
        <w:right w:val="none" w:sz="0" w:space="0" w:color="auto"/>
      </w:divBdr>
      <w:divsChild>
        <w:div w:id="74784780">
          <w:marLeft w:val="0"/>
          <w:marRight w:val="0"/>
          <w:marTop w:val="0"/>
          <w:marBottom w:val="225"/>
          <w:divBdr>
            <w:top w:val="none" w:sz="0" w:space="0" w:color="auto"/>
            <w:left w:val="none" w:sz="0" w:space="0" w:color="auto"/>
            <w:bottom w:val="none" w:sz="0" w:space="0" w:color="auto"/>
            <w:right w:val="none" w:sz="0" w:space="0" w:color="auto"/>
          </w:divBdr>
          <w:divsChild>
            <w:div w:id="39257222">
              <w:marLeft w:val="0"/>
              <w:marRight w:val="0"/>
              <w:marTop w:val="0"/>
              <w:marBottom w:val="0"/>
              <w:divBdr>
                <w:top w:val="none" w:sz="0" w:space="0" w:color="auto"/>
                <w:left w:val="none" w:sz="0" w:space="0" w:color="auto"/>
                <w:bottom w:val="none" w:sz="0" w:space="0" w:color="auto"/>
                <w:right w:val="none" w:sz="0" w:space="0" w:color="auto"/>
              </w:divBdr>
              <w:divsChild>
                <w:div w:id="1068840893">
                  <w:marLeft w:val="0"/>
                  <w:marRight w:val="0"/>
                  <w:marTop w:val="0"/>
                  <w:marBottom w:val="0"/>
                  <w:divBdr>
                    <w:top w:val="none" w:sz="0" w:space="0" w:color="auto"/>
                    <w:left w:val="none" w:sz="0" w:space="0" w:color="auto"/>
                    <w:bottom w:val="none" w:sz="0" w:space="0" w:color="auto"/>
                    <w:right w:val="none" w:sz="0" w:space="0" w:color="auto"/>
                  </w:divBdr>
                  <w:divsChild>
                    <w:div w:id="2037003639">
                      <w:marLeft w:val="0"/>
                      <w:marRight w:val="0"/>
                      <w:marTop w:val="0"/>
                      <w:marBottom w:val="150"/>
                      <w:divBdr>
                        <w:top w:val="none" w:sz="0" w:space="0" w:color="auto"/>
                        <w:left w:val="none" w:sz="0" w:space="0" w:color="auto"/>
                        <w:bottom w:val="none" w:sz="0" w:space="0" w:color="auto"/>
                        <w:right w:val="none" w:sz="0" w:space="0" w:color="auto"/>
                      </w:divBdr>
                    </w:div>
                    <w:div w:id="746268900">
                      <w:marLeft w:val="0"/>
                      <w:marRight w:val="0"/>
                      <w:marTop w:val="0"/>
                      <w:marBottom w:val="75"/>
                      <w:divBdr>
                        <w:top w:val="none" w:sz="0" w:space="0" w:color="auto"/>
                        <w:left w:val="none" w:sz="0" w:space="0" w:color="auto"/>
                        <w:bottom w:val="none" w:sz="0" w:space="0" w:color="auto"/>
                        <w:right w:val="none" w:sz="0" w:space="0" w:color="auto"/>
                      </w:divBdr>
                    </w:div>
                    <w:div w:id="905725305">
                      <w:marLeft w:val="0"/>
                      <w:marRight w:val="0"/>
                      <w:marTop w:val="0"/>
                      <w:marBottom w:val="150"/>
                      <w:divBdr>
                        <w:top w:val="none" w:sz="0" w:space="0" w:color="auto"/>
                        <w:left w:val="none" w:sz="0" w:space="0" w:color="auto"/>
                        <w:bottom w:val="none" w:sz="0" w:space="0" w:color="auto"/>
                        <w:right w:val="none" w:sz="0" w:space="0" w:color="auto"/>
                      </w:divBdr>
                    </w:div>
                    <w:div w:id="13435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32656">
          <w:marLeft w:val="0"/>
          <w:marRight w:val="0"/>
          <w:marTop w:val="0"/>
          <w:marBottom w:val="0"/>
          <w:divBdr>
            <w:top w:val="none" w:sz="0" w:space="0" w:color="auto"/>
            <w:left w:val="none" w:sz="0" w:space="0" w:color="auto"/>
            <w:bottom w:val="none" w:sz="0" w:space="0" w:color="auto"/>
            <w:right w:val="none" w:sz="0" w:space="0" w:color="auto"/>
          </w:divBdr>
          <w:divsChild>
            <w:div w:id="1757550129">
              <w:marLeft w:val="0"/>
              <w:marRight w:val="0"/>
              <w:marTop w:val="0"/>
              <w:marBottom w:val="150"/>
              <w:divBdr>
                <w:top w:val="none" w:sz="0" w:space="0" w:color="auto"/>
                <w:left w:val="none" w:sz="0" w:space="0" w:color="auto"/>
                <w:bottom w:val="none" w:sz="0" w:space="0" w:color="auto"/>
                <w:right w:val="none" w:sz="0" w:space="0" w:color="auto"/>
              </w:divBdr>
            </w:div>
            <w:div w:id="2061243842">
              <w:marLeft w:val="0"/>
              <w:marRight w:val="0"/>
              <w:marTop w:val="0"/>
              <w:marBottom w:val="75"/>
              <w:divBdr>
                <w:top w:val="none" w:sz="0" w:space="0" w:color="auto"/>
                <w:left w:val="none" w:sz="0" w:space="0" w:color="auto"/>
                <w:bottom w:val="none" w:sz="0" w:space="0" w:color="auto"/>
                <w:right w:val="none" w:sz="0" w:space="0" w:color="auto"/>
              </w:divBdr>
            </w:div>
            <w:div w:id="180366072">
              <w:marLeft w:val="0"/>
              <w:marRight w:val="0"/>
              <w:marTop w:val="0"/>
              <w:marBottom w:val="150"/>
              <w:divBdr>
                <w:top w:val="none" w:sz="0" w:space="0" w:color="auto"/>
                <w:left w:val="none" w:sz="0" w:space="0" w:color="auto"/>
                <w:bottom w:val="none" w:sz="0" w:space="0" w:color="auto"/>
                <w:right w:val="none" w:sz="0" w:space="0" w:color="auto"/>
              </w:divBdr>
            </w:div>
            <w:div w:id="254243677">
              <w:marLeft w:val="0"/>
              <w:marRight w:val="0"/>
              <w:marTop w:val="0"/>
              <w:marBottom w:val="0"/>
              <w:divBdr>
                <w:top w:val="none" w:sz="0" w:space="0" w:color="auto"/>
                <w:left w:val="none" w:sz="0" w:space="0" w:color="auto"/>
                <w:bottom w:val="none" w:sz="0" w:space="0" w:color="auto"/>
                <w:right w:val="none" w:sz="0" w:space="0" w:color="auto"/>
              </w:divBdr>
            </w:div>
          </w:divsChild>
        </w:div>
        <w:div w:id="1322613690">
          <w:marLeft w:val="0"/>
          <w:marRight w:val="0"/>
          <w:marTop w:val="0"/>
          <w:marBottom w:val="225"/>
          <w:divBdr>
            <w:top w:val="none" w:sz="0" w:space="0" w:color="auto"/>
            <w:left w:val="none" w:sz="0" w:space="0" w:color="auto"/>
            <w:bottom w:val="none" w:sz="0" w:space="0" w:color="auto"/>
            <w:right w:val="none" w:sz="0" w:space="0" w:color="auto"/>
          </w:divBdr>
          <w:divsChild>
            <w:div w:id="258562546">
              <w:marLeft w:val="0"/>
              <w:marRight w:val="0"/>
              <w:marTop w:val="0"/>
              <w:marBottom w:val="0"/>
              <w:divBdr>
                <w:top w:val="none" w:sz="0" w:space="0" w:color="auto"/>
                <w:left w:val="none" w:sz="0" w:space="0" w:color="auto"/>
                <w:bottom w:val="none" w:sz="0" w:space="0" w:color="auto"/>
                <w:right w:val="none" w:sz="0" w:space="0" w:color="auto"/>
              </w:divBdr>
              <w:divsChild>
                <w:div w:id="428041476">
                  <w:marLeft w:val="0"/>
                  <w:marRight w:val="0"/>
                  <w:marTop w:val="0"/>
                  <w:marBottom w:val="0"/>
                  <w:divBdr>
                    <w:top w:val="none" w:sz="0" w:space="0" w:color="auto"/>
                    <w:left w:val="none" w:sz="0" w:space="0" w:color="auto"/>
                    <w:bottom w:val="none" w:sz="0" w:space="0" w:color="auto"/>
                    <w:right w:val="none" w:sz="0" w:space="0" w:color="auto"/>
                  </w:divBdr>
                  <w:divsChild>
                    <w:div w:id="1573000423">
                      <w:marLeft w:val="0"/>
                      <w:marRight w:val="0"/>
                      <w:marTop w:val="0"/>
                      <w:marBottom w:val="150"/>
                      <w:divBdr>
                        <w:top w:val="none" w:sz="0" w:space="0" w:color="auto"/>
                        <w:left w:val="none" w:sz="0" w:space="0" w:color="auto"/>
                        <w:bottom w:val="none" w:sz="0" w:space="0" w:color="auto"/>
                        <w:right w:val="none" w:sz="0" w:space="0" w:color="auto"/>
                      </w:divBdr>
                    </w:div>
                    <w:div w:id="558786716">
                      <w:marLeft w:val="0"/>
                      <w:marRight w:val="0"/>
                      <w:marTop w:val="0"/>
                      <w:marBottom w:val="75"/>
                      <w:divBdr>
                        <w:top w:val="none" w:sz="0" w:space="0" w:color="auto"/>
                        <w:left w:val="none" w:sz="0" w:space="0" w:color="auto"/>
                        <w:bottom w:val="none" w:sz="0" w:space="0" w:color="auto"/>
                        <w:right w:val="none" w:sz="0" w:space="0" w:color="auto"/>
                      </w:divBdr>
                    </w:div>
                    <w:div w:id="210197550">
                      <w:marLeft w:val="0"/>
                      <w:marRight w:val="0"/>
                      <w:marTop w:val="0"/>
                      <w:marBottom w:val="150"/>
                      <w:divBdr>
                        <w:top w:val="none" w:sz="0" w:space="0" w:color="auto"/>
                        <w:left w:val="none" w:sz="0" w:space="0" w:color="auto"/>
                        <w:bottom w:val="none" w:sz="0" w:space="0" w:color="auto"/>
                        <w:right w:val="none" w:sz="0" w:space="0" w:color="auto"/>
                      </w:divBdr>
                    </w:div>
                    <w:div w:id="1079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518437">
      <w:bodyDiv w:val="1"/>
      <w:marLeft w:val="0"/>
      <w:marRight w:val="0"/>
      <w:marTop w:val="0"/>
      <w:marBottom w:val="0"/>
      <w:divBdr>
        <w:top w:val="none" w:sz="0" w:space="0" w:color="auto"/>
        <w:left w:val="none" w:sz="0" w:space="0" w:color="auto"/>
        <w:bottom w:val="none" w:sz="0" w:space="0" w:color="auto"/>
        <w:right w:val="none" w:sz="0" w:space="0" w:color="auto"/>
      </w:divBdr>
    </w:div>
    <w:div w:id="1173909803">
      <w:bodyDiv w:val="1"/>
      <w:marLeft w:val="0"/>
      <w:marRight w:val="0"/>
      <w:marTop w:val="0"/>
      <w:marBottom w:val="0"/>
      <w:divBdr>
        <w:top w:val="none" w:sz="0" w:space="0" w:color="auto"/>
        <w:left w:val="none" w:sz="0" w:space="0" w:color="auto"/>
        <w:bottom w:val="none" w:sz="0" w:space="0" w:color="auto"/>
        <w:right w:val="none" w:sz="0" w:space="0" w:color="auto"/>
      </w:divBdr>
    </w:div>
    <w:div w:id="1201548948">
      <w:bodyDiv w:val="1"/>
      <w:marLeft w:val="0"/>
      <w:marRight w:val="0"/>
      <w:marTop w:val="0"/>
      <w:marBottom w:val="0"/>
      <w:divBdr>
        <w:top w:val="none" w:sz="0" w:space="0" w:color="auto"/>
        <w:left w:val="none" w:sz="0" w:space="0" w:color="auto"/>
        <w:bottom w:val="none" w:sz="0" w:space="0" w:color="auto"/>
        <w:right w:val="none" w:sz="0" w:space="0" w:color="auto"/>
      </w:divBdr>
    </w:div>
    <w:div w:id="1223176529">
      <w:bodyDiv w:val="1"/>
      <w:marLeft w:val="0"/>
      <w:marRight w:val="0"/>
      <w:marTop w:val="0"/>
      <w:marBottom w:val="0"/>
      <w:divBdr>
        <w:top w:val="none" w:sz="0" w:space="0" w:color="auto"/>
        <w:left w:val="none" w:sz="0" w:space="0" w:color="auto"/>
        <w:bottom w:val="none" w:sz="0" w:space="0" w:color="auto"/>
        <w:right w:val="none" w:sz="0" w:space="0" w:color="auto"/>
      </w:divBdr>
    </w:div>
    <w:div w:id="1327397519">
      <w:bodyDiv w:val="1"/>
      <w:marLeft w:val="0"/>
      <w:marRight w:val="0"/>
      <w:marTop w:val="0"/>
      <w:marBottom w:val="0"/>
      <w:divBdr>
        <w:top w:val="none" w:sz="0" w:space="0" w:color="auto"/>
        <w:left w:val="none" w:sz="0" w:space="0" w:color="auto"/>
        <w:bottom w:val="none" w:sz="0" w:space="0" w:color="auto"/>
        <w:right w:val="none" w:sz="0" w:space="0" w:color="auto"/>
      </w:divBdr>
    </w:div>
    <w:div w:id="1578595539">
      <w:bodyDiv w:val="1"/>
      <w:marLeft w:val="0"/>
      <w:marRight w:val="0"/>
      <w:marTop w:val="0"/>
      <w:marBottom w:val="0"/>
      <w:divBdr>
        <w:top w:val="none" w:sz="0" w:space="0" w:color="auto"/>
        <w:left w:val="none" w:sz="0" w:space="0" w:color="auto"/>
        <w:bottom w:val="none" w:sz="0" w:space="0" w:color="auto"/>
        <w:right w:val="none" w:sz="0" w:space="0" w:color="auto"/>
      </w:divBdr>
    </w:div>
    <w:div w:id="1680810236">
      <w:bodyDiv w:val="1"/>
      <w:marLeft w:val="0"/>
      <w:marRight w:val="0"/>
      <w:marTop w:val="0"/>
      <w:marBottom w:val="0"/>
      <w:divBdr>
        <w:top w:val="none" w:sz="0" w:space="0" w:color="auto"/>
        <w:left w:val="none" w:sz="0" w:space="0" w:color="auto"/>
        <w:bottom w:val="none" w:sz="0" w:space="0" w:color="auto"/>
        <w:right w:val="none" w:sz="0" w:space="0" w:color="auto"/>
      </w:divBdr>
    </w:div>
    <w:div w:id="1864443001">
      <w:bodyDiv w:val="1"/>
      <w:marLeft w:val="0"/>
      <w:marRight w:val="0"/>
      <w:marTop w:val="0"/>
      <w:marBottom w:val="0"/>
      <w:divBdr>
        <w:top w:val="none" w:sz="0" w:space="0" w:color="auto"/>
        <w:left w:val="none" w:sz="0" w:space="0" w:color="auto"/>
        <w:bottom w:val="none" w:sz="0" w:space="0" w:color="auto"/>
        <w:right w:val="none" w:sz="0" w:space="0" w:color="auto"/>
      </w:divBdr>
    </w:div>
    <w:div w:id="1941447079">
      <w:bodyDiv w:val="1"/>
      <w:marLeft w:val="0"/>
      <w:marRight w:val="0"/>
      <w:marTop w:val="0"/>
      <w:marBottom w:val="0"/>
      <w:divBdr>
        <w:top w:val="none" w:sz="0" w:space="0" w:color="auto"/>
        <w:left w:val="none" w:sz="0" w:space="0" w:color="auto"/>
        <w:bottom w:val="none" w:sz="0" w:space="0" w:color="auto"/>
        <w:right w:val="none" w:sz="0" w:space="0" w:color="auto"/>
      </w:divBdr>
    </w:div>
    <w:div w:id="1950310793">
      <w:bodyDiv w:val="1"/>
      <w:marLeft w:val="0"/>
      <w:marRight w:val="0"/>
      <w:marTop w:val="0"/>
      <w:marBottom w:val="0"/>
      <w:divBdr>
        <w:top w:val="none" w:sz="0" w:space="0" w:color="auto"/>
        <w:left w:val="none" w:sz="0" w:space="0" w:color="auto"/>
        <w:bottom w:val="none" w:sz="0" w:space="0" w:color="auto"/>
        <w:right w:val="none" w:sz="0" w:space="0" w:color="auto"/>
      </w:divBdr>
    </w:div>
    <w:div w:id="2039156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13159-41A6-4DAB-A8A1-6D8B5488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2354</Words>
  <Characters>12953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 CNO</dc:creator>
  <cp:keywords/>
  <dc:description/>
  <cp:lastModifiedBy>ALBERTO OLARTE</cp:lastModifiedBy>
  <cp:revision>2</cp:revision>
  <dcterms:created xsi:type="dcterms:W3CDTF">2020-11-05T12:34:00Z</dcterms:created>
  <dcterms:modified xsi:type="dcterms:W3CDTF">2020-11-05T12:34:00Z</dcterms:modified>
</cp:coreProperties>
</file>