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A202C" w14:textId="7404FB4F" w:rsidR="00112C06" w:rsidRPr="00D3052A" w:rsidRDefault="00112C06" w:rsidP="00556094">
      <w:pPr>
        <w:pStyle w:val="Ttulo"/>
        <w:jc w:val="center"/>
        <w:rPr>
          <w:rFonts w:ascii="Verdana" w:eastAsia="Verdana" w:hAnsi="Verdana" w:cs="Verdana"/>
          <w:b/>
          <w:sz w:val="32"/>
          <w:szCs w:val="32"/>
        </w:rPr>
      </w:pPr>
      <w:r w:rsidRPr="00D3052A">
        <w:rPr>
          <w:rFonts w:ascii="Verdana" w:eastAsia="Verdana" w:hAnsi="Verdana" w:cs="Verdana"/>
          <w:b/>
          <w:sz w:val="32"/>
          <w:szCs w:val="32"/>
        </w:rPr>
        <w:t xml:space="preserve">INFORME CNO </w:t>
      </w:r>
      <w:r w:rsidR="009C1758">
        <w:rPr>
          <w:rFonts w:ascii="Verdana" w:eastAsia="Verdana" w:hAnsi="Verdana" w:cs="Verdana"/>
          <w:b/>
          <w:sz w:val="32"/>
          <w:szCs w:val="32"/>
        </w:rPr>
        <w:t>6</w:t>
      </w:r>
      <w:r w:rsidR="00051482">
        <w:rPr>
          <w:rFonts w:ascii="Verdana" w:eastAsia="Verdana" w:hAnsi="Verdana" w:cs="Verdana"/>
          <w:b/>
          <w:sz w:val="32"/>
          <w:szCs w:val="32"/>
        </w:rPr>
        <w:t>1</w:t>
      </w:r>
      <w:r w:rsidR="00194C37">
        <w:rPr>
          <w:rFonts w:ascii="Verdana" w:eastAsia="Verdana" w:hAnsi="Verdana" w:cs="Verdana"/>
          <w:b/>
          <w:sz w:val="32"/>
          <w:szCs w:val="32"/>
        </w:rPr>
        <w:t>5</w:t>
      </w:r>
    </w:p>
    <w:p w14:paraId="2938B4BE" w14:textId="77777777" w:rsidR="0078364C" w:rsidRPr="00D3052A" w:rsidRDefault="0078364C" w:rsidP="00556094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57FA286" w14:textId="123B75BA" w:rsidR="00D3052A" w:rsidRDefault="00112C06" w:rsidP="00303520">
      <w:pPr>
        <w:jc w:val="both"/>
        <w:rPr>
          <w:rFonts w:ascii="Verdana" w:eastAsia="Verdana" w:hAnsi="Verdana" w:cs="Verdana"/>
          <w:sz w:val="22"/>
          <w:szCs w:val="22"/>
        </w:rPr>
      </w:pPr>
      <w:r w:rsidRPr="00D3052A">
        <w:rPr>
          <w:rFonts w:ascii="Verdana" w:eastAsia="Verdana" w:hAnsi="Verdana" w:cs="Verdana"/>
          <w:sz w:val="22"/>
          <w:szCs w:val="22"/>
        </w:rPr>
        <w:t xml:space="preserve">Fecha: </w:t>
      </w:r>
      <w:r w:rsidR="00194C37">
        <w:rPr>
          <w:rFonts w:ascii="Verdana" w:eastAsia="Verdana" w:hAnsi="Verdana" w:cs="Verdana"/>
          <w:sz w:val="22"/>
          <w:szCs w:val="22"/>
        </w:rPr>
        <w:t>octu</w:t>
      </w:r>
      <w:r w:rsidR="00051482">
        <w:rPr>
          <w:rFonts w:ascii="Verdana" w:eastAsia="Verdana" w:hAnsi="Verdana" w:cs="Verdana"/>
          <w:sz w:val="22"/>
          <w:szCs w:val="22"/>
        </w:rPr>
        <w:t xml:space="preserve">bre </w:t>
      </w:r>
      <w:r w:rsidR="00E9547F">
        <w:rPr>
          <w:rFonts w:ascii="Verdana" w:eastAsia="Verdana" w:hAnsi="Verdana" w:cs="Verdana"/>
          <w:sz w:val="22"/>
          <w:szCs w:val="22"/>
        </w:rPr>
        <w:t>1</w:t>
      </w:r>
      <w:r w:rsidR="00C5293B" w:rsidRPr="00D3052A">
        <w:rPr>
          <w:rFonts w:ascii="Verdana" w:eastAsia="Verdana" w:hAnsi="Verdana" w:cs="Verdana"/>
          <w:sz w:val="22"/>
          <w:szCs w:val="22"/>
        </w:rPr>
        <w:t xml:space="preserve"> </w:t>
      </w:r>
      <w:r w:rsidRPr="00D3052A">
        <w:rPr>
          <w:rFonts w:ascii="Verdana" w:eastAsia="Verdana" w:hAnsi="Verdana" w:cs="Verdana"/>
          <w:sz w:val="22"/>
          <w:szCs w:val="22"/>
        </w:rPr>
        <w:t>de 20</w:t>
      </w:r>
      <w:r w:rsidR="005F56D1" w:rsidRPr="00D3052A">
        <w:rPr>
          <w:rFonts w:ascii="Verdana" w:eastAsia="Verdana" w:hAnsi="Verdana" w:cs="Verdana"/>
          <w:sz w:val="22"/>
          <w:szCs w:val="22"/>
        </w:rPr>
        <w:t>20</w:t>
      </w:r>
      <w:r w:rsidRPr="00D3052A">
        <w:rPr>
          <w:rFonts w:ascii="Verdana" w:eastAsia="Verdana" w:hAnsi="Verdana" w:cs="Verdana"/>
          <w:sz w:val="22"/>
          <w:szCs w:val="22"/>
        </w:rPr>
        <w:t>.</w:t>
      </w:r>
    </w:p>
    <w:p w14:paraId="40A9B7ED" w14:textId="53C72D21" w:rsidR="00303520" w:rsidRDefault="00303520" w:rsidP="0030352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B1B2A26" w14:textId="7BC07D4B" w:rsidR="009D2922" w:rsidRPr="00A91586" w:rsidRDefault="009D2922" w:rsidP="00303520">
      <w:pPr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A91586">
        <w:rPr>
          <w:rFonts w:ascii="Verdana" w:eastAsia="Verdana" w:hAnsi="Verdana" w:cs="Verdana"/>
          <w:b/>
          <w:bCs/>
          <w:sz w:val="22"/>
          <w:szCs w:val="22"/>
          <w:u w:val="single"/>
        </w:rPr>
        <w:t>Aspectos Administrativos:</w:t>
      </w:r>
    </w:p>
    <w:p w14:paraId="2293A0AE" w14:textId="1488058F" w:rsidR="009D2922" w:rsidRDefault="009D2922" w:rsidP="00303520">
      <w:pPr>
        <w:jc w:val="both"/>
        <w:rPr>
          <w:rFonts w:ascii="Verdana" w:eastAsia="Verdana" w:hAnsi="Verdana" w:cs="Verdana"/>
          <w:b/>
          <w:bCs/>
          <w:sz w:val="22"/>
          <w:szCs w:val="22"/>
        </w:rPr>
      </w:pPr>
    </w:p>
    <w:p w14:paraId="08EB4C74" w14:textId="031D1A2A" w:rsidR="00CA4193" w:rsidRDefault="009D2922" w:rsidP="00194C37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 w:rsidRPr="00194C37">
        <w:rPr>
          <w:rFonts w:ascii="Verdana" w:hAnsi="Verdana"/>
          <w:bCs/>
          <w:sz w:val="22"/>
          <w:szCs w:val="22"/>
        </w:rPr>
        <w:t>Se</w:t>
      </w:r>
      <w:r w:rsidR="00194C37" w:rsidRPr="00194C37">
        <w:rPr>
          <w:rFonts w:ascii="Verdana" w:hAnsi="Verdana"/>
          <w:bCs/>
          <w:sz w:val="22"/>
          <w:szCs w:val="22"/>
        </w:rPr>
        <w:t xml:space="preserve"> llev</w:t>
      </w:r>
      <w:r w:rsidR="001D01B2">
        <w:rPr>
          <w:rFonts w:ascii="Verdana" w:hAnsi="Verdana"/>
          <w:bCs/>
          <w:sz w:val="22"/>
          <w:szCs w:val="22"/>
        </w:rPr>
        <w:t>ó</w:t>
      </w:r>
      <w:r w:rsidR="00194C37" w:rsidRPr="00194C37">
        <w:rPr>
          <w:rFonts w:ascii="Verdana" w:hAnsi="Verdana"/>
          <w:bCs/>
          <w:sz w:val="22"/>
          <w:szCs w:val="22"/>
        </w:rPr>
        <w:t xml:space="preserve"> a cabo la jornada de Supervisi</w:t>
      </w:r>
      <w:r w:rsidR="00194C37">
        <w:rPr>
          <w:rFonts w:ascii="Verdana" w:hAnsi="Verdana"/>
          <w:bCs/>
          <w:sz w:val="22"/>
          <w:szCs w:val="22"/>
        </w:rPr>
        <w:t>ó</w:t>
      </w:r>
      <w:r w:rsidR="00194C37" w:rsidRPr="00194C37">
        <w:rPr>
          <w:rFonts w:ascii="Verdana" w:hAnsi="Verdana"/>
          <w:bCs/>
          <w:sz w:val="22"/>
          <w:szCs w:val="22"/>
        </w:rPr>
        <w:t xml:space="preserve">n y ciberseguridad con </w:t>
      </w:r>
      <w:r w:rsidR="00CA4193">
        <w:rPr>
          <w:rFonts w:ascii="Verdana" w:hAnsi="Verdana"/>
          <w:bCs/>
          <w:sz w:val="22"/>
          <w:szCs w:val="22"/>
        </w:rPr>
        <w:t>la siguiente asistencia:</w:t>
      </w:r>
    </w:p>
    <w:p w14:paraId="2A9C252E" w14:textId="77777777" w:rsidR="00CA4193" w:rsidRDefault="00CA4193" w:rsidP="00CA4193">
      <w:pPr>
        <w:jc w:val="both"/>
        <w:rPr>
          <w:rFonts w:ascii="Verdana" w:hAnsi="Verdana"/>
          <w:bCs/>
          <w:sz w:val="22"/>
          <w:szCs w:val="22"/>
        </w:rPr>
      </w:pP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81"/>
        <w:gridCol w:w="1199"/>
        <w:gridCol w:w="1181"/>
        <w:gridCol w:w="1209"/>
        <w:gridCol w:w="1191"/>
      </w:tblGrid>
      <w:tr w:rsidR="00F16AB1" w14:paraId="2C245E43" w14:textId="77777777" w:rsidTr="00F16AB1">
        <w:trPr>
          <w:trHeight w:val="315"/>
          <w:jc w:val="center"/>
        </w:trPr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744E45B" w14:textId="77777777" w:rsidR="00F16AB1" w:rsidRDefault="00F16AB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DIA I - 22 SEPT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8F95B51" w14:textId="77777777" w:rsidR="00F16AB1" w:rsidRDefault="00F16AB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DIA II - 23 SEPT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130E740" w14:textId="77777777" w:rsidR="00F16AB1" w:rsidRDefault="00F16AB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DIA III - 24 SEPT</w:t>
            </w:r>
          </w:p>
        </w:tc>
      </w:tr>
      <w:tr w:rsidR="00F16AB1" w14:paraId="5E302528" w14:textId="77777777" w:rsidTr="00F16AB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0C48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ASISTENTES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D4C2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PANELISTAS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15ED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ASISTENTES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2440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PANELISTAS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8E88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ASISTENTES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C4BC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PANELISTAS</w:t>
            </w:r>
          </w:p>
        </w:tc>
      </w:tr>
      <w:tr w:rsidR="00F16AB1" w14:paraId="0FD1742E" w14:textId="77777777" w:rsidTr="00F16AB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4698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37F8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AFD95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2AD3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B77F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E4A9F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</w:tr>
      <w:tr w:rsidR="00F16AB1" w14:paraId="01F568C2" w14:textId="77777777" w:rsidTr="00F16AB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162C7F3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59D9ACD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A48AF79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1807852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894A095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8E12FD9" w14:textId="77777777" w:rsidR="00F16AB1" w:rsidRDefault="00F16AB1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106</w:t>
            </w:r>
          </w:p>
        </w:tc>
      </w:tr>
    </w:tbl>
    <w:p w14:paraId="365506EE" w14:textId="6B995510" w:rsidR="00CA4193" w:rsidRDefault="00CA4193" w:rsidP="00CA4193">
      <w:pPr>
        <w:jc w:val="both"/>
        <w:rPr>
          <w:rFonts w:ascii="Verdana" w:hAnsi="Verdana"/>
          <w:bCs/>
          <w:sz w:val="16"/>
          <w:szCs w:val="16"/>
        </w:rPr>
      </w:pPr>
    </w:p>
    <w:p w14:paraId="7461346E" w14:textId="50255646" w:rsidR="00F16AB1" w:rsidRDefault="00F16AB1" w:rsidP="00CA4193">
      <w:pPr>
        <w:jc w:val="both"/>
        <w:rPr>
          <w:rFonts w:ascii="Verdana" w:hAnsi="Verdana"/>
          <w:bCs/>
          <w:sz w:val="16"/>
          <w:szCs w:val="16"/>
        </w:rPr>
      </w:pPr>
    </w:p>
    <w:p w14:paraId="3C866F4A" w14:textId="524670D3" w:rsidR="00CA4193" w:rsidRDefault="00CA4193" w:rsidP="00F16AB1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Se recibieron muy buenos conceptos en la encuesta</w:t>
      </w:r>
      <w:r w:rsidR="00F16AB1">
        <w:rPr>
          <w:rFonts w:ascii="Verdana" w:hAnsi="Verdana"/>
          <w:bCs/>
          <w:sz w:val="22"/>
          <w:szCs w:val="22"/>
        </w:rPr>
        <w:t>,</w:t>
      </w:r>
      <w:r>
        <w:rPr>
          <w:rFonts w:ascii="Verdana" w:hAnsi="Verdana"/>
          <w:bCs/>
          <w:sz w:val="22"/>
          <w:szCs w:val="22"/>
        </w:rPr>
        <w:t xml:space="preserve"> y se dio un paso </w:t>
      </w:r>
      <w:r w:rsidR="00F16AB1">
        <w:rPr>
          <w:rFonts w:ascii="Verdana" w:hAnsi="Verdana"/>
          <w:bCs/>
          <w:sz w:val="22"/>
          <w:szCs w:val="22"/>
        </w:rPr>
        <w:t>importante</w:t>
      </w:r>
      <w:r>
        <w:rPr>
          <w:rFonts w:ascii="Verdana" w:hAnsi="Verdana"/>
          <w:bCs/>
          <w:sz w:val="22"/>
          <w:szCs w:val="22"/>
        </w:rPr>
        <w:t xml:space="preserve"> en la socialización de </w:t>
      </w:r>
      <w:r w:rsidR="00F16AB1">
        <w:rPr>
          <w:rFonts w:ascii="Verdana" w:hAnsi="Verdana"/>
          <w:bCs/>
          <w:sz w:val="22"/>
          <w:szCs w:val="22"/>
        </w:rPr>
        <w:t>los</w:t>
      </w:r>
      <w:r>
        <w:rPr>
          <w:rFonts w:ascii="Verdana" w:hAnsi="Verdana"/>
          <w:bCs/>
          <w:sz w:val="22"/>
          <w:szCs w:val="22"/>
        </w:rPr>
        <w:t xml:space="preserve"> temas</w:t>
      </w:r>
      <w:r w:rsidR="00F16AB1">
        <w:rPr>
          <w:rFonts w:ascii="Verdana" w:hAnsi="Verdana"/>
          <w:bCs/>
          <w:sz w:val="22"/>
          <w:szCs w:val="22"/>
        </w:rPr>
        <w:t xml:space="preserve"> desarrollados por el Comité de Supervisión y Seguridad durante el año en curso</w:t>
      </w:r>
      <w:r>
        <w:rPr>
          <w:rFonts w:ascii="Verdana" w:hAnsi="Verdana"/>
          <w:bCs/>
          <w:sz w:val="22"/>
          <w:szCs w:val="22"/>
        </w:rPr>
        <w:t xml:space="preserve">. </w:t>
      </w:r>
    </w:p>
    <w:p w14:paraId="62125E1A" w14:textId="75B106ED" w:rsidR="00CA4193" w:rsidRDefault="00CA4193" w:rsidP="00194C37">
      <w:pPr>
        <w:jc w:val="both"/>
        <w:rPr>
          <w:rFonts w:ascii="Verdana" w:hAnsi="Verdana"/>
          <w:bCs/>
          <w:sz w:val="22"/>
          <w:szCs w:val="22"/>
        </w:rPr>
      </w:pPr>
    </w:p>
    <w:p w14:paraId="2713FD43" w14:textId="03CE5D4B" w:rsidR="00BE2058" w:rsidRPr="00335915" w:rsidRDefault="00CA4193" w:rsidP="00BE2058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 w:rsidRPr="00335915">
        <w:rPr>
          <w:rFonts w:ascii="Verdana" w:hAnsi="Verdana"/>
          <w:bCs/>
          <w:sz w:val="22"/>
          <w:szCs w:val="22"/>
        </w:rPr>
        <w:t>ELECTRICARIBE</w:t>
      </w:r>
      <w:r w:rsidR="00BE2058" w:rsidRPr="00335915">
        <w:rPr>
          <w:rFonts w:ascii="Verdana" w:hAnsi="Verdana"/>
          <w:bCs/>
          <w:sz w:val="22"/>
          <w:szCs w:val="22"/>
        </w:rPr>
        <w:t xml:space="preserve"> </w:t>
      </w:r>
      <w:r w:rsidR="00F16AB1" w:rsidRPr="00335915">
        <w:rPr>
          <w:rFonts w:ascii="Verdana" w:hAnsi="Verdana"/>
          <w:bCs/>
          <w:sz w:val="22"/>
          <w:szCs w:val="22"/>
        </w:rPr>
        <w:t xml:space="preserve">no hará parte del </w:t>
      </w:r>
      <w:r w:rsidR="00BE2058" w:rsidRPr="00335915">
        <w:rPr>
          <w:rFonts w:ascii="Verdana" w:hAnsi="Verdana"/>
          <w:bCs/>
          <w:sz w:val="22"/>
          <w:szCs w:val="22"/>
        </w:rPr>
        <w:t>CNO</w:t>
      </w:r>
      <w:r w:rsidR="00F16AB1" w:rsidRPr="00335915">
        <w:rPr>
          <w:rFonts w:ascii="Verdana" w:hAnsi="Verdana"/>
          <w:bCs/>
          <w:sz w:val="22"/>
          <w:szCs w:val="22"/>
        </w:rPr>
        <w:t xml:space="preserve"> a partir </w:t>
      </w:r>
      <w:r w:rsidRPr="00335915">
        <w:rPr>
          <w:rFonts w:ascii="Verdana" w:hAnsi="Verdana"/>
          <w:bCs/>
          <w:sz w:val="22"/>
          <w:szCs w:val="22"/>
        </w:rPr>
        <w:t>de</w:t>
      </w:r>
      <w:r w:rsidR="00BE2058" w:rsidRPr="00335915">
        <w:rPr>
          <w:rFonts w:ascii="Verdana" w:hAnsi="Verdana"/>
          <w:bCs/>
          <w:sz w:val="22"/>
          <w:szCs w:val="22"/>
        </w:rPr>
        <w:t>l día</w:t>
      </w:r>
      <w:r w:rsidRPr="00335915">
        <w:rPr>
          <w:rFonts w:ascii="Verdana" w:hAnsi="Verdana"/>
          <w:bCs/>
          <w:sz w:val="22"/>
          <w:szCs w:val="22"/>
        </w:rPr>
        <w:t xml:space="preserve"> hoy</w:t>
      </w:r>
      <w:r w:rsidR="00F16AB1" w:rsidRPr="00335915">
        <w:rPr>
          <w:rFonts w:ascii="Verdana" w:hAnsi="Verdana"/>
          <w:bCs/>
          <w:sz w:val="22"/>
          <w:szCs w:val="22"/>
        </w:rPr>
        <w:t xml:space="preserve">, ya que será remplazado </w:t>
      </w:r>
      <w:r w:rsidRPr="00335915">
        <w:rPr>
          <w:rFonts w:ascii="Verdana" w:hAnsi="Verdana"/>
          <w:bCs/>
          <w:sz w:val="22"/>
          <w:szCs w:val="22"/>
        </w:rPr>
        <w:t xml:space="preserve">como </w:t>
      </w:r>
      <w:r w:rsidR="001D01B2">
        <w:rPr>
          <w:rFonts w:ascii="Verdana" w:hAnsi="Verdana"/>
          <w:bCs/>
          <w:sz w:val="22"/>
          <w:szCs w:val="22"/>
        </w:rPr>
        <w:t>o</w:t>
      </w:r>
      <w:r w:rsidRPr="00335915">
        <w:rPr>
          <w:rFonts w:ascii="Verdana" w:hAnsi="Verdana"/>
          <w:bCs/>
          <w:sz w:val="22"/>
          <w:szCs w:val="22"/>
        </w:rPr>
        <w:t xml:space="preserve">perador </w:t>
      </w:r>
      <w:r w:rsidR="00F16AB1" w:rsidRPr="00335915">
        <w:rPr>
          <w:rFonts w:ascii="Verdana" w:hAnsi="Verdana"/>
          <w:bCs/>
          <w:sz w:val="22"/>
          <w:szCs w:val="22"/>
        </w:rPr>
        <w:t>por</w:t>
      </w:r>
      <w:r w:rsidRPr="00335915">
        <w:rPr>
          <w:rFonts w:ascii="Verdana" w:hAnsi="Verdana"/>
          <w:bCs/>
          <w:sz w:val="22"/>
          <w:szCs w:val="22"/>
        </w:rPr>
        <w:t xml:space="preserve"> dos empresas</w:t>
      </w:r>
      <w:r w:rsidR="00F16AB1" w:rsidRPr="00335915">
        <w:rPr>
          <w:rFonts w:ascii="Verdana" w:hAnsi="Verdana"/>
          <w:bCs/>
          <w:sz w:val="22"/>
          <w:szCs w:val="22"/>
        </w:rPr>
        <w:t>, a saber:</w:t>
      </w:r>
      <w:r w:rsidRPr="00335915">
        <w:rPr>
          <w:rFonts w:ascii="Verdana" w:hAnsi="Verdana"/>
          <w:bCs/>
          <w:sz w:val="22"/>
          <w:szCs w:val="22"/>
        </w:rPr>
        <w:t xml:space="preserve"> AIRE </w:t>
      </w:r>
      <w:r w:rsidR="00ED6850" w:rsidRPr="00335915">
        <w:rPr>
          <w:rFonts w:ascii="Verdana" w:hAnsi="Verdana"/>
          <w:bCs/>
          <w:sz w:val="22"/>
          <w:szCs w:val="22"/>
        </w:rPr>
        <w:t>y AFINIA</w:t>
      </w:r>
      <w:r w:rsidRPr="00335915">
        <w:rPr>
          <w:rFonts w:ascii="Verdana" w:hAnsi="Verdana"/>
          <w:bCs/>
          <w:sz w:val="22"/>
          <w:szCs w:val="22"/>
        </w:rPr>
        <w:t xml:space="preserve">. </w:t>
      </w:r>
      <w:r w:rsidR="00BE2058" w:rsidRPr="00335915">
        <w:rPr>
          <w:rFonts w:ascii="Verdana" w:hAnsi="Verdana"/>
          <w:bCs/>
          <w:sz w:val="22"/>
          <w:szCs w:val="22"/>
        </w:rPr>
        <w:t>ENE</w:t>
      </w:r>
      <w:r w:rsidR="001D01B2">
        <w:rPr>
          <w:rFonts w:ascii="Verdana" w:hAnsi="Verdana"/>
          <w:bCs/>
          <w:sz w:val="22"/>
          <w:szCs w:val="22"/>
        </w:rPr>
        <w:t>L</w:t>
      </w:r>
      <w:r w:rsidR="00BE2058" w:rsidRPr="00335915">
        <w:rPr>
          <w:rFonts w:ascii="Verdana" w:hAnsi="Verdana"/>
          <w:bCs/>
          <w:sz w:val="22"/>
          <w:szCs w:val="22"/>
        </w:rPr>
        <w:t>-</w:t>
      </w:r>
      <w:r w:rsidR="001D01B2">
        <w:rPr>
          <w:rFonts w:ascii="Verdana" w:hAnsi="Verdana"/>
          <w:bCs/>
          <w:sz w:val="22"/>
          <w:szCs w:val="22"/>
        </w:rPr>
        <w:t xml:space="preserve"> </w:t>
      </w:r>
      <w:r w:rsidR="00BE2058" w:rsidRPr="00335915">
        <w:rPr>
          <w:rFonts w:ascii="Verdana" w:hAnsi="Verdana"/>
          <w:bCs/>
          <w:sz w:val="22"/>
          <w:szCs w:val="22"/>
        </w:rPr>
        <w:t>CODENSA a</w:t>
      </w:r>
      <w:r w:rsidRPr="00335915">
        <w:rPr>
          <w:rFonts w:ascii="Verdana" w:hAnsi="Verdana"/>
          <w:bCs/>
          <w:sz w:val="22"/>
          <w:szCs w:val="22"/>
        </w:rPr>
        <w:t xml:space="preserve">l ser el mayor mercado de </w:t>
      </w:r>
      <w:r w:rsidR="001D01B2">
        <w:rPr>
          <w:rFonts w:ascii="Verdana" w:hAnsi="Verdana"/>
          <w:bCs/>
          <w:sz w:val="22"/>
          <w:szCs w:val="22"/>
        </w:rPr>
        <w:t>distribución</w:t>
      </w:r>
      <w:r w:rsidR="00BE2058" w:rsidRPr="00335915">
        <w:rPr>
          <w:rFonts w:ascii="Verdana" w:hAnsi="Verdana"/>
          <w:bCs/>
          <w:sz w:val="22"/>
          <w:szCs w:val="22"/>
        </w:rPr>
        <w:t xml:space="preserve"> será el nuevo </w:t>
      </w:r>
      <w:r w:rsidR="00ED6850" w:rsidRPr="00335915">
        <w:rPr>
          <w:rFonts w:ascii="Verdana" w:hAnsi="Verdana"/>
          <w:bCs/>
          <w:sz w:val="22"/>
          <w:szCs w:val="22"/>
        </w:rPr>
        <w:t>miembro</w:t>
      </w:r>
      <w:r w:rsidR="001D01B2">
        <w:rPr>
          <w:rFonts w:ascii="Verdana" w:hAnsi="Verdana"/>
          <w:bCs/>
          <w:sz w:val="22"/>
          <w:szCs w:val="22"/>
        </w:rPr>
        <w:t xml:space="preserve"> que representa la actividad de distribución</w:t>
      </w:r>
      <w:r w:rsidR="00BE2058" w:rsidRPr="00335915">
        <w:rPr>
          <w:rFonts w:ascii="Verdana" w:hAnsi="Verdana"/>
          <w:bCs/>
          <w:sz w:val="22"/>
          <w:szCs w:val="22"/>
        </w:rPr>
        <w:t>, según las reglas de conformación del Consejo establecidas en la Ley</w:t>
      </w:r>
      <w:r w:rsidR="00ED6850" w:rsidRPr="00335915">
        <w:rPr>
          <w:rFonts w:ascii="Verdana" w:hAnsi="Verdana"/>
          <w:bCs/>
          <w:sz w:val="22"/>
          <w:szCs w:val="22"/>
        </w:rPr>
        <w:t>.</w:t>
      </w:r>
    </w:p>
    <w:p w14:paraId="07226427" w14:textId="77777777" w:rsidR="00BE2058" w:rsidRPr="00335915" w:rsidRDefault="00BE2058" w:rsidP="00BE2058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</w:p>
    <w:p w14:paraId="597A2666" w14:textId="74D46A0F" w:rsidR="00BE2058" w:rsidRPr="00335915" w:rsidRDefault="00ED6850" w:rsidP="00BE2058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 w:rsidRPr="00335915">
        <w:rPr>
          <w:rFonts w:ascii="Verdana" w:hAnsi="Verdana"/>
          <w:bCs/>
          <w:sz w:val="22"/>
          <w:szCs w:val="22"/>
        </w:rPr>
        <w:t>Se llev</w:t>
      </w:r>
      <w:r w:rsidR="001D01B2">
        <w:rPr>
          <w:rFonts w:ascii="Verdana" w:hAnsi="Verdana"/>
          <w:bCs/>
          <w:sz w:val="22"/>
          <w:szCs w:val="22"/>
        </w:rPr>
        <w:t>ó</w:t>
      </w:r>
      <w:r w:rsidRPr="00335915">
        <w:rPr>
          <w:rFonts w:ascii="Verdana" w:hAnsi="Verdana"/>
          <w:bCs/>
          <w:sz w:val="22"/>
          <w:szCs w:val="22"/>
        </w:rPr>
        <w:t xml:space="preserve"> a cabo el </w:t>
      </w:r>
      <w:r w:rsidR="00BE2058" w:rsidRPr="00335915">
        <w:rPr>
          <w:rFonts w:ascii="Verdana" w:hAnsi="Verdana"/>
          <w:bCs/>
          <w:sz w:val="22"/>
          <w:szCs w:val="22"/>
        </w:rPr>
        <w:t>Octavo F</w:t>
      </w:r>
      <w:r w:rsidRPr="00335915">
        <w:rPr>
          <w:rFonts w:ascii="Verdana" w:hAnsi="Verdana"/>
          <w:bCs/>
          <w:sz w:val="22"/>
          <w:szCs w:val="22"/>
        </w:rPr>
        <w:t>oro de Ética</w:t>
      </w:r>
      <w:r w:rsidR="00BE2058" w:rsidRPr="00335915">
        <w:rPr>
          <w:rFonts w:ascii="Verdana" w:hAnsi="Verdana"/>
          <w:bCs/>
          <w:sz w:val="22"/>
          <w:szCs w:val="22"/>
        </w:rPr>
        <w:t xml:space="preserve"> del Sector</w:t>
      </w:r>
      <w:r w:rsidRPr="00335915">
        <w:rPr>
          <w:rFonts w:ascii="Verdana" w:hAnsi="Verdana"/>
          <w:bCs/>
          <w:sz w:val="22"/>
          <w:szCs w:val="22"/>
        </w:rPr>
        <w:t xml:space="preserve"> con asistencia de</w:t>
      </w:r>
      <w:r w:rsidR="00BE2058" w:rsidRPr="00335915">
        <w:rPr>
          <w:rFonts w:ascii="Verdana" w:hAnsi="Verdana"/>
          <w:bCs/>
          <w:sz w:val="22"/>
          <w:szCs w:val="22"/>
        </w:rPr>
        <w:t xml:space="preserve"> </w:t>
      </w:r>
      <w:r w:rsidR="006D7F4F">
        <w:rPr>
          <w:rFonts w:ascii="Verdana" w:hAnsi="Verdana"/>
          <w:bCs/>
          <w:sz w:val="22"/>
          <w:szCs w:val="22"/>
        </w:rPr>
        <w:t>cerca de 450</w:t>
      </w:r>
      <w:r w:rsidR="00BE2058" w:rsidRPr="00335915">
        <w:rPr>
          <w:rFonts w:ascii="Verdana" w:hAnsi="Verdana"/>
          <w:bCs/>
          <w:sz w:val="22"/>
          <w:szCs w:val="22"/>
        </w:rPr>
        <w:t xml:space="preserve"> </w:t>
      </w:r>
      <w:r w:rsidRPr="00335915">
        <w:rPr>
          <w:rFonts w:ascii="Verdana" w:hAnsi="Verdana"/>
          <w:bCs/>
          <w:sz w:val="22"/>
          <w:szCs w:val="22"/>
        </w:rPr>
        <w:t xml:space="preserve">funcionarios </w:t>
      </w:r>
      <w:r w:rsidR="00BE2058" w:rsidRPr="00335915">
        <w:rPr>
          <w:rFonts w:ascii="Verdana" w:hAnsi="Verdana"/>
          <w:bCs/>
          <w:sz w:val="22"/>
          <w:szCs w:val="22"/>
        </w:rPr>
        <w:t>de manera virtual</w:t>
      </w:r>
      <w:r w:rsidRPr="00335915">
        <w:rPr>
          <w:rFonts w:ascii="Verdana" w:hAnsi="Verdana"/>
          <w:bCs/>
          <w:sz w:val="22"/>
          <w:szCs w:val="22"/>
        </w:rPr>
        <w:t>.</w:t>
      </w:r>
      <w:r w:rsidR="00BE2058" w:rsidRPr="00335915">
        <w:rPr>
          <w:rFonts w:ascii="Verdana" w:hAnsi="Verdana"/>
          <w:bCs/>
          <w:sz w:val="22"/>
          <w:szCs w:val="22"/>
        </w:rPr>
        <w:t xml:space="preserve"> Las memorias de este evento se encuentran disponibles en la página web del CNO.</w:t>
      </w:r>
    </w:p>
    <w:p w14:paraId="3E1FEB33" w14:textId="77777777" w:rsidR="00BE2058" w:rsidRPr="00335915" w:rsidRDefault="00BE2058" w:rsidP="00BE2058">
      <w:pPr>
        <w:pStyle w:val="Prrafodelista"/>
        <w:rPr>
          <w:rFonts w:ascii="Verdana" w:hAnsi="Verdana"/>
          <w:bCs/>
          <w:sz w:val="22"/>
          <w:szCs w:val="22"/>
        </w:rPr>
      </w:pPr>
    </w:p>
    <w:p w14:paraId="0C4AC24E" w14:textId="13F5C793" w:rsidR="00ED6850" w:rsidRPr="00335915" w:rsidRDefault="00BE2058" w:rsidP="00BE2058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 w:rsidRPr="00335915">
        <w:rPr>
          <w:rFonts w:ascii="Verdana" w:hAnsi="Verdana"/>
          <w:bCs/>
          <w:sz w:val="22"/>
          <w:szCs w:val="22"/>
        </w:rPr>
        <w:t xml:space="preserve">Se realizó la </w:t>
      </w:r>
      <w:r w:rsidR="009E4F3E" w:rsidRPr="00335915">
        <w:rPr>
          <w:rFonts w:ascii="Verdana" w:hAnsi="Verdana"/>
          <w:bCs/>
          <w:sz w:val="22"/>
          <w:szCs w:val="22"/>
        </w:rPr>
        <w:t>jornada “</w:t>
      </w:r>
      <w:r w:rsidR="009E4F3E" w:rsidRPr="00335915">
        <w:rPr>
          <w:rFonts w:ascii="Verdana" w:hAnsi="Verdana"/>
          <w:bCs/>
          <w:i/>
          <w:iCs/>
          <w:sz w:val="22"/>
          <w:szCs w:val="22"/>
        </w:rPr>
        <w:t>Control y Modelos del Sistema Interconectado Nacional-SIN: Socialización de Protocolos y Procedimientos CNO</w:t>
      </w:r>
      <w:r w:rsidR="009E4F3E" w:rsidRPr="00335915">
        <w:rPr>
          <w:rFonts w:ascii="Verdana" w:hAnsi="Verdana"/>
          <w:bCs/>
          <w:sz w:val="22"/>
          <w:szCs w:val="22"/>
        </w:rPr>
        <w:t xml:space="preserve">”. </w:t>
      </w:r>
      <w:r w:rsidR="006D7F4F">
        <w:rPr>
          <w:rFonts w:ascii="Verdana" w:hAnsi="Verdana"/>
          <w:bCs/>
          <w:sz w:val="22"/>
          <w:szCs w:val="22"/>
        </w:rPr>
        <w:t>E</w:t>
      </w:r>
      <w:r w:rsidR="009E4F3E" w:rsidRPr="00335915">
        <w:rPr>
          <w:rFonts w:ascii="Verdana" w:hAnsi="Verdana"/>
          <w:bCs/>
          <w:sz w:val="22"/>
          <w:szCs w:val="22"/>
        </w:rPr>
        <w:t xml:space="preserve">l Subcomité de Controles presentó los Acuerdos asociados a la modelación y control de los diferentes elementos del SIN, específicamente Unidades de Generación, Sistemas de Almacenamiento de Energía-SAEB, Cargas, Generación Distribuida y dispositivos FACTS. Las presentaciones y </w:t>
      </w:r>
      <w:r w:rsidR="00335915" w:rsidRPr="00335915">
        <w:rPr>
          <w:rFonts w:ascii="Verdana" w:hAnsi="Verdana"/>
          <w:bCs/>
          <w:sz w:val="22"/>
          <w:szCs w:val="22"/>
        </w:rPr>
        <w:t xml:space="preserve">videos de la misma se encuentran en la página web del Consejo. </w:t>
      </w:r>
    </w:p>
    <w:p w14:paraId="596C3B28" w14:textId="77777777" w:rsidR="00194C37" w:rsidRPr="00194C37" w:rsidRDefault="00194C37" w:rsidP="00194C37">
      <w:pPr>
        <w:jc w:val="both"/>
        <w:rPr>
          <w:rFonts w:ascii="Verdana" w:hAnsi="Verdana"/>
          <w:bCs/>
          <w:sz w:val="22"/>
          <w:szCs w:val="22"/>
        </w:rPr>
      </w:pPr>
    </w:p>
    <w:p w14:paraId="74F33B51" w14:textId="5BCC95E3" w:rsidR="0071693F" w:rsidRPr="00335915" w:rsidRDefault="007439BF" w:rsidP="00303520">
      <w:pPr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335915">
        <w:rPr>
          <w:rFonts w:ascii="Verdana" w:eastAsia="Verdana" w:hAnsi="Verdana" w:cs="Verdana"/>
          <w:b/>
          <w:bCs/>
          <w:sz w:val="22"/>
          <w:szCs w:val="22"/>
          <w:u w:val="single"/>
        </w:rPr>
        <w:t>A</w:t>
      </w:r>
      <w:r w:rsidR="0071693F" w:rsidRPr="00335915">
        <w:rPr>
          <w:rFonts w:ascii="Verdana" w:eastAsia="Verdana" w:hAnsi="Verdana" w:cs="Verdana"/>
          <w:b/>
          <w:bCs/>
          <w:sz w:val="22"/>
          <w:szCs w:val="22"/>
          <w:u w:val="single"/>
        </w:rPr>
        <w:t>spectos Técnicos:</w:t>
      </w:r>
    </w:p>
    <w:p w14:paraId="476648D3" w14:textId="05E7D950" w:rsidR="00AD5EA7" w:rsidRPr="00335915" w:rsidRDefault="00897BA0" w:rsidP="00AD5EA7">
      <w:pPr>
        <w:pStyle w:val="Prrafodelista"/>
        <w:ind w:left="720"/>
        <w:jc w:val="both"/>
        <w:rPr>
          <w:rFonts w:ascii="Verdana" w:hAnsi="Verdana"/>
          <w:bCs/>
          <w:sz w:val="22"/>
          <w:szCs w:val="22"/>
        </w:rPr>
      </w:pPr>
      <w:r w:rsidRPr="00335915">
        <w:rPr>
          <w:rFonts w:ascii="Verdana" w:hAnsi="Verdana"/>
          <w:bCs/>
          <w:sz w:val="22"/>
          <w:szCs w:val="22"/>
        </w:rPr>
        <w:t xml:space="preserve">   </w:t>
      </w:r>
      <w:r w:rsidR="00B8337B" w:rsidRPr="00335915">
        <w:rPr>
          <w:rFonts w:ascii="Verdana" w:hAnsi="Verdana"/>
          <w:bCs/>
          <w:sz w:val="22"/>
          <w:szCs w:val="22"/>
        </w:rPr>
        <w:t xml:space="preserve">  </w:t>
      </w:r>
    </w:p>
    <w:p w14:paraId="149591E1" w14:textId="5BD0A633" w:rsidR="004A0280" w:rsidRPr="00335915" w:rsidRDefault="00335915" w:rsidP="00335915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Los diferentes Comités y Subcomités del Consejo terminaron la formulación de</w:t>
      </w:r>
      <w:r w:rsidR="00314DA5" w:rsidRPr="00335915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las propuestas </w:t>
      </w:r>
      <w:r w:rsidR="00D42012">
        <w:rPr>
          <w:rFonts w:ascii="Verdana" w:hAnsi="Verdana"/>
          <w:bCs/>
          <w:sz w:val="22"/>
          <w:szCs w:val="22"/>
        </w:rPr>
        <w:t>de</w:t>
      </w:r>
      <w:r>
        <w:rPr>
          <w:rFonts w:ascii="Verdana" w:hAnsi="Verdana"/>
          <w:bCs/>
          <w:sz w:val="22"/>
          <w:szCs w:val="22"/>
        </w:rPr>
        <w:t xml:space="preserve"> requerimientos técnicos </w:t>
      </w:r>
      <w:r w:rsidR="00332075" w:rsidRPr="00335915">
        <w:rPr>
          <w:rFonts w:ascii="Verdana" w:hAnsi="Verdana"/>
          <w:bCs/>
          <w:sz w:val="22"/>
          <w:szCs w:val="22"/>
        </w:rPr>
        <w:t xml:space="preserve">para </w:t>
      </w:r>
      <w:r>
        <w:rPr>
          <w:rFonts w:ascii="Verdana" w:hAnsi="Verdana"/>
          <w:bCs/>
          <w:sz w:val="22"/>
          <w:szCs w:val="22"/>
        </w:rPr>
        <w:t xml:space="preserve">la </w:t>
      </w:r>
      <w:r w:rsidR="00332075" w:rsidRPr="00335915">
        <w:rPr>
          <w:rFonts w:ascii="Verdana" w:hAnsi="Verdana"/>
          <w:bCs/>
          <w:sz w:val="22"/>
          <w:szCs w:val="22"/>
        </w:rPr>
        <w:t>incorpor</w:t>
      </w:r>
      <w:r>
        <w:rPr>
          <w:rFonts w:ascii="Verdana" w:hAnsi="Verdana"/>
          <w:bCs/>
          <w:sz w:val="22"/>
          <w:szCs w:val="22"/>
        </w:rPr>
        <w:t>ación</w:t>
      </w:r>
      <w:r w:rsidR="00B34C09" w:rsidRPr="00335915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de </w:t>
      </w:r>
      <w:r w:rsidR="00B34C09" w:rsidRPr="00335915">
        <w:rPr>
          <w:rFonts w:ascii="Verdana" w:hAnsi="Verdana"/>
          <w:bCs/>
          <w:sz w:val="22"/>
          <w:szCs w:val="22"/>
        </w:rPr>
        <w:t>l</w:t>
      </w:r>
      <w:r w:rsidR="00332075" w:rsidRPr="00335915">
        <w:rPr>
          <w:rFonts w:ascii="Verdana" w:hAnsi="Verdana"/>
          <w:bCs/>
          <w:sz w:val="22"/>
          <w:szCs w:val="22"/>
        </w:rPr>
        <w:t>a</w:t>
      </w:r>
      <w:r w:rsidR="00D90F04" w:rsidRPr="00335915">
        <w:rPr>
          <w:rFonts w:ascii="Verdana" w:hAnsi="Verdana"/>
          <w:bCs/>
          <w:sz w:val="22"/>
          <w:szCs w:val="22"/>
        </w:rPr>
        <w:t xml:space="preserve">s </w:t>
      </w:r>
      <w:r w:rsidR="00B34C09" w:rsidRPr="00335915">
        <w:rPr>
          <w:rFonts w:ascii="Verdana" w:hAnsi="Verdana"/>
          <w:bCs/>
          <w:sz w:val="22"/>
          <w:szCs w:val="22"/>
        </w:rPr>
        <w:t>plantas</w:t>
      </w:r>
      <w:r w:rsidR="002B0B29" w:rsidRPr="00335915">
        <w:rPr>
          <w:rFonts w:ascii="Verdana" w:hAnsi="Verdana"/>
          <w:bCs/>
          <w:sz w:val="22"/>
          <w:szCs w:val="22"/>
        </w:rPr>
        <w:t xml:space="preserve"> solares</w:t>
      </w:r>
      <w:r w:rsidR="00B34C09" w:rsidRPr="00335915">
        <w:rPr>
          <w:rFonts w:ascii="Verdana" w:hAnsi="Verdana"/>
          <w:bCs/>
          <w:sz w:val="22"/>
          <w:szCs w:val="22"/>
        </w:rPr>
        <w:t xml:space="preserve"> fotovoltaicas y eólicas en los Sistemas de Distribución Local-SD</w:t>
      </w:r>
      <w:r w:rsidR="00332075" w:rsidRPr="00335915">
        <w:rPr>
          <w:rFonts w:ascii="Verdana" w:hAnsi="Verdana"/>
          <w:bCs/>
          <w:sz w:val="22"/>
          <w:szCs w:val="22"/>
        </w:rPr>
        <w:t>L</w:t>
      </w:r>
      <w:r w:rsidR="00D90F04" w:rsidRPr="00335915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En este momento se están articulando los productos/documentos para env</w:t>
      </w:r>
      <w:r w:rsidR="001D01B2">
        <w:rPr>
          <w:rFonts w:ascii="Verdana" w:hAnsi="Verdana"/>
          <w:bCs/>
          <w:sz w:val="22"/>
          <w:szCs w:val="22"/>
        </w:rPr>
        <w:t>ío</w:t>
      </w:r>
      <w:r>
        <w:rPr>
          <w:rFonts w:ascii="Verdana" w:hAnsi="Verdana"/>
          <w:bCs/>
          <w:sz w:val="22"/>
          <w:szCs w:val="22"/>
        </w:rPr>
        <w:t xml:space="preserve"> a la CREG, </w:t>
      </w:r>
      <w:r w:rsidR="001D01B2">
        <w:rPr>
          <w:rFonts w:ascii="Verdana" w:hAnsi="Verdana"/>
          <w:bCs/>
          <w:sz w:val="22"/>
          <w:szCs w:val="22"/>
        </w:rPr>
        <w:t xml:space="preserve">los cuales </w:t>
      </w:r>
      <w:r w:rsidR="00E71A35">
        <w:rPr>
          <w:rFonts w:ascii="Verdana" w:hAnsi="Verdana"/>
          <w:bCs/>
          <w:sz w:val="22"/>
          <w:szCs w:val="22"/>
        </w:rPr>
        <w:t>harán parte</w:t>
      </w:r>
      <w:r>
        <w:rPr>
          <w:rFonts w:ascii="Verdana" w:hAnsi="Verdana"/>
          <w:bCs/>
          <w:sz w:val="22"/>
          <w:szCs w:val="22"/>
        </w:rPr>
        <w:t xml:space="preserve"> de las observaciones del Consejo a la Resolución</w:t>
      </w:r>
      <w:r w:rsidR="00D42012">
        <w:rPr>
          <w:rFonts w:ascii="Verdana" w:hAnsi="Verdana"/>
          <w:bCs/>
          <w:sz w:val="22"/>
          <w:szCs w:val="22"/>
        </w:rPr>
        <w:t xml:space="preserve"> </w:t>
      </w:r>
      <w:r w:rsidR="001D01B2">
        <w:rPr>
          <w:rFonts w:ascii="Verdana" w:hAnsi="Verdana"/>
          <w:bCs/>
          <w:sz w:val="22"/>
          <w:szCs w:val="22"/>
        </w:rPr>
        <w:t xml:space="preserve">CREG </w:t>
      </w:r>
      <w:r>
        <w:rPr>
          <w:rFonts w:ascii="Verdana" w:hAnsi="Verdana"/>
          <w:bCs/>
          <w:sz w:val="22"/>
          <w:szCs w:val="22"/>
        </w:rPr>
        <w:t>170 de</w:t>
      </w:r>
      <w:r w:rsidR="00D42012">
        <w:rPr>
          <w:rFonts w:ascii="Verdana" w:hAnsi="Verdana"/>
          <w:bCs/>
          <w:sz w:val="22"/>
          <w:szCs w:val="22"/>
        </w:rPr>
        <w:t>l</w:t>
      </w:r>
      <w:r>
        <w:rPr>
          <w:rFonts w:ascii="Verdana" w:hAnsi="Verdana"/>
          <w:bCs/>
          <w:sz w:val="22"/>
          <w:szCs w:val="22"/>
        </w:rPr>
        <w:t xml:space="preserve"> 2020</w:t>
      </w:r>
      <w:r w:rsidR="001D01B2">
        <w:rPr>
          <w:rFonts w:ascii="Verdana" w:hAnsi="Verdana"/>
          <w:bCs/>
          <w:sz w:val="22"/>
          <w:szCs w:val="22"/>
        </w:rPr>
        <w:t xml:space="preserve"> en consulta</w:t>
      </w:r>
      <w:r>
        <w:rPr>
          <w:rFonts w:ascii="Verdana" w:hAnsi="Verdana"/>
          <w:bCs/>
          <w:sz w:val="22"/>
          <w:szCs w:val="22"/>
        </w:rPr>
        <w:t>. Vale la pena mencionar que la propuesta</w:t>
      </w:r>
      <w:r w:rsidR="00486CC1">
        <w:rPr>
          <w:rFonts w:ascii="Verdana" w:hAnsi="Verdana"/>
          <w:bCs/>
          <w:sz w:val="22"/>
          <w:szCs w:val="22"/>
        </w:rPr>
        <w:t xml:space="preserve"> del CNO plantea varias funcionalidades para diferentes rangos de capacidad (0-0.25 MW; 025-1 MW; 1-5MW; &gt; 5MW)</w:t>
      </w:r>
      <w:r w:rsidR="00D42012">
        <w:rPr>
          <w:rFonts w:ascii="Verdana" w:hAnsi="Verdana"/>
          <w:bCs/>
          <w:sz w:val="22"/>
          <w:szCs w:val="22"/>
        </w:rPr>
        <w:t>, en contraste con el proyecto normativo de la Comisión, el cual establece condiciones para plantas eólicas y solares fotovoltaicas conectadas a nivel de distribución con capacidad mayor a 5 MW.</w:t>
      </w:r>
      <w:r>
        <w:rPr>
          <w:rFonts w:ascii="Verdana" w:hAnsi="Verdana"/>
          <w:bCs/>
          <w:sz w:val="22"/>
          <w:szCs w:val="22"/>
        </w:rPr>
        <w:t xml:space="preserve"> </w:t>
      </w:r>
      <w:r w:rsidR="001D01B2">
        <w:rPr>
          <w:rFonts w:ascii="Verdana" w:hAnsi="Verdana"/>
          <w:bCs/>
          <w:sz w:val="22"/>
          <w:szCs w:val="22"/>
        </w:rPr>
        <w:t>L</w:t>
      </w:r>
      <w:r w:rsidR="00D42012">
        <w:rPr>
          <w:rFonts w:ascii="Verdana" w:hAnsi="Verdana"/>
          <w:bCs/>
          <w:sz w:val="22"/>
          <w:szCs w:val="22"/>
        </w:rPr>
        <w:t>a Resolución asigna una serie de tareas al Consejo para desarroll</w:t>
      </w:r>
      <w:r w:rsidR="001D01B2">
        <w:rPr>
          <w:rFonts w:ascii="Verdana" w:hAnsi="Verdana"/>
          <w:bCs/>
          <w:sz w:val="22"/>
          <w:szCs w:val="22"/>
        </w:rPr>
        <w:t>o</w:t>
      </w:r>
      <w:r w:rsidR="00D42012">
        <w:rPr>
          <w:rFonts w:ascii="Verdana" w:hAnsi="Verdana"/>
          <w:bCs/>
          <w:sz w:val="22"/>
          <w:szCs w:val="22"/>
        </w:rPr>
        <w:t xml:space="preserve"> en un plazo máximo de 40 días</w:t>
      </w:r>
      <w:r w:rsidR="001D01B2">
        <w:rPr>
          <w:rFonts w:ascii="Verdana" w:hAnsi="Verdana"/>
          <w:bCs/>
          <w:sz w:val="22"/>
          <w:szCs w:val="22"/>
        </w:rPr>
        <w:t xml:space="preserve"> a partir de la fecha de expedición de la Resolucion definitiva</w:t>
      </w:r>
      <w:r w:rsidR="00D42012">
        <w:rPr>
          <w:rFonts w:ascii="Verdana" w:hAnsi="Verdana"/>
          <w:bCs/>
          <w:sz w:val="22"/>
          <w:szCs w:val="22"/>
        </w:rPr>
        <w:t xml:space="preserve">, las </w:t>
      </w:r>
      <w:r w:rsidR="00D42012">
        <w:rPr>
          <w:rFonts w:ascii="Verdana" w:hAnsi="Verdana"/>
          <w:bCs/>
          <w:sz w:val="22"/>
          <w:szCs w:val="22"/>
        </w:rPr>
        <w:lastRenderedPageBreak/>
        <w:t>cuales deben ser enviadas a la CREG para su</w:t>
      </w:r>
      <w:r w:rsidR="001D01B2">
        <w:rPr>
          <w:rFonts w:ascii="Verdana" w:hAnsi="Verdana"/>
          <w:bCs/>
          <w:sz w:val="22"/>
          <w:szCs w:val="22"/>
        </w:rPr>
        <w:t>s comentarios y</w:t>
      </w:r>
      <w:r w:rsidR="00D42012">
        <w:rPr>
          <w:rFonts w:ascii="Verdana" w:hAnsi="Verdana"/>
          <w:bCs/>
          <w:sz w:val="22"/>
          <w:szCs w:val="22"/>
        </w:rPr>
        <w:t xml:space="preserve"> aprobación, previo a que se </w:t>
      </w:r>
      <w:r w:rsidR="001D01B2">
        <w:rPr>
          <w:rFonts w:ascii="Verdana" w:hAnsi="Verdana"/>
          <w:bCs/>
          <w:sz w:val="22"/>
          <w:szCs w:val="22"/>
        </w:rPr>
        <w:t xml:space="preserve">expidan </w:t>
      </w:r>
      <w:r w:rsidR="00E71A35">
        <w:rPr>
          <w:rFonts w:ascii="Verdana" w:hAnsi="Verdana"/>
          <w:bCs/>
          <w:sz w:val="22"/>
          <w:szCs w:val="22"/>
        </w:rPr>
        <w:t>los Acuerdos</w:t>
      </w:r>
      <w:r w:rsidR="00D42012">
        <w:rPr>
          <w:rFonts w:ascii="Verdana" w:hAnsi="Verdana"/>
          <w:bCs/>
          <w:sz w:val="22"/>
          <w:szCs w:val="22"/>
        </w:rPr>
        <w:t xml:space="preserve">. El plazo para comentarios de la Resolución 170 </w:t>
      </w:r>
      <w:r w:rsidR="001D01B2">
        <w:rPr>
          <w:rFonts w:ascii="Verdana" w:hAnsi="Verdana"/>
          <w:bCs/>
          <w:sz w:val="22"/>
          <w:szCs w:val="22"/>
        </w:rPr>
        <w:t xml:space="preserve">vence </w:t>
      </w:r>
      <w:r w:rsidR="00D42012">
        <w:rPr>
          <w:rFonts w:ascii="Verdana" w:hAnsi="Verdana"/>
          <w:bCs/>
          <w:sz w:val="22"/>
          <w:szCs w:val="22"/>
        </w:rPr>
        <w:t>el 29 de octubre de 2020.</w:t>
      </w:r>
    </w:p>
    <w:p w14:paraId="1BE4AC2B" w14:textId="77777777" w:rsidR="004A0280" w:rsidRPr="00335915" w:rsidRDefault="004A0280" w:rsidP="00A91586">
      <w:pPr>
        <w:rPr>
          <w:rFonts w:ascii="Verdana" w:hAnsi="Verdana"/>
          <w:bCs/>
          <w:sz w:val="22"/>
          <w:szCs w:val="22"/>
        </w:rPr>
      </w:pPr>
    </w:p>
    <w:p w14:paraId="4DD148A8" w14:textId="76C3ADC6" w:rsidR="004A0280" w:rsidRPr="00335915" w:rsidRDefault="00D90F04" w:rsidP="00335915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 w:rsidRPr="00335915">
        <w:rPr>
          <w:rFonts w:ascii="Verdana" w:hAnsi="Verdana"/>
          <w:bCs/>
          <w:sz w:val="22"/>
          <w:szCs w:val="22"/>
        </w:rPr>
        <w:t>El Subcomité de Recursos Energéticos Renovables-</w:t>
      </w:r>
      <w:r w:rsidR="00E71A35" w:rsidRPr="00335915">
        <w:rPr>
          <w:rFonts w:ascii="Verdana" w:hAnsi="Verdana"/>
          <w:bCs/>
          <w:sz w:val="22"/>
          <w:szCs w:val="22"/>
        </w:rPr>
        <w:t>SURER con</w:t>
      </w:r>
      <w:r w:rsidRPr="00335915">
        <w:rPr>
          <w:rFonts w:ascii="Verdana" w:hAnsi="Verdana"/>
          <w:bCs/>
          <w:sz w:val="22"/>
          <w:szCs w:val="22"/>
        </w:rPr>
        <w:t xml:space="preserve"> el CND </w:t>
      </w:r>
      <w:r w:rsidR="009D2922" w:rsidRPr="00335915">
        <w:rPr>
          <w:rFonts w:ascii="Verdana" w:hAnsi="Verdana"/>
          <w:bCs/>
          <w:sz w:val="22"/>
          <w:szCs w:val="22"/>
        </w:rPr>
        <w:t xml:space="preserve">están </w:t>
      </w:r>
      <w:r w:rsidR="00314DA5" w:rsidRPr="00335915">
        <w:rPr>
          <w:rFonts w:ascii="Verdana" w:hAnsi="Verdana"/>
          <w:bCs/>
          <w:sz w:val="22"/>
          <w:szCs w:val="22"/>
        </w:rPr>
        <w:t xml:space="preserve">terminando </w:t>
      </w:r>
      <w:r w:rsidR="004C6147" w:rsidRPr="00335915">
        <w:rPr>
          <w:rFonts w:ascii="Verdana" w:hAnsi="Verdana"/>
          <w:bCs/>
          <w:sz w:val="22"/>
          <w:szCs w:val="22"/>
        </w:rPr>
        <w:t>la segunda fase del doc</w:t>
      </w:r>
      <w:r w:rsidR="001C10B9" w:rsidRPr="00335915">
        <w:rPr>
          <w:rFonts w:ascii="Verdana" w:hAnsi="Verdana"/>
          <w:bCs/>
          <w:sz w:val="22"/>
          <w:szCs w:val="22"/>
        </w:rPr>
        <w:t>u</w:t>
      </w:r>
      <w:r w:rsidR="004C6147" w:rsidRPr="00335915">
        <w:rPr>
          <w:rFonts w:ascii="Verdana" w:hAnsi="Verdana"/>
          <w:bCs/>
          <w:sz w:val="22"/>
          <w:szCs w:val="22"/>
        </w:rPr>
        <w:t xml:space="preserve">mento </w:t>
      </w:r>
      <w:r w:rsidR="00D42012">
        <w:rPr>
          <w:rFonts w:ascii="Verdana" w:hAnsi="Verdana"/>
          <w:bCs/>
          <w:sz w:val="22"/>
          <w:szCs w:val="22"/>
        </w:rPr>
        <w:t xml:space="preserve">base para la formulación de un Código de Medición de Variables Hidrométricas, </w:t>
      </w:r>
      <w:r w:rsidR="004C6147" w:rsidRPr="00335915">
        <w:rPr>
          <w:rFonts w:ascii="Verdana" w:hAnsi="Verdana"/>
          <w:bCs/>
          <w:sz w:val="22"/>
          <w:szCs w:val="22"/>
        </w:rPr>
        <w:t>que abar</w:t>
      </w:r>
      <w:r w:rsidR="00D42012">
        <w:rPr>
          <w:rFonts w:ascii="Verdana" w:hAnsi="Verdana"/>
          <w:bCs/>
          <w:sz w:val="22"/>
          <w:szCs w:val="22"/>
        </w:rPr>
        <w:t>que</w:t>
      </w:r>
      <w:r w:rsidR="004C6147" w:rsidRPr="00335915">
        <w:rPr>
          <w:rFonts w:ascii="Verdana" w:hAnsi="Verdana"/>
          <w:bCs/>
          <w:sz w:val="22"/>
          <w:szCs w:val="22"/>
        </w:rPr>
        <w:t xml:space="preserve"> el análisis de las alternativas para dar solución a los problemas identificados en la primera parte del documento entregado</w:t>
      </w:r>
      <w:r w:rsidR="00D42012">
        <w:rPr>
          <w:rFonts w:ascii="Verdana" w:hAnsi="Verdana"/>
          <w:bCs/>
          <w:sz w:val="22"/>
          <w:szCs w:val="22"/>
        </w:rPr>
        <w:t xml:space="preserve"> a la CREG.  </w:t>
      </w:r>
      <w:r w:rsidR="001D01B2">
        <w:rPr>
          <w:rFonts w:ascii="Verdana" w:hAnsi="Verdana"/>
          <w:bCs/>
          <w:sz w:val="22"/>
          <w:szCs w:val="22"/>
        </w:rPr>
        <w:t>L</w:t>
      </w:r>
      <w:r w:rsidR="00D42012">
        <w:rPr>
          <w:rFonts w:ascii="Verdana" w:hAnsi="Verdana"/>
          <w:bCs/>
          <w:sz w:val="22"/>
          <w:szCs w:val="22"/>
        </w:rPr>
        <w:t xml:space="preserve">a Universidad de los Andes desarrolló </w:t>
      </w:r>
      <w:r w:rsidR="002F48AD">
        <w:rPr>
          <w:rFonts w:ascii="Verdana" w:hAnsi="Verdana"/>
          <w:bCs/>
          <w:sz w:val="22"/>
          <w:szCs w:val="22"/>
        </w:rPr>
        <w:t xml:space="preserve">el primer borrador del referenciamiento </w:t>
      </w:r>
      <w:r w:rsidR="004C6147" w:rsidRPr="00335915">
        <w:rPr>
          <w:rFonts w:ascii="Verdana" w:hAnsi="Verdana"/>
          <w:bCs/>
          <w:sz w:val="22"/>
          <w:szCs w:val="22"/>
        </w:rPr>
        <w:t xml:space="preserve">aplicable </w:t>
      </w:r>
      <w:r w:rsidR="0004170E" w:rsidRPr="00335915">
        <w:rPr>
          <w:rFonts w:ascii="Verdana" w:hAnsi="Verdana"/>
          <w:bCs/>
          <w:sz w:val="22"/>
          <w:szCs w:val="22"/>
        </w:rPr>
        <w:t xml:space="preserve">para la medición de las variables </w:t>
      </w:r>
      <w:r w:rsidR="008D7568" w:rsidRPr="00335915">
        <w:rPr>
          <w:rFonts w:ascii="Verdana" w:hAnsi="Verdana"/>
          <w:bCs/>
          <w:sz w:val="22"/>
          <w:szCs w:val="22"/>
        </w:rPr>
        <w:t>hidrométricas</w:t>
      </w:r>
      <w:r w:rsidR="002F48AD">
        <w:rPr>
          <w:rFonts w:ascii="Verdana" w:hAnsi="Verdana"/>
          <w:bCs/>
          <w:sz w:val="22"/>
          <w:szCs w:val="22"/>
        </w:rPr>
        <w:t>, y está contrastando el mismo con el documento de buenas prácticas desarrollado por el SURER</w:t>
      </w:r>
      <w:r w:rsidR="00051482" w:rsidRPr="00335915">
        <w:rPr>
          <w:rFonts w:ascii="Verdana" w:hAnsi="Verdana"/>
          <w:bCs/>
          <w:sz w:val="22"/>
          <w:szCs w:val="22"/>
        </w:rPr>
        <w:t>.</w:t>
      </w:r>
    </w:p>
    <w:p w14:paraId="486D9942" w14:textId="77777777" w:rsidR="004A0280" w:rsidRPr="00335915" w:rsidRDefault="004A0280" w:rsidP="00A91586">
      <w:pPr>
        <w:jc w:val="both"/>
        <w:rPr>
          <w:rFonts w:ascii="Verdana" w:hAnsi="Verdana"/>
          <w:bCs/>
          <w:sz w:val="22"/>
          <w:szCs w:val="22"/>
        </w:rPr>
      </w:pPr>
    </w:p>
    <w:p w14:paraId="79504421" w14:textId="62FF3FA2" w:rsidR="00314DA5" w:rsidRPr="0097427B" w:rsidRDefault="0097427B" w:rsidP="0097427B">
      <w:pPr>
        <w:pStyle w:val="Prrafodelista"/>
        <w:numPr>
          <w:ilvl w:val="0"/>
          <w:numId w:val="31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Teniendo en cuenta</w:t>
      </w:r>
      <w:r w:rsidR="00BC2A2E" w:rsidRPr="00335915">
        <w:rPr>
          <w:rFonts w:ascii="Verdana" w:hAnsi="Verdana"/>
          <w:bCs/>
          <w:sz w:val="22"/>
          <w:szCs w:val="22"/>
        </w:rPr>
        <w:t xml:space="preserve"> las tareas acordadas en la reunión 603 del Consejo</w:t>
      </w:r>
      <w:r w:rsidR="002F48AD">
        <w:rPr>
          <w:rFonts w:ascii="Verdana" w:hAnsi="Verdana"/>
          <w:bCs/>
          <w:sz w:val="22"/>
          <w:szCs w:val="22"/>
        </w:rPr>
        <w:t xml:space="preserve">, sobre el Plan de Acción </w:t>
      </w:r>
      <w:r w:rsidR="00375F83">
        <w:rPr>
          <w:rFonts w:ascii="Verdana" w:hAnsi="Verdana"/>
          <w:bCs/>
          <w:sz w:val="22"/>
          <w:szCs w:val="22"/>
        </w:rPr>
        <w:t xml:space="preserve">para evitar eventos como el del 24 de junio en el área Caribe, </w:t>
      </w:r>
      <w:r w:rsidR="00BC2A2E" w:rsidRPr="00335915">
        <w:rPr>
          <w:rFonts w:ascii="Verdana" w:hAnsi="Verdana"/>
          <w:bCs/>
          <w:sz w:val="22"/>
          <w:szCs w:val="22"/>
        </w:rPr>
        <w:t xml:space="preserve">en </w:t>
      </w:r>
      <w:r w:rsidR="001B0466">
        <w:rPr>
          <w:rFonts w:ascii="Verdana" w:hAnsi="Verdana"/>
          <w:bCs/>
          <w:sz w:val="22"/>
          <w:szCs w:val="22"/>
        </w:rPr>
        <w:t>la reunión</w:t>
      </w:r>
      <w:r w:rsidR="005D2E4A" w:rsidRPr="00335915">
        <w:rPr>
          <w:rFonts w:ascii="Verdana" w:hAnsi="Verdana"/>
          <w:bCs/>
          <w:sz w:val="22"/>
          <w:szCs w:val="22"/>
        </w:rPr>
        <w:t xml:space="preserve"> </w:t>
      </w:r>
      <w:r w:rsidR="00BC2A2E" w:rsidRPr="00335915">
        <w:rPr>
          <w:rFonts w:ascii="Verdana" w:hAnsi="Verdana"/>
          <w:bCs/>
          <w:sz w:val="22"/>
          <w:szCs w:val="22"/>
        </w:rPr>
        <w:t xml:space="preserve">ordinaria del Subcomité de Análisis y Planeación Eléctrica-SAPE </w:t>
      </w:r>
      <w:r w:rsidR="00375F83">
        <w:rPr>
          <w:rFonts w:ascii="Verdana" w:hAnsi="Verdana"/>
          <w:bCs/>
          <w:sz w:val="22"/>
          <w:szCs w:val="22"/>
        </w:rPr>
        <w:t>se analizó el listado de subestaciones presentado por el CND en la pasada reunión 612</w:t>
      </w:r>
      <w:r w:rsidR="00F86575">
        <w:rPr>
          <w:rFonts w:ascii="Verdana" w:hAnsi="Verdana"/>
          <w:bCs/>
          <w:sz w:val="22"/>
          <w:szCs w:val="22"/>
        </w:rPr>
        <w:t xml:space="preserve"> del CNO</w:t>
      </w:r>
      <w:r w:rsidR="005D2E4A" w:rsidRPr="00335915">
        <w:rPr>
          <w:rFonts w:ascii="Verdana" w:hAnsi="Verdana"/>
          <w:bCs/>
          <w:sz w:val="22"/>
          <w:szCs w:val="22"/>
        </w:rPr>
        <w:t>.</w:t>
      </w:r>
      <w:r w:rsidR="00375F83">
        <w:rPr>
          <w:rFonts w:ascii="Verdana" w:hAnsi="Verdana"/>
          <w:bCs/>
          <w:sz w:val="22"/>
          <w:szCs w:val="22"/>
        </w:rPr>
        <w:t xml:space="preserve"> Teniendo en cuent</w:t>
      </w:r>
      <w:r w:rsidR="007C5635">
        <w:rPr>
          <w:rFonts w:ascii="Verdana" w:hAnsi="Verdana"/>
          <w:bCs/>
          <w:sz w:val="22"/>
          <w:szCs w:val="22"/>
        </w:rPr>
        <w:t xml:space="preserve">a las inquietudes que surgieron sobre el ordenamiento y la no </w:t>
      </w:r>
      <w:r w:rsidR="00A01E36">
        <w:rPr>
          <w:rFonts w:ascii="Verdana" w:hAnsi="Verdana"/>
          <w:bCs/>
          <w:sz w:val="22"/>
          <w:szCs w:val="22"/>
        </w:rPr>
        <w:t xml:space="preserve">inclusión de algunas </w:t>
      </w:r>
      <w:r>
        <w:rPr>
          <w:rFonts w:ascii="Verdana" w:hAnsi="Verdana"/>
          <w:bCs/>
          <w:sz w:val="22"/>
          <w:szCs w:val="22"/>
        </w:rPr>
        <w:t>barras</w:t>
      </w:r>
      <w:r w:rsidR="00A01E36">
        <w:rPr>
          <w:rFonts w:ascii="Verdana" w:hAnsi="Verdana"/>
          <w:bCs/>
          <w:sz w:val="22"/>
          <w:szCs w:val="22"/>
        </w:rPr>
        <w:t>,</w:t>
      </w:r>
      <w:r w:rsidR="00F86575">
        <w:rPr>
          <w:rFonts w:ascii="Verdana" w:hAnsi="Verdana"/>
          <w:bCs/>
          <w:sz w:val="22"/>
          <w:szCs w:val="22"/>
        </w:rPr>
        <w:t xml:space="preserve"> se acordó con el CND analizar</w:t>
      </w:r>
      <w:r>
        <w:rPr>
          <w:rFonts w:ascii="Verdana" w:hAnsi="Verdana"/>
          <w:bCs/>
          <w:sz w:val="22"/>
          <w:szCs w:val="22"/>
        </w:rPr>
        <w:t xml:space="preserve"> detalladamente algunos casos específicos</w:t>
      </w:r>
      <w:r w:rsidR="00F86575">
        <w:rPr>
          <w:rFonts w:ascii="Verdana" w:hAnsi="Verdana"/>
          <w:bCs/>
          <w:sz w:val="22"/>
          <w:szCs w:val="22"/>
        </w:rPr>
        <w:t xml:space="preserve"> en </w:t>
      </w:r>
      <w:r>
        <w:rPr>
          <w:rFonts w:ascii="Verdana" w:hAnsi="Verdana"/>
          <w:bCs/>
          <w:sz w:val="22"/>
          <w:szCs w:val="22"/>
        </w:rPr>
        <w:t xml:space="preserve">el marco del </w:t>
      </w:r>
      <w:r w:rsidR="00F86575">
        <w:rPr>
          <w:rFonts w:ascii="Verdana" w:hAnsi="Verdana"/>
          <w:bCs/>
          <w:sz w:val="22"/>
          <w:szCs w:val="22"/>
        </w:rPr>
        <w:t>SAPE</w:t>
      </w:r>
      <w:r>
        <w:rPr>
          <w:rFonts w:ascii="Verdana" w:hAnsi="Verdana"/>
          <w:bCs/>
          <w:sz w:val="22"/>
          <w:szCs w:val="22"/>
        </w:rPr>
        <w:t>.</w:t>
      </w:r>
      <w:r w:rsidR="00A01E36">
        <w:rPr>
          <w:rFonts w:ascii="Verdana" w:hAnsi="Verdana"/>
          <w:bCs/>
          <w:sz w:val="22"/>
          <w:szCs w:val="22"/>
        </w:rPr>
        <w:t xml:space="preserve"> </w:t>
      </w:r>
      <w:r w:rsidR="004A0280" w:rsidRPr="00335915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Asimismo, el Comité de Supervisión y Ciberseguridad</w:t>
      </w:r>
      <w:r w:rsidR="001D01B2">
        <w:rPr>
          <w:rFonts w:ascii="Verdana" w:hAnsi="Verdana"/>
          <w:bCs/>
          <w:sz w:val="22"/>
          <w:szCs w:val="22"/>
        </w:rPr>
        <w:t xml:space="preserve"> y</w:t>
      </w:r>
      <w:r>
        <w:rPr>
          <w:rFonts w:ascii="Verdana" w:hAnsi="Verdana"/>
          <w:bCs/>
          <w:sz w:val="22"/>
          <w:szCs w:val="22"/>
        </w:rPr>
        <w:t xml:space="preserve"> el </w:t>
      </w:r>
      <w:r w:rsidR="001D01B2">
        <w:rPr>
          <w:rFonts w:ascii="Verdana" w:hAnsi="Verdana"/>
          <w:bCs/>
          <w:sz w:val="22"/>
          <w:szCs w:val="22"/>
        </w:rPr>
        <w:t>S</w:t>
      </w:r>
      <w:r>
        <w:rPr>
          <w:rFonts w:ascii="Verdana" w:hAnsi="Verdana"/>
          <w:bCs/>
          <w:sz w:val="22"/>
          <w:szCs w:val="22"/>
        </w:rPr>
        <w:t>ubcomité de Protecciones, definieron un cronograma de actividades, que se articulan con la propuesta del Plan de Acción que se presentó previamente</w:t>
      </w:r>
      <w:r w:rsidR="00006C18" w:rsidRPr="0097427B">
        <w:rPr>
          <w:rFonts w:ascii="Verdana" w:hAnsi="Verdana"/>
          <w:bCs/>
          <w:sz w:val="22"/>
          <w:szCs w:val="22"/>
        </w:rPr>
        <w:t>.</w:t>
      </w:r>
      <w:r w:rsidR="004A0280" w:rsidRPr="0097427B">
        <w:rPr>
          <w:rFonts w:ascii="Verdana" w:hAnsi="Verdana"/>
          <w:bCs/>
          <w:sz w:val="22"/>
          <w:szCs w:val="22"/>
        </w:rPr>
        <w:t xml:space="preserve"> </w:t>
      </w:r>
    </w:p>
    <w:p w14:paraId="7358A774" w14:textId="77777777" w:rsidR="00314DA5" w:rsidRPr="00831F43" w:rsidRDefault="00314DA5" w:rsidP="00831F43">
      <w:pPr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</w:p>
    <w:p w14:paraId="07508E6E" w14:textId="75391512" w:rsidR="00831F43" w:rsidRDefault="00831F43" w:rsidP="00831F43">
      <w:pPr>
        <w:pStyle w:val="Prrafodelista"/>
        <w:numPr>
          <w:ilvl w:val="0"/>
          <w:numId w:val="31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El </w:t>
      </w:r>
      <w:r w:rsidR="001D01B2">
        <w:rPr>
          <w:rFonts w:ascii="Verdana" w:hAnsi="Verdana"/>
          <w:color w:val="000000" w:themeColor="text1"/>
          <w:sz w:val="22"/>
          <w:szCs w:val="22"/>
        </w:rPr>
        <w:t>S</w:t>
      </w:r>
      <w:r>
        <w:rPr>
          <w:rFonts w:ascii="Verdana" w:hAnsi="Verdana"/>
          <w:color w:val="000000" w:themeColor="text1"/>
          <w:sz w:val="22"/>
          <w:szCs w:val="22"/>
        </w:rPr>
        <w:t>ubcomité de Plantas del Consejo analizó el</w:t>
      </w:r>
      <w:r w:rsidR="000A2C2A" w:rsidRPr="00335915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documento CNO gas “</w:t>
      </w:r>
      <w:r w:rsidRPr="00811C44">
        <w:rPr>
          <w:rFonts w:ascii="Verdana" w:hAnsi="Verdana"/>
          <w:i/>
          <w:iCs/>
          <w:color w:val="000000" w:themeColor="text1"/>
          <w:sz w:val="22"/>
          <w:szCs w:val="22"/>
        </w:rPr>
        <w:t>Intercambio de Información Operativa Gas-Electricidad en Condiciones Normales de Operación</w:t>
      </w:r>
      <w:r>
        <w:rPr>
          <w:rFonts w:ascii="Verdana" w:hAnsi="Verdana"/>
          <w:color w:val="000000" w:themeColor="text1"/>
          <w:sz w:val="22"/>
          <w:szCs w:val="22"/>
        </w:rPr>
        <w:t>”</w:t>
      </w:r>
      <w:r w:rsidR="000A2C2A" w:rsidRPr="00335915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 xml:space="preserve"> Las principales observaciones al mismo se presentan a continuación:</w:t>
      </w:r>
    </w:p>
    <w:p w14:paraId="50238CF2" w14:textId="77777777" w:rsidR="00F242C0" w:rsidRDefault="00831F43" w:rsidP="00831F43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El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documento 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no </w:t>
      </w:r>
      <w:r>
        <w:rPr>
          <w:rFonts w:ascii="Verdana" w:hAnsi="Verdana"/>
          <w:color w:val="000000" w:themeColor="text1"/>
          <w:sz w:val="22"/>
          <w:szCs w:val="22"/>
        </w:rPr>
        <w:t>contiene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una justificación de los beneficios </w:t>
      </w:r>
      <w:r>
        <w:rPr>
          <w:rFonts w:ascii="Verdana" w:hAnsi="Verdana"/>
          <w:color w:val="000000" w:themeColor="text1"/>
          <w:sz w:val="22"/>
          <w:szCs w:val="22"/>
        </w:rPr>
        <w:t>del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intercambio de información y qué tipo de información haría parte de </w:t>
      </w:r>
      <w:r>
        <w:rPr>
          <w:rFonts w:ascii="Verdana" w:hAnsi="Verdana"/>
          <w:color w:val="000000" w:themeColor="text1"/>
          <w:sz w:val="22"/>
          <w:szCs w:val="22"/>
        </w:rPr>
        <w:t>dicho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intercambio. Por lo anterior</w:t>
      </w:r>
      <w:r>
        <w:rPr>
          <w:rFonts w:ascii="Verdana" w:hAnsi="Verdana"/>
          <w:color w:val="000000" w:themeColor="text1"/>
          <w:sz w:val="22"/>
          <w:szCs w:val="22"/>
        </w:rPr>
        <w:t xml:space="preserve"> se considera que el mismo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no genera cambios determinantes para superar la problemática actual. Adicionalmente, se entiende que la información que se está analizando para compartir, es considerada pública hoy, por lo cual no </w:t>
      </w:r>
      <w:r w:rsidR="00F242C0">
        <w:rPr>
          <w:rFonts w:ascii="Verdana" w:hAnsi="Verdana"/>
          <w:color w:val="000000" w:themeColor="text1"/>
          <w:sz w:val="22"/>
          <w:szCs w:val="22"/>
        </w:rPr>
        <w:t xml:space="preserve">es claro </w:t>
      </w:r>
      <w:r w:rsidR="00F242C0" w:rsidRPr="00831F43">
        <w:rPr>
          <w:rFonts w:ascii="Verdana" w:hAnsi="Verdana"/>
          <w:color w:val="000000" w:themeColor="text1"/>
          <w:sz w:val="22"/>
          <w:szCs w:val="22"/>
        </w:rPr>
        <w:t>qu</w:t>
      </w:r>
      <w:r w:rsidR="00F242C0">
        <w:rPr>
          <w:rFonts w:ascii="Verdana" w:hAnsi="Verdana"/>
          <w:color w:val="000000" w:themeColor="text1"/>
          <w:sz w:val="22"/>
          <w:szCs w:val="22"/>
        </w:rPr>
        <w:t xml:space="preserve">é 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tipo de </w:t>
      </w:r>
      <w:r w:rsidR="00F242C0">
        <w:rPr>
          <w:rFonts w:ascii="Verdana" w:hAnsi="Verdana"/>
          <w:color w:val="000000" w:themeColor="text1"/>
          <w:sz w:val="22"/>
          <w:szCs w:val="22"/>
        </w:rPr>
        <w:t>ventajas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 traería para la coordinación gas-electricidad.</w:t>
      </w:r>
    </w:p>
    <w:p w14:paraId="2FD81E41" w14:textId="29EA50F9" w:rsidR="00F242C0" w:rsidRDefault="00831F43" w:rsidP="00831F43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F242C0">
        <w:rPr>
          <w:rFonts w:ascii="Verdana" w:hAnsi="Verdana"/>
          <w:color w:val="000000" w:themeColor="text1"/>
          <w:sz w:val="22"/>
          <w:szCs w:val="22"/>
        </w:rPr>
        <w:t>Se estipula que el documento se circunscribe a los generadores térmicos</w:t>
      </w:r>
      <w:r w:rsidR="00F242C0">
        <w:rPr>
          <w:rFonts w:ascii="Verdana" w:hAnsi="Verdana"/>
          <w:color w:val="000000" w:themeColor="text1"/>
          <w:sz w:val="22"/>
          <w:szCs w:val="22"/>
        </w:rPr>
        <w:t>,</w:t>
      </w:r>
      <w:r w:rsidRPr="00F242C0">
        <w:rPr>
          <w:rFonts w:ascii="Verdana" w:hAnsi="Verdana"/>
          <w:color w:val="000000" w:themeColor="text1"/>
          <w:sz w:val="22"/>
          <w:szCs w:val="22"/>
        </w:rPr>
        <w:t xml:space="preserve"> sin embargo, en el desarrollo del </w:t>
      </w:r>
      <w:r w:rsidR="00F242C0">
        <w:rPr>
          <w:rFonts w:ascii="Verdana" w:hAnsi="Verdana"/>
          <w:color w:val="000000" w:themeColor="text1"/>
          <w:sz w:val="22"/>
          <w:szCs w:val="22"/>
        </w:rPr>
        <w:t>mismo</w:t>
      </w:r>
      <w:r w:rsidRPr="00F242C0">
        <w:rPr>
          <w:rFonts w:ascii="Verdana" w:hAnsi="Verdana"/>
          <w:color w:val="000000" w:themeColor="text1"/>
          <w:sz w:val="22"/>
          <w:szCs w:val="22"/>
        </w:rPr>
        <w:t xml:space="preserve"> no se evidencia la participación de éstos y la información que entregarían </w:t>
      </w:r>
      <w:r w:rsidR="001D01B2">
        <w:rPr>
          <w:rFonts w:ascii="Verdana" w:hAnsi="Verdana"/>
          <w:color w:val="000000" w:themeColor="text1"/>
          <w:sz w:val="22"/>
          <w:szCs w:val="22"/>
        </w:rPr>
        <w:t>co</w:t>
      </w:r>
      <w:r w:rsidRPr="00F242C0">
        <w:rPr>
          <w:rFonts w:ascii="Verdana" w:hAnsi="Verdana"/>
          <w:color w:val="000000" w:themeColor="text1"/>
          <w:sz w:val="22"/>
          <w:szCs w:val="22"/>
        </w:rPr>
        <w:t>n dicho protocolo</w:t>
      </w:r>
      <w:r w:rsidR="00F242C0">
        <w:rPr>
          <w:rFonts w:ascii="Verdana" w:hAnsi="Verdana"/>
          <w:color w:val="000000" w:themeColor="text1"/>
          <w:sz w:val="22"/>
          <w:szCs w:val="22"/>
        </w:rPr>
        <w:t>.</w:t>
      </w:r>
    </w:p>
    <w:p w14:paraId="397301D2" w14:textId="32F33E9F" w:rsidR="00F242C0" w:rsidRDefault="00F242C0" w:rsidP="00831F43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Respecto al sector gas, e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>l transportador incumbente de la Costa ha manifestado en reiteradas ocasiones que</w:t>
      </w:r>
      <w:r>
        <w:rPr>
          <w:rFonts w:ascii="Verdana" w:hAnsi="Verdana"/>
          <w:color w:val="000000" w:themeColor="text1"/>
          <w:sz w:val="22"/>
          <w:szCs w:val="22"/>
        </w:rPr>
        <w:t>,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con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su infraestructura</w:t>
      </w:r>
      <w:r>
        <w:rPr>
          <w:rFonts w:ascii="Verdana" w:hAnsi="Verdana"/>
          <w:color w:val="000000" w:themeColor="text1"/>
          <w:sz w:val="22"/>
          <w:szCs w:val="22"/>
        </w:rPr>
        <w:t>,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no puede prestar </w:t>
      </w:r>
      <w:r>
        <w:rPr>
          <w:rFonts w:ascii="Verdana" w:hAnsi="Verdana"/>
          <w:color w:val="000000" w:themeColor="text1"/>
          <w:sz w:val="22"/>
          <w:szCs w:val="22"/>
        </w:rPr>
        <w:t>el servicio de parqueo,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por lo tanto, </w:t>
      </w:r>
      <w:r>
        <w:rPr>
          <w:rFonts w:ascii="Verdana" w:hAnsi="Verdana"/>
          <w:color w:val="000000" w:themeColor="text1"/>
          <w:sz w:val="22"/>
          <w:szCs w:val="22"/>
        </w:rPr>
        <w:t>este servicio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no se </w:t>
      </w:r>
      <w:r>
        <w:rPr>
          <w:rFonts w:ascii="Verdana" w:hAnsi="Verdana"/>
          <w:color w:val="000000" w:themeColor="text1"/>
          <w:sz w:val="22"/>
          <w:szCs w:val="22"/>
        </w:rPr>
        <w:t>podría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considerar como una información determinante para el protocolo, </w:t>
      </w:r>
      <w:r>
        <w:rPr>
          <w:rFonts w:ascii="Verdana" w:hAnsi="Verdana"/>
          <w:color w:val="000000" w:themeColor="text1"/>
          <w:sz w:val="22"/>
          <w:szCs w:val="22"/>
        </w:rPr>
        <w:t xml:space="preserve">más </w:t>
      </w:r>
      <w:r w:rsidRPr="00F242C0">
        <w:rPr>
          <w:rFonts w:ascii="Verdana" w:hAnsi="Verdana"/>
          <w:color w:val="000000" w:themeColor="text1"/>
          <w:sz w:val="22"/>
          <w:szCs w:val="22"/>
        </w:rPr>
        <w:t>aún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cuando no es aplicable </w:t>
      </w:r>
      <w:r>
        <w:rPr>
          <w:rFonts w:ascii="Verdana" w:hAnsi="Verdana"/>
          <w:color w:val="000000" w:themeColor="text1"/>
          <w:sz w:val="22"/>
          <w:szCs w:val="22"/>
        </w:rPr>
        <w:t>para</w:t>
      </w:r>
      <w:r w:rsidR="00831F43" w:rsidRPr="00F242C0">
        <w:rPr>
          <w:rFonts w:ascii="Verdana" w:hAnsi="Verdana"/>
          <w:color w:val="000000" w:themeColor="text1"/>
          <w:sz w:val="22"/>
          <w:szCs w:val="22"/>
        </w:rPr>
        <w:t xml:space="preserve"> todos los transportadores.</w:t>
      </w:r>
    </w:p>
    <w:p w14:paraId="4E1771CE" w14:textId="1D3116A2" w:rsidR="00F242C0" w:rsidRDefault="00831F43" w:rsidP="00831F43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F242C0">
        <w:rPr>
          <w:rFonts w:ascii="Verdana" w:hAnsi="Verdana"/>
          <w:color w:val="000000" w:themeColor="text1"/>
          <w:sz w:val="22"/>
          <w:szCs w:val="22"/>
        </w:rPr>
        <w:t>Dentro del contenido de la propuesta, no se define el esquema para entregar la información, los responsables de las mismas y los medios que se utilizar</w:t>
      </w:r>
      <w:r w:rsidR="00225B17">
        <w:rPr>
          <w:rFonts w:ascii="Verdana" w:hAnsi="Verdana"/>
          <w:color w:val="000000" w:themeColor="text1"/>
          <w:sz w:val="22"/>
          <w:szCs w:val="22"/>
        </w:rPr>
        <w:t>ía</w:t>
      </w:r>
      <w:r w:rsidRPr="00F242C0">
        <w:rPr>
          <w:rFonts w:ascii="Verdana" w:hAnsi="Verdana"/>
          <w:color w:val="000000" w:themeColor="text1"/>
          <w:sz w:val="22"/>
          <w:szCs w:val="22"/>
        </w:rPr>
        <w:t>n.</w:t>
      </w:r>
    </w:p>
    <w:p w14:paraId="09572453" w14:textId="433BAB69" w:rsidR="00831F43" w:rsidRDefault="00F242C0" w:rsidP="00831F43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Dentro de las variables </w:t>
      </w:r>
      <w:r w:rsidR="00811C44">
        <w:rPr>
          <w:rFonts w:ascii="Verdana" w:hAnsi="Verdana"/>
          <w:color w:val="000000" w:themeColor="text1"/>
          <w:sz w:val="22"/>
          <w:szCs w:val="22"/>
        </w:rPr>
        <w:t xml:space="preserve">del sector gas </w:t>
      </w:r>
      <w:r>
        <w:rPr>
          <w:rFonts w:ascii="Verdana" w:hAnsi="Verdana"/>
          <w:color w:val="000000" w:themeColor="text1"/>
          <w:sz w:val="22"/>
          <w:szCs w:val="22"/>
        </w:rPr>
        <w:t>no se considera</w:t>
      </w:r>
      <w:r w:rsidRPr="00F242C0">
        <w:rPr>
          <w:rFonts w:ascii="Verdana" w:hAnsi="Verdana"/>
          <w:color w:val="000000" w:themeColor="text1"/>
          <w:sz w:val="22"/>
          <w:szCs w:val="22"/>
        </w:rPr>
        <w:t xml:space="preserve"> la capacidad</w:t>
      </w:r>
      <w:r>
        <w:rPr>
          <w:rFonts w:ascii="Verdana" w:hAnsi="Verdana"/>
          <w:color w:val="000000" w:themeColor="text1"/>
          <w:sz w:val="22"/>
          <w:szCs w:val="22"/>
        </w:rPr>
        <w:t xml:space="preserve"> “</w:t>
      </w:r>
      <w:r w:rsidRPr="00F242C0">
        <w:rPr>
          <w:rFonts w:ascii="Verdana" w:hAnsi="Verdana"/>
          <w:color w:val="000000" w:themeColor="text1"/>
          <w:sz w:val="22"/>
          <w:szCs w:val="22"/>
        </w:rPr>
        <w:t>on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F242C0">
        <w:rPr>
          <w:rFonts w:ascii="Verdana" w:hAnsi="Verdana"/>
          <w:color w:val="000000" w:themeColor="text1"/>
          <w:sz w:val="22"/>
          <w:szCs w:val="22"/>
        </w:rPr>
        <w:t>line</w:t>
      </w:r>
      <w:r>
        <w:rPr>
          <w:rFonts w:ascii="Verdana" w:hAnsi="Verdana"/>
          <w:color w:val="000000" w:themeColor="text1"/>
          <w:sz w:val="22"/>
          <w:szCs w:val="22"/>
        </w:rPr>
        <w:t>”</w:t>
      </w:r>
      <w:r w:rsidRPr="00F242C0">
        <w:rPr>
          <w:rFonts w:ascii="Verdana" w:hAnsi="Verdana"/>
          <w:color w:val="000000" w:themeColor="text1"/>
          <w:sz w:val="22"/>
          <w:szCs w:val="22"/>
        </w:rPr>
        <w:t xml:space="preserve"> y los tiempos de renominación con los cuales los transportadores podrían atender redespachos</w:t>
      </w:r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Pr="00F242C0">
        <w:rPr>
          <w:rFonts w:ascii="Verdana" w:hAnsi="Verdana"/>
          <w:color w:val="000000" w:themeColor="text1"/>
          <w:sz w:val="22"/>
          <w:szCs w:val="22"/>
        </w:rPr>
        <w:t>para que sean considerados en los procesos de optimización del sector eléctrico, reduciendo tiempos de aviso por renominación.</w:t>
      </w:r>
      <w:r w:rsidR="000A2C2A" w:rsidRPr="00F242C0">
        <w:rPr>
          <w:rFonts w:ascii="Verdana" w:hAnsi="Verdana"/>
          <w:color w:val="000000" w:themeColor="text1"/>
          <w:sz w:val="22"/>
          <w:szCs w:val="22"/>
        </w:rPr>
        <w:t xml:space="preserve">  </w:t>
      </w:r>
    </w:p>
    <w:p w14:paraId="632BAF70" w14:textId="1D0DF679" w:rsidR="00811C44" w:rsidRPr="006D7F4F" w:rsidRDefault="00811C44" w:rsidP="00811C44">
      <w:pPr>
        <w:shd w:val="clear" w:color="auto" w:fill="FFFFFF"/>
        <w:spacing w:after="240"/>
        <w:ind w:left="360"/>
        <w:jc w:val="both"/>
        <w:textAlignment w:val="baseline"/>
        <w:rPr>
          <w:rFonts w:ascii="Verdana" w:hAnsi="Verdana"/>
          <w:color w:val="000000" w:themeColor="text1"/>
          <w:spacing w:val="-20"/>
          <w:sz w:val="22"/>
          <w:szCs w:val="22"/>
          <w:lang w:eastAsia="es-ES"/>
        </w:rPr>
      </w:pPr>
      <w:r w:rsidRPr="006D7F4F">
        <w:rPr>
          <w:rFonts w:ascii="Verdana" w:hAnsi="Verdana"/>
          <w:color w:val="000000" w:themeColor="text1"/>
          <w:spacing w:val="-20"/>
          <w:sz w:val="22"/>
          <w:szCs w:val="22"/>
          <w:lang w:eastAsia="es-ES"/>
        </w:rPr>
        <w:lastRenderedPageBreak/>
        <w:t>Teniendo en cuenta lo anterior, se coordinará con el CNO gas una reunión para presentar detalladamente las observaciones del Consejo.</w:t>
      </w:r>
    </w:p>
    <w:p w14:paraId="75999DFC" w14:textId="43A17BCA" w:rsidR="00BB6C68" w:rsidRDefault="007F605E" w:rsidP="00831F43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En el Subcomité de Planeamiento Operativo-SPO se analizaron cada uno de los supuestos que son tenidos en cuenta para la obtención de la curva de “Referencia” del volumen útil agregado del SIN, a p</w:t>
      </w:r>
      <w:r w:rsidR="00611338">
        <w:rPr>
          <w:rFonts w:ascii="Verdana" w:hAnsi="Verdana"/>
          <w:color w:val="000000" w:themeColor="text1"/>
          <w:sz w:val="22"/>
          <w:szCs w:val="22"/>
        </w:rPr>
        <w:t>artir de una simul</w:t>
      </w:r>
      <w:r w:rsidR="009F3EF9">
        <w:rPr>
          <w:rFonts w:ascii="Verdana" w:hAnsi="Verdana"/>
          <w:color w:val="000000" w:themeColor="text1"/>
          <w:sz w:val="22"/>
          <w:szCs w:val="22"/>
        </w:rPr>
        <w:t>ación determinística con el modelo SDDP</w:t>
      </w:r>
      <w:r>
        <w:rPr>
          <w:rFonts w:ascii="Verdana" w:hAnsi="Verdana"/>
          <w:color w:val="000000" w:themeColor="text1"/>
          <w:sz w:val="22"/>
          <w:szCs w:val="22"/>
        </w:rPr>
        <w:t>.</w:t>
      </w:r>
      <w:r w:rsidR="009F3EF9">
        <w:rPr>
          <w:rFonts w:ascii="Verdana" w:hAnsi="Verdana"/>
          <w:color w:val="000000" w:themeColor="text1"/>
          <w:sz w:val="22"/>
          <w:szCs w:val="22"/>
        </w:rPr>
        <w:t xml:space="preserve"> Teniendo en cuenta que la actualización de la</w:t>
      </w:r>
      <w:r w:rsidR="00BB6C68">
        <w:rPr>
          <w:rFonts w:ascii="Verdana" w:hAnsi="Verdana"/>
          <w:color w:val="000000" w:themeColor="text1"/>
          <w:sz w:val="22"/>
          <w:szCs w:val="22"/>
        </w:rPr>
        <w:t>s</w:t>
      </w:r>
      <w:r w:rsidR="009F3EF9">
        <w:rPr>
          <w:rFonts w:ascii="Verdana" w:hAnsi="Verdana"/>
          <w:color w:val="000000" w:themeColor="text1"/>
          <w:sz w:val="22"/>
          <w:szCs w:val="22"/>
        </w:rPr>
        <w:t xml:space="preserve"> series de aporte agregados del SIN representa</w:t>
      </w:r>
      <w:r w:rsidR="00225B17">
        <w:rPr>
          <w:rFonts w:ascii="Verdana" w:hAnsi="Verdana"/>
          <w:color w:val="000000" w:themeColor="text1"/>
          <w:sz w:val="22"/>
          <w:szCs w:val="22"/>
        </w:rPr>
        <w:t>n</w:t>
      </w:r>
      <w:r w:rsidR="009F3EF9">
        <w:rPr>
          <w:rFonts w:ascii="Verdana" w:hAnsi="Verdana"/>
          <w:color w:val="000000" w:themeColor="text1"/>
          <w:sz w:val="22"/>
          <w:szCs w:val="22"/>
        </w:rPr>
        <w:t xml:space="preserve"> una mejor condición para el modelo energético, es probable que la evolución del embalse sea mas optimista, llegando a niveles </w:t>
      </w:r>
      <w:r w:rsidR="00BB6C68">
        <w:rPr>
          <w:rFonts w:ascii="Verdana" w:hAnsi="Verdana"/>
          <w:color w:val="000000" w:themeColor="text1"/>
          <w:sz w:val="22"/>
          <w:szCs w:val="22"/>
        </w:rPr>
        <w:t xml:space="preserve">superiores al 80 </w:t>
      </w:r>
      <w:r w:rsidR="00E71A35">
        <w:rPr>
          <w:rFonts w:ascii="Verdana" w:hAnsi="Verdana"/>
          <w:color w:val="000000" w:themeColor="text1"/>
          <w:sz w:val="22"/>
          <w:szCs w:val="22"/>
        </w:rPr>
        <w:t>% antes</w:t>
      </w:r>
      <w:r w:rsidR="009F3EF9">
        <w:rPr>
          <w:rFonts w:ascii="Verdana" w:hAnsi="Verdana"/>
          <w:color w:val="000000" w:themeColor="text1"/>
          <w:sz w:val="22"/>
          <w:szCs w:val="22"/>
        </w:rPr>
        <w:t xml:space="preserve"> del inicio del verano 2020-2021</w:t>
      </w:r>
      <w:r w:rsidR="00BB6C68">
        <w:rPr>
          <w:rFonts w:ascii="Verdana" w:hAnsi="Verdana"/>
          <w:color w:val="000000" w:themeColor="text1"/>
          <w:sz w:val="22"/>
          <w:szCs w:val="22"/>
        </w:rPr>
        <w:t>. En este sentido, se recomendó por parte del SPO mantener la curva de “Referencia”.</w:t>
      </w:r>
    </w:p>
    <w:p w14:paraId="22C812E1" w14:textId="7A90B745" w:rsidR="00BB6C68" w:rsidRDefault="00BB6C68" w:rsidP="00BB6C68">
      <w:pPr>
        <w:pStyle w:val="Prrafodelista"/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EDDED9E" w14:textId="56FDD3A1" w:rsidR="00B32EC0" w:rsidRDefault="002C55F3" w:rsidP="00831F43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Teniendo en cuenta la actual situación del área Caribe, cuyo límite de importación se encuentra </w:t>
      </w:r>
      <w:r w:rsidR="00E71A35">
        <w:rPr>
          <w:rFonts w:ascii="Verdana" w:hAnsi="Verdana"/>
          <w:color w:val="000000" w:themeColor="text1"/>
          <w:sz w:val="22"/>
          <w:szCs w:val="22"/>
        </w:rPr>
        <w:t>limitado</w:t>
      </w:r>
      <w:r>
        <w:rPr>
          <w:rFonts w:ascii="Verdana" w:hAnsi="Verdana"/>
          <w:color w:val="000000" w:themeColor="text1"/>
          <w:sz w:val="22"/>
          <w:szCs w:val="22"/>
        </w:rPr>
        <w:t xml:space="preserve"> por la indisponibilidad del circuito a 500 kV Porce III-Cerromatoso, y </w:t>
      </w:r>
      <w:r w:rsidR="004652A1">
        <w:rPr>
          <w:rFonts w:ascii="Verdana" w:hAnsi="Verdana"/>
          <w:color w:val="000000" w:themeColor="text1"/>
          <w:sz w:val="22"/>
          <w:szCs w:val="22"/>
        </w:rPr>
        <w:t xml:space="preserve">considerando </w:t>
      </w:r>
      <w:r w:rsidR="00EE47C2">
        <w:rPr>
          <w:rFonts w:ascii="Verdana" w:hAnsi="Verdana"/>
          <w:color w:val="000000" w:themeColor="text1"/>
          <w:sz w:val="22"/>
          <w:szCs w:val="22"/>
        </w:rPr>
        <w:t>el efecto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4652A1">
        <w:rPr>
          <w:rFonts w:ascii="Verdana" w:hAnsi="Verdana"/>
          <w:color w:val="000000" w:themeColor="text1"/>
          <w:sz w:val="22"/>
          <w:szCs w:val="22"/>
        </w:rPr>
        <w:t xml:space="preserve">de esta topología </w:t>
      </w:r>
      <w:r>
        <w:rPr>
          <w:rFonts w:ascii="Verdana" w:hAnsi="Verdana"/>
          <w:color w:val="000000" w:themeColor="text1"/>
          <w:sz w:val="22"/>
          <w:szCs w:val="22"/>
        </w:rPr>
        <w:t>sobre el balance energético si se con</w:t>
      </w:r>
      <w:r w:rsidR="004652A1">
        <w:rPr>
          <w:rFonts w:ascii="Verdana" w:hAnsi="Verdana"/>
          <w:color w:val="000000" w:themeColor="text1"/>
          <w:sz w:val="22"/>
          <w:szCs w:val="22"/>
        </w:rPr>
        <w:t>templa</w:t>
      </w:r>
      <w:r>
        <w:rPr>
          <w:rFonts w:ascii="Verdana" w:hAnsi="Verdana"/>
          <w:color w:val="000000" w:themeColor="text1"/>
          <w:sz w:val="22"/>
          <w:szCs w:val="22"/>
        </w:rPr>
        <w:t xml:space="preserve"> el mantenimiento de la Planta de Regasificación-SPEC,</w:t>
      </w:r>
      <w:r w:rsidR="004652A1">
        <w:rPr>
          <w:rFonts w:ascii="Verdana" w:hAnsi="Verdana"/>
          <w:color w:val="000000" w:themeColor="text1"/>
          <w:sz w:val="22"/>
          <w:szCs w:val="22"/>
        </w:rPr>
        <w:t xml:space="preserve"> finalmente se aplazó dicho mantenimiento para el mes de diciembre del año en curso.</w:t>
      </w:r>
    </w:p>
    <w:p w14:paraId="72F17407" w14:textId="77777777" w:rsidR="00B32EC0" w:rsidRPr="00B32EC0" w:rsidRDefault="00B32EC0" w:rsidP="00B32EC0">
      <w:pPr>
        <w:pStyle w:val="Prrafodelista"/>
        <w:rPr>
          <w:rFonts w:ascii="Verdana" w:hAnsi="Verdana"/>
          <w:color w:val="000000" w:themeColor="text1"/>
          <w:sz w:val="22"/>
          <w:szCs w:val="22"/>
        </w:rPr>
      </w:pPr>
    </w:p>
    <w:p w14:paraId="4CBF49FD" w14:textId="7722787E" w:rsidR="00B32EC0" w:rsidRDefault="002D2FEC" w:rsidP="002D2FEC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En el Comité de Operación el CND presentó el e</w:t>
      </w:r>
      <w:r w:rsidR="00B32EC0">
        <w:rPr>
          <w:rFonts w:ascii="Verdana" w:hAnsi="Verdana"/>
          <w:color w:val="000000" w:themeColor="text1"/>
          <w:sz w:val="22"/>
          <w:szCs w:val="22"/>
        </w:rPr>
        <w:t xml:space="preserve">fecto de </w:t>
      </w:r>
      <w:r>
        <w:rPr>
          <w:rFonts w:ascii="Verdana" w:hAnsi="Verdana"/>
          <w:color w:val="000000" w:themeColor="text1"/>
          <w:sz w:val="22"/>
          <w:szCs w:val="22"/>
        </w:rPr>
        <w:t>algunas r</w:t>
      </w:r>
      <w:r w:rsidR="00B32EC0">
        <w:rPr>
          <w:rFonts w:ascii="Verdana" w:hAnsi="Verdana"/>
          <w:color w:val="000000" w:themeColor="text1"/>
          <w:sz w:val="22"/>
          <w:szCs w:val="22"/>
        </w:rPr>
        <w:t xml:space="preserve">econfiguraciones en </w:t>
      </w:r>
      <w:r>
        <w:rPr>
          <w:rFonts w:ascii="Verdana" w:hAnsi="Verdana"/>
          <w:color w:val="000000" w:themeColor="text1"/>
          <w:sz w:val="22"/>
          <w:szCs w:val="22"/>
        </w:rPr>
        <w:t xml:space="preserve">varias </w:t>
      </w:r>
      <w:r w:rsidR="00B32EC0">
        <w:rPr>
          <w:rFonts w:ascii="Verdana" w:hAnsi="Verdana"/>
          <w:color w:val="000000" w:themeColor="text1"/>
          <w:sz w:val="22"/>
          <w:szCs w:val="22"/>
        </w:rPr>
        <w:t xml:space="preserve">subestaciones </w:t>
      </w:r>
      <w:r>
        <w:rPr>
          <w:rFonts w:ascii="Verdana" w:hAnsi="Verdana"/>
          <w:color w:val="000000" w:themeColor="text1"/>
          <w:sz w:val="22"/>
          <w:szCs w:val="22"/>
        </w:rPr>
        <w:t xml:space="preserve">del STR </w:t>
      </w:r>
      <w:r w:rsidR="00FF6C89">
        <w:rPr>
          <w:rFonts w:ascii="Verdana" w:hAnsi="Verdana"/>
          <w:color w:val="000000" w:themeColor="text1"/>
          <w:sz w:val="22"/>
          <w:szCs w:val="22"/>
        </w:rPr>
        <w:t>de</w:t>
      </w:r>
      <w:r>
        <w:rPr>
          <w:rFonts w:ascii="Verdana" w:hAnsi="Verdana"/>
          <w:color w:val="000000" w:themeColor="text1"/>
          <w:sz w:val="22"/>
          <w:szCs w:val="22"/>
        </w:rPr>
        <w:t xml:space="preserve"> la subárea Valle, </w:t>
      </w:r>
      <w:r w:rsidR="00B32EC0" w:rsidRPr="002D2FEC">
        <w:rPr>
          <w:rFonts w:ascii="Verdana" w:hAnsi="Verdana"/>
          <w:color w:val="000000" w:themeColor="text1"/>
          <w:sz w:val="22"/>
          <w:szCs w:val="22"/>
        </w:rPr>
        <w:t xml:space="preserve">para reducir </w:t>
      </w:r>
      <w:r w:rsidR="00FF6C89">
        <w:rPr>
          <w:rFonts w:ascii="Verdana" w:hAnsi="Verdana"/>
          <w:color w:val="000000" w:themeColor="text1"/>
          <w:sz w:val="22"/>
          <w:szCs w:val="22"/>
        </w:rPr>
        <w:t>su</w:t>
      </w:r>
      <w:r w:rsidR="00B32EC0" w:rsidRPr="002D2FEC">
        <w:rPr>
          <w:rFonts w:ascii="Verdana" w:hAnsi="Verdana"/>
          <w:color w:val="000000" w:themeColor="text1"/>
          <w:sz w:val="22"/>
          <w:szCs w:val="22"/>
        </w:rPr>
        <w:t xml:space="preserve"> nivel de cortocircuito y </w:t>
      </w:r>
      <w:r w:rsidRPr="002D2FEC">
        <w:rPr>
          <w:rFonts w:ascii="Verdana" w:hAnsi="Verdana"/>
          <w:color w:val="000000" w:themeColor="text1"/>
          <w:sz w:val="22"/>
          <w:szCs w:val="22"/>
        </w:rPr>
        <w:t xml:space="preserve">permitir de esta forma la evacuación de toda </w:t>
      </w:r>
      <w:r w:rsidR="00FF6C89">
        <w:rPr>
          <w:rFonts w:ascii="Verdana" w:hAnsi="Verdana"/>
          <w:color w:val="000000" w:themeColor="text1"/>
          <w:sz w:val="22"/>
          <w:szCs w:val="22"/>
        </w:rPr>
        <w:t>su</w:t>
      </w:r>
      <w:r w:rsidRPr="002D2FEC">
        <w:rPr>
          <w:rFonts w:ascii="Verdana" w:hAnsi="Verdana"/>
          <w:color w:val="000000" w:themeColor="text1"/>
          <w:sz w:val="22"/>
          <w:szCs w:val="22"/>
        </w:rPr>
        <w:t xml:space="preserve"> generación. 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Si bien estas acciones permiten bajo condición normal de operación y ante contingencia sencilla la máxima generación de Termoemcali y Termovalle, se observa que para algunas indisponibilidades adicionales (mantenimientos o fallas), la flexibilidad operativa que brinda la red se podría reducir hasta </w:t>
      </w:r>
      <w:r w:rsidR="00F314D1">
        <w:rPr>
          <w:rFonts w:ascii="Verdana" w:hAnsi="Verdana"/>
          <w:color w:val="000000" w:themeColor="text1"/>
          <w:sz w:val="22"/>
          <w:szCs w:val="22"/>
        </w:rPr>
        <w:t>el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 90 %</w:t>
      </w:r>
      <w:r w:rsidR="00B32EC0" w:rsidRPr="002D2FEC">
        <w:rPr>
          <w:rFonts w:ascii="Verdana" w:hAnsi="Verdana"/>
          <w:color w:val="000000" w:themeColor="text1"/>
          <w:sz w:val="22"/>
          <w:szCs w:val="22"/>
        </w:rPr>
        <w:t>.</w:t>
      </w:r>
    </w:p>
    <w:p w14:paraId="633FF6C7" w14:textId="77777777" w:rsidR="00FF6C89" w:rsidRPr="00FF6C89" w:rsidRDefault="00FF6C89" w:rsidP="00FF6C89">
      <w:pPr>
        <w:pStyle w:val="Prrafodelista"/>
        <w:rPr>
          <w:rFonts w:ascii="Verdana" w:hAnsi="Verdana"/>
          <w:color w:val="000000" w:themeColor="text1"/>
          <w:sz w:val="22"/>
          <w:szCs w:val="22"/>
        </w:rPr>
      </w:pPr>
    </w:p>
    <w:p w14:paraId="17EC6734" w14:textId="586D9EA4" w:rsidR="00FF6C89" w:rsidRPr="002D2FEC" w:rsidRDefault="00225B17" w:rsidP="00FF6C89">
      <w:pPr>
        <w:pStyle w:val="Prrafodelista"/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T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eniendo en cuenta los niveles de cortocircuito actuales y futuros en varias subáreas del SIN, se definió analizar en el SAPE </w:t>
      </w:r>
      <w:r w:rsidR="00F314D1">
        <w:rPr>
          <w:rFonts w:ascii="Verdana" w:hAnsi="Verdana"/>
          <w:color w:val="000000" w:themeColor="text1"/>
          <w:sz w:val="22"/>
          <w:szCs w:val="22"/>
        </w:rPr>
        <w:t>las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 zonas del S</w:t>
      </w:r>
      <w:r w:rsidR="00F314D1">
        <w:rPr>
          <w:rFonts w:ascii="Verdana" w:hAnsi="Verdana"/>
          <w:color w:val="000000" w:themeColor="text1"/>
          <w:sz w:val="22"/>
          <w:szCs w:val="22"/>
        </w:rPr>
        <w:t>istema donde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 las reconfiguraciones topológicas podrían limitar el numeró de escenarios factibles de generación ante indisponibilidades superiores de orden N-K.</w:t>
      </w:r>
    </w:p>
    <w:p w14:paraId="5AE13FCC" w14:textId="77777777" w:rsidR="00B32EC0" w:rsidRPr="00FF6C89" w:rsidRDefault="00B32EC0" w:rsidP="00FF6C89">
      <w:pPr>
        <w:rPr>
          <w:rFonts w:ascii="Verdana" w:hAnsi="Verdana"/>
          <w:color w:val="000000" w:themeColor="text1"/>
          <w:sz w:val="22"/>
          <w:szCs w:val="22"/>
        </w:rPr>
      </w:pPr>
    </w:p>
    <w:p w14:paraId="32C4E0A6" w14:textId="1C3842C4" w:rsidR="002200A0" w:rsidRDefault="00FF6C89" w:rsidP="00831F43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Se convocó nuevamente</w:t>
      </w:r>
      <w:r w:rsidR="002200A0">
        <w:rPr>
          <w:rFonts w:ascii="Verdana" w:hAnsi="Verdana"/>
          <w:color w:val="000000" w:themeColor="text1"/>
          <w:sz w:val="22"/>
          <w:szCs w:val="22"/>
        </w:rPr>
        <w:t xml:space="preserve"> al grupo de seguimiento del área Oriental, considerando la fecha de puesta en operación de los proyectos de expansión de red a nivel del STN y STR. En dicha reunión los Operadores de Red y Transportadores mostraron el estado de avance de los proyectos, y el CND junto con la UPME presentaron la situación eléctrica de la subárea al 2024 sin las expansiones asociadas al proyecto Norte 500/230/115 kV y el corredor a nivel de 500 kV Virginia-Nueva Esperanza. Teniendo en cuenta los riesgos identificados, se llevará a cabo una nueva reunión del grupo para analizar detalladamente algunas medidas de mitigación, entre las cuales </w:t>
      </w:r>
      <w:r w:rsidR="00225B17">
        <w:rPr>
          <w:rFonts w:ascii="Verdana" w:hAnsi="Verdana"/>
          <w:color w:val="000000" w:themeColor="text1"/>
          <w:sz w:val="22"/>
          <w:szCs w:val="22"/>
        </w:rPr>
        <w:t xml:space="preserve">se </w:t>
      </w:r>
      <w:r w:rsidR="002200A0">
        <w:rPr>
          <w:rFonts w:ascii="Verdana" w:hAnsi="Verdana"/>
          <w:color w:val="000000" w:themeColor="text1"/>
          <w:sz w:val="22"/>
          <w:szCs w:val="22"/>
        </w:rPr>
        <w:t>destacan:</w:t>
      </w:r>
    </w:p>
    <w:p w14:paraId="65E11FEC" w14:textId="77777777" w:rsidR="002200A0" w:rsidRDefault="002200A0" w:rsidP="002200A0">
      <w:pPr>
        <w:pStyle w:val="Prrafodelista"/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29B221B" w14:textId="4EEFA19B" w:rsidR="002D2FD6" w:rsidRDefault="002200A0" w:rsidP="002D2FD6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Implementación de Esquemas Suplementarios Especiales</w:t>
      </w:r>
      <w:r w:rsidR="002D2FD6">
        <w:rPr>
          <w:rFonts w:ascii="Verdana" w:hAnsi="Verdana"/>
          <w:color w:val="000000" w:themeColor="text1"/>
          <w:sz w:val="22"/>
          <w:szCs w:val="22"/>
        </w:rPr>
        <w:t xml:space="preserve"> y o</w:t>
      </w:r>
      <w:r w:rsidR="002D2FD6" w:rsidRPr="002D2FD6">
        <w:rPr>
          <w:rFonts w:ascii="Verdana" w:hAnsi="Verdana"/>
          <w:color w:val="000000" w:themeColor="text1"/>
          <w:sz w:val="22"/>
          <w:szCs w:val="22"/>
        </w:rPr>
        <w:t>ptimización de los requerimientos de potencia reactiva del área.</w:t>
      </w:r>
    </w:p>
    <w:p w14:paraId="2CED5A2D" w14:textId="12217393" w:rsidR="002D2FD6" w:rsidRDefault="002D2FD6" w:rsidP="002D2FD6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Potencia localizada e instalación de dispositivos SAEB.</w:t>
      </w:r>
    </w:p>
    <w:p w14:paraId="17B45ED2" w14:textId="27DEE66B" w:rsidR="002D2FD6" w:rsidRPr="002D2FD6" w:rsidRDefault="002D2FD6" w:rsidP="002D2FD6">
      <w:pPr>
        <w:pStyle w:val="Prrafodelista"/>
        <w:numPr>
          <w:ilvl w:val="0"/>
          <w:numId w:val="34"/>
        </w:num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Repotenciación de la infraestructura a nivel de 230 kV y uso de superconductores de alta temperatura.</w:t>
      </w:r>
    </w:p>
    <w:p w14:paraId="4670458F" w14:textId="5E360A50" w:rsidR="00FF6C89" w:rsidRPr="00FF6C89" w:rsidRDefault="002D2FD6" w:rsidP="00FF6C89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En el </w:t>
      </w:r>
      <w:r w:rsidR="00FF6C89">
        <w:rPr>
          <w:rFonts w:ascii="Verdana" w:hAnsi="Verdana"/>
          <w:color w:val="000000" w:themeColor="text1"/>
          <w:sz w:val="22"/>
          <w:szCs w:val="22"/>
        </w:rPr>
        <w:t xml:space="preserve">Comité de Transmisión </w:t>
      </w:r>
      <w:r w:rsidR="0026412D">
        <w:rPr>
          <w:rFonts w:ascii="Verdana" w:hAnsi="Verdana"/>
          <w:color w:val="000000" w:themeColor="text1"/>
          <w:sz w:val="22"/>
          <w:szCs w:val="22"/>
        </w:rPr>
        <w:t>e</w:t>
      </w:r>
      <w:r>
        <w:rPr>
          <w:rFonts w:ascii="Verdana" w:hAnsi="Verdana"/>
          <w:color w:val="000000" w:themeColor="text1"/>
          <w:sz w:val="22"/>
          <w:szCs w:val="22"/>
        </w:rPr>
        <w:t>l Grupo de Energía de Bogotá</w:t>
      </w:r>
      <w:r w:rsidR="005E3BC6">
        <w:rPr>
          <w:rFonts w:ascii="Verdana" w:hAnsi="Verdana"/>
          <w:color w:val="000000" w:themeColor="text1"/>
          <w:sz w:val="22"/>
          <w:szCs w:val="22"/>
        </w:rPr>
        <w:t>-GEB</w:t>
      </w:r>
      <w:r>
        <w:rPr>
          <w:rFonts w:ascii="Verdana" w:hAnsi="Verdana"/>
          <w:color w:val="000000" w:themeColor="text1"/>
          <w:sz w:val="22"/>
          <w:szCs w:val="22"/>
        </w:rPr>
        <w:t xml:space="preserve"> plante</w:t>
      </w:r>
      <w:r w:rsidR="0026412D">
        <w:rPr>
          <w:rFonts w:ascii="Verdana" w:hAnsi="Verdana"/>
          <w:color w:val="000000" w:themeColor="text1"/>
          <w:sz w:val="22"/>
          <w:szCs w:val="22"/>
        </w:rPr>
        <w:t>ó</w:t>
      </w:r>
      <w:r>
        <w:rPr>
          <w:rFonts w:ascii="Verdana" w:hAnsi="Verdana"/>
          <w:color w:val="000000" w:themeColor="text1"/>
          <w:sz w:val="22"/>
          <w:szCs w:val="22"/>
        </w:rPr>
        <w:t xml:space="preserve"> varias alternativas para la atención de la demanda del Putumayo (Junín) con la puesta en servicio de la Subestación Renacer 230 kV</w:t>
      </w:r>
      <w:r w:rsidR="00FF6C89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 xml:space="preserve"> Entre las opciones analizadas, GEB recomendó la conexión </w:t>
      </w:r>
      <w:r w:rsidR="00F314D1">
        <w:rPr>
          <w:rFonts w:ascii="Verdana" w:hAnsi="Verdana"/>
          <w:color w:val="000000" w:themeColor="text1"/>
          <w:sz w:val="22"/>
          <w:szCs w:val="22"/>
        </w:rPr>
        <w:t>tipo</w:t>
      </w:r>
      <w:r>
        <w:rPr>
          <w:rFonts w:ascii="Verdana" w:hAnsi="Verdana"/>
          <w:color w:val="000000" w:themeColor="text1"/>
          <w:sz w:val="22"/>
          <w:szCs w:val="22"/>
        </w:rPr>
        <w:t xml:space="preserve"> T de Junín a</w:t>
      </w:r>
      <w:r w:rsidR="0026412D">
        <w:rPr>
          <w:rFonts w:ascii="Verdana" w:hAnsi="Verdana"/>
          <w:color w:val="000000" w:themeColor="text1"/>
          <w:sz w:val="22"/>
          <w:szCs w:val="22"/>
        </w:rPr>
        <w:t xml:space="preserve">l </w:t>
      </w:r>
      <w:r w:rsidR="0026412D">
        <w:rPr>
          <w:rFonts w:ascii="Verdana" w:hAnsi="Verdana"/>
          <w:color w:val="000000" w:themeColor="text1"/>
          <w:sz w:val="22"/>
          <w:szCs w:val="22"/>
        </w:rPr>
        <w:lastRenderedPageBreak/>
        <w:t>enlace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26412D">
        <w:rPr>
          <w:rFonts w:ascii="Verdana" w:hAnsi="Verdana"/>
          <w:color w:val="000000" w:themeColor="text1"/>
          <w:sz w:val="22"/>
          <w:szCs w:val="22"/>
        </w:rPr>
        <w:t xml:space="preserve">Jamondino-Renacer 230 kV. Al respecto, el </w:t>
      </w:r>
      <w:r w:rsidR="00F314D1">
        <w:rPr>
          <w:rFonts w:ascii="Verdana" w:hAnsi="Verdana"/>
          <w:color w:val="000000" w:themeColor="text1"/>
          <w:sz w:val="22"/>
          <w:szCs w:val="22"/>
        </w:rPr>
        <w:t xml:space="preserve">CND indicó </w:t>
      </w:r>
      <w:r w:rsidR="00E71A35">
        <w:rPr>
          <w:rFonts w:ascii="Verdana" w:hAnsi="Verdana"/>
          <w:color w:val="000000" w:themeColor="text1"/>
          <w:sz w:val="22"/>
          <w:szCs w:val="22"/>
        </w:rPr>
        <w:t>que,</w:t>
      </w:r>
      <w:r w:rsidR="00225B17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314D1">
        <w:rPr>
          <w:rFonts w:ascii="Verdana" w:hAnsi="Verdana"/>
          <w:color w:val="000000" w:themeColor="text1"/>
          <w:sz w:val="22"/>
          <w:szCs w:val="22"/>
        </w:rPr>
        <w:t xml:space="preserve">desde el punto de vista del intercambio con Ecuador, no se incrementan ni se disminuyen los limites de importación y exportación, sin </w:t>
      </w:r>
      <w:r w:rsidR="00E71A35">
        <w:rPr>
          <w:rFonts w:ascii="Verdana" w:hAnsi="Verdana"/>
          <w:color w:val="000000" w:themeColor="text1"/>
          <w:sz w:val="22"/>
          <w:szCs w:val="22"/>
        </w:rPr>
        <w:t>embargo,</w:t>
      </w:r>
      <w:r w:rsidR="00F314D1">
        <w:rPr>
          <w:rFonts w:ascii="Verdana" w:hAnsi="Verdana"/>
          <w:color w:val="000000" w:themeColor="text1"/>
          <w:sz w:val="22"/>
          <w:szCs w:val="22"/>
        </w:rPr>
        <w:t xml:space="preserve"> se tiene un mejor perfil de tensiones en el área Suroccidental. No obstante, el CNO recordó que la Resolución CREG 060 de 2019 prohibió las conexiones tipo T y recomendó analizar el mejoramiento o deterioro de la confiabilidad para Junín para la alternativa propuesta.</w:t>
      </w:r>
    </w:p>
    <w:p w14:paraId="3B007AE1" w14:textId="77777777" w:rsidR="00FF6C89" w:rsidRPr="00811C44" w:rsidRDefault="00FF6C89" w:rsidP="00811C44">
      <w:pPr>
        <w:pStyle w:val="Prrafodelista"/>
        <w:ind w:left="36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8B8A975" w14:textId="29D498A6" w:rsidR="00831F43" w:rsidRPr="00831F43" w:rsidRDefault="00831F43" w:rsidP="00831F43">
      <w:pPr>
        <w:pStyle w:val="Prrafodelista"/>
        <w:numPr>
          <w:ilvl w:val="0"/>
          <w:numId w:val="31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831F43">
        <w:rPr>
          <w:rFonts w:ascii="Verdana" w:hAnsi="Verdana"/>
          <w:bCs/>
          <w:color w:val="000000" w:themeColor="text1"/>
          <w:sz w:val="22"/>
          <w:szCs w:val="22"/>
        </w:rPr>
        <w:t xml:space="preserve">Se publicó la Circular 60 dirigida a los Operadores de Red, donde </w:t>
      </w:r>
      <w:r w:rsidRPr="00831F43">
        <w:rPr>
          <w:rFonts w:ascii="Verdana" w:hAnsi="Verdana"/>
          <w:color w:val="000000" w:themeColor="text1"/>
          <w:sz w:val="22"/>
          <w:szCs w:val="22"/>
        </w:rPr>
        <w:t>se recuerda dar cumplimiento a los numerales del Acuerdo 1303</w:t>
      </w:r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Pr="00831F43">
        <w:rPr>
          <w:rFonts w:ascii="Verdana" w:hAnsi="Verdana"/>
          <w:color w:val="000000" w:themeColor="text1"/>
          <w:sz w:val="22"/>
          <w:szCs w:val="22"/>
        </w:rPr>
        <w:t xml:space="preserve">sobre </w:t>
      </w:r>
      <w:r>
        <w:rPr>
          <w:rFonts w:ascii="Verdana" w:hAnsi="Verdana"/>
          <w:color w:val="000000" w:themeColor="text1"/>
          <w:sz w:val="22"/>
          <w:szCs w:val="22"/>
        </w:rPr>
        <w:t xml:space="preserve">el </w:t>
      </w:r>
      <w:r w:rsidRPr="00831F43">
        <w:rPr>
          <w:rFonts w:ascii="Verdana" w:hAnsi="Verdana"/>
          <w:color w:val="000000" w:themeColor="text1"/>
          <w:sz w:val="22"/>
          <w:szCs w:val="22"/>
        </w:rPr>
        <w:t>reporte de la demanda de potencia de todos los periodos del día</w:t>
      </w:r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Pr="00831F43">
        <w:rPr>
          <w:rFonts w:ascii="Verdana" w:hAnsi="Verdana"/>
          <w:color w:val="000000" w:themeColor="text1"/>
          <w:sz w:val="22"/>
          <w:szCs w:val="22"/>
        </w:rPr>
        <w:t>a más tardar al tercer día calendario posterior a la operación.</w:t>
      </w:r>
    </w:p>
    <w:p w14:paraId="30A01BCC" w14:textId="77777777" w:rsidR="00831F43" w:rsidRPr="00831F43" w:rsidRDefault="00831F43" w:rsidP="00831F43">
      <w:pPr>
        <w:shd w:val="clear" w:color="auto" w:fill="FFFFFF"/>
        <w:spacing w:after="24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0A6D6A2A" w14:textId="74EDA0C2" w:rsidR="00A91586" w:rsidRDefault="00A91586" w:rsidP="00A91586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B3D19F4" w14:textId="77777777" w:rsidR="00A91586" w:rsidRPr="00A91586" w:rsidRDefault="00A91586" w:rsidP="00A91586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0596B79" w14:textId="017CA4A1" w:rsidR="00003D40" w:rsidRDefault="00003D40" w:rsidP="00003D40">
      <w:pPr>
        <w:pStyle w:val="Prrafodelista"/>
        <w:ind w:left="72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403C2F48" w14:textId="5FEEA5C3" w:rsidR="00826338" w:rsidRDefault="00826338" w:rsidP="00826338">
      <w:pPr>
        <w:pStyle w:val="Prrafodelista"/>
        <w:ind w:left="720"/>
        <w:jc w:val="both"/>
        <w:rPr>
          <w:rFonts w:ascii="Verdana" w:hAnsi="Verdana"/>
          <w:bCs/>
          <w:sz w:val="22"/>
          <w:szCs w:val="22"/>
        </w:rPr>
      </w:pPr>
    </w:p>
    <w:p w14:paraId="05182908" w14:textId="0F8D7131" w:rsidR="00820DF3" w:rsidRPr="005976AD" w:rsidRDefault="00826338" w:rsidP="00826338">
      <w:pPr>
        <w:pStyle w:val="Prrafodelista"/>
        <w:ind w:left="72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="005D2E4A">
        <w:rPr>
          <w:rFonts w:ascii="Verdana" w:hAnsi="Verdana"/>
          <w:bCs/>
          <w:sz w:val="22"/>
          <w:szCs w:val="22"/>
        </w:rPr>
        <w:t xml:space="preserve"> </w:t>
      </w:r>
      <w:r w:rsidR="00BC2A2E">
        <w:rPr>
          <w:rFonts w:ascii="Verdana" w:hAnsi="Verdana"/>
          <w:bCs/>
          <w:sz w:val="22"/>
          <w:szCs w:val="22"/>
        </w:rPr>
        <w:t xml:space="preserve">      </w:t>
      </w:r>
      <w:r w:rsidR="005976AD">
        <w:rPr>
          <w:rFonts w:ascii="Verdana" w:hAnsi="Verdana"/>
          <w:bCs/>
          <w:sz w:val="22"/>
          <w:szCs w:val="22"/>
        </w:rPr>
        <w:t xml:space="preserve">  </w:t>
      </w:r>
    </w:p>
    <w:sectPr w:rsidR="00820DF3" w:rsidRPr="005976AD">
      <w:headerReference w:type="default" r:id="rId8"/>
      <w:footerReference w:type="default" r:id="rId9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EBD7A" w14:textId="77777777" w:rsidR="00665C00" w:rsidRDefault="00665C00">
      <w:r>
        <w:separator/>
      </w:r>
    </w:p>
  </w:endnote>
  <w:endnote w:type="continuationSeparator" w:id="0">
    <w:p w14:paraId="214814EC" w14:textId="77777777" w:rsidR="00665C00" w:rsidRDefault="0066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 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6705" w14:textId="1A3C4758" w:rsidR="0067737C" w:rsidRPr="00AE4128" w:rsidRDefault="00677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</w:rPr>
    </w:pPr>
    <w:r w:rsidRPr="00AE4128">
      <w:rPr>
        <w:rFonts w:ascii="Verdana" w:eastAsia="Verdana" w:hAnsi="Verdana" w:cs="Verdana"/>
        <w:color w:val="000000"/>
        <w:sz w:val="16"/>
        <w:szCs w:val="16"/>
      </w:rPr>
      <w:t>Informe CNO 6</w:t>
    </w:r>
    <w:r w:rsidR="00F92CCE">
      <w:rPr>
        <w:rFonts w:ascii="Verdana" w:eastAsia="Verdana" w:hAnsi="Verdana" w:cs="Verdana"/>
        <w:color w:val="000000"/>
        <w:sz w:val="16"/>
        <w:szCs w:val="16"/>
      </w:rPr>
      <w:t>1</w:t>
    </w:r>
    <w:r w:rsidR="00E9547F">
      <w:rPr>
        <w:rFonts w:ascii="Verdana" w:eastAsia="Verdana" w:hAnsi="Verdana" w:cs="Verdana"/>
        <w:color w:val="0000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16638" w14:textId="77777777" w:rsidR="00665C00" w:rsidRDefault="00665C00">
      <w:r>
        <w:separator/>
      </w:r>
    </w:p>
  </w:footnote>
  <w:footnote w:type="continuationSeparator" w:id="0">
    <w:p w14:paraId="2BDB5AB0" w14:textId="77777777" w:rsidR="00665C00" w:rsidRDefault="0066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74407" w14:textId="77777777" w:rsidR="0067737C" w:rsidRDefault="006773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</w:p>
  <w:p w14:paraId="35C99D28" w14:textId="77777777" w:rsidR="0067737C" w:rsidRDefault="006773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b/>
        <w:color w:val="000000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22EB6C" wp14:editId="39AE63E1">
          <wp:simplePos x="0" y="0"/>
          <wp:positionH relativeFrom="column">
            <wp:posOffset>2011679</wp:posOffset>
          </wp:positionH>
          <wp:positionV relativeFrom="paragraph">
            <wp:posOffset>-445134</wp:posOffset>
          </wp:positionV>
          <wp:extent cx="1827530" cy="695325"/>
          <wp:effectExtent l="0" t="0" r="0" b="0"/>
          <wp:wrapSquare wrapText="bothSides" distT="0" distB="0" distL="114300" distR="114300"/>
          <wp:docPr id="5" name="image1.png" descr="cid:image002.jpg@01D3D593.164EAD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d:image002.jpg@01D3D593.164EAD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753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31C7"/>
    <w:multiLevelType w:val="hybridMultilevel"/>
    <w:tmpl w:val="D58AC75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79D"/>
    <w:multiLevelType w:val="hybridMultilevel"/>
    <w:tmpl w:val="A1A26F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54ACC"/>
    <w:multiLevelType w:val="multilevel"/>
    <w:tmpl w:val="4FE0C44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A4206"/>
    <w:multiLevelType w:val="hybridMultilevel"/>
    <w:tmpl w:val="3B242A4C"/>
    <w:lvl w:ilvl="0" w:tplc="2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1DA878FE"/>
    <w:multiLevelType w:val="hybridMultilevel"/>
    <w:tmpl w:val="B20AC4E8"/>
    <w:lvl w:ilvl="0" w:tplc="9BA8EC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10331"/>
    <w:multiLevelType w:val="hybridMultilevel"/>
    <w:tmpl w:val="F1C255B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0724"/>
    <w:multiLevelType w:val="hybridMultilevel"/>
    <w:tmpl w:val="C1B249C2"/>
    <w:lvl w:ilvl="0" w:tplc="CC7C6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72AF"/>
    <w:multiLevelType w:val="hybridMultilevel"/>
    <w:tmpl w:val="D2467BA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1A06"/>
    <w:multiLevelType w:val="hybridMultilevel"/>
    <w:tmpl w:val="FF8076A8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97D63"/>
    <w:multiLevelType w:val="hybridMultilevel"/>
    <w:tmpl w:val="2FAA0008"/>
    <w:lvl w:ilvl="0" w:tplc="916666C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57D83"/>
    <w:multiLevelType w:val="hybridMultilevel"/>
    <w:tmpl w:val="BDB2E8C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E3133"/>
    <w:multiLevelType w:val="hybridMultilevel"/>
    <w:tmpl w:val="493269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0B8B"/>
    <w:multiLevelType w:val="hybridMultilevel"/>
    <w:tmpl w:val="2C12052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77CD0"/>
    <w:multiLevelType w:val="hybridMultilevel"/>
    <w:tmpl w:val="F0D23BC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0BD5"/>
    <w:multiLevelType w:val="multilevel"/>
    <w:tmpl w:val="5516AA4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pStyle w:val="Nivel2"/>
      <w:lvlText w:val="%2."/>
      <w:lvlJc w:val="left"/>
      <w:pPr>
        <w:ind w:left="1080" w:hanging="360"/>
      </w:pPr>
    </w:lvl>
    <w:lvl w:ilvl="2">
      <w:start w:val="1"/>
      <w:numFmt w:val="lowerRoman"/>
      <w:pStyle w:val="Nivel3"/>
      <w:lvlText w:val="%3."/>
      <w:lvlJc w:val="right"/>
      <w:pPr>
        <w:ind w:left="1800" w:hanging="180"/>
      </w:pPr>
    </w:lvl>
    <w:lvl w:ilvl="3">
      <w:start w:val="1"/>
      <w:numFmt w:val="decimal"/>
      <w:pStyle w:val="Nivel4"/>
      <w:lvlText w:val="%4."/>
      <w:lvlJc w:val="left"/>
      <w:pPr>
        <w:ind w:left="2520" w:hanging="360"/>
      </w:pPr>
    </w:lvl>
    <w:lvl w:ilvl="4">
      <w:start w:val="1"/>
      <w:numFmt w:val="lowerLetter"/>
      <w:pStyle w:val="Nivel5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42378"/>
    <w:multiLevelType w:val="hybridMultilevel"/>
    <w:tmpl w:val="25405676"/>
    <w:lvl w:ilvl="0" w:tplc="50D8BD1A">
      <w:start w:val="1"/>
      <w:numFmt w:val="decimal"/>
      <w:lvlText w:val="%1."/>
      <w:lvlJc w:val="left"/>
      <w:pPr>
        <w:ind w:left="720" w:hanging="720"/>
      </w:pPr>
      <w:rPr>
        <w:rFonts w:ascii="Verdana" w:eastAsia="Verdana" w:hAnsi="Verdana" w:cs="Verdana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929B1"/>
    <w:multiLevelType w:val="hybridMultilevel"/>
    <w:tmpl w:val="2FF087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0AF"/>
    <w:multiLevelType w:val="hybridMultilevel"/>
    <w:tmpl w:val="4ACCE24A"/>
    <w:lvl w:ilvl="0" w:tplc="46B601B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0934"/>
    <w:multiLevelType w:val="hybridMultilevel"/>
    <w:tmpl w:val="DB864B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146CE"/>
    <w:multiLevelType w:val="hybridMultilevel"/>
    <w:tmpl w:val="7FA090B0"/>
    <w:lvl w:ilvl="0" w:tplc="FA4CF5C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004BC"/>
    <w:multiLevelType w:val="hybridMultilevel"/>
    <w:tmpl w:val="6254973A"/>
    <w:lvl w:ilvl="0" w:tplc="681C8F5C">
      <w:start w:val="1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06680"/>
    <w:multiLevelType w:val="hybridMultilevel"/>
    <w:tmpl w:val="2FB2385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B04626"/>
    <w:multiLevelType w:val="hybridMultilevel"/>
    <w:tmpl w:val="C316D2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B3C72"/>
    <w:multiLevelType w:val="hybridMultilevel"/>
    <w:tmpl w:val="3926AE52"/>
    <w:lvl w:ilvl="0" w:tplc="24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73A65"/>
    <w:multiLevelType w:val="hybridMultilevel"/>
    <w:tmpl w:val="CF6051C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9493C"/>
    <w:multiLevelType w:val="multilevel"/>
    <w:tmpl w:val="AAC0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0F12340"/>
    <w:multiLevelType w:val="hybridMultilevel"/>
    <w:tmpl w:val="25C2D82A"/>
    <w:lvl w:ilvl="0" w:tplc="240A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7" w15:restartNumberingAfterBreak="0">
    <w:nsid w:val="784E0DD5"/>
    <w:multiLevelType w:val="hybridMultilevel"/>
    <w:tmpl w:val="1D1283A2"/>
    <w:lvl w:ilvl="0" w:tplc="E0A6D62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A37CF"/>
    <w:multiLevelType w:val="hybridMultilevel"/>
    <w:tmpl w:val="91223B74"/>
    <w:lvl w:ilvl="0" w:tplc="240A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9" w15:restartNumberingAfterBreak="0">
    <w:nsid w:val="7B302166"/>
    <w:multiLevelType w:val="hybridMultilevel"/>
    <w:tmpl w:val="0276D91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55A22"/>
    <w:multiLevelType w:val="hybridMultilevel"/>
    <w:tmpl w:val="1CF2F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26"/>
  </w:num>
  <w:num w:numId="11">
    <w:abstractNumId w:val="29"/>
  </w:num>
  <w:num w:numId="12">
    <w:abstractNumId w:val="7"/>
  </w:num>
  <w:num w:numId="13">
    <w:abstractNumId w:val="16"/>
  </w:num>
  <w:num w:numId="14">
    <w:abstractNumId w:val="20"/>
  </w:num>
  <w:num w:numId="15">
    <w:abstractNumId w:val="1"/>
  </w:num>
  <w:num w:numId="16">
    <w:abstractNumId w:val="2"/>
  </w:num>
  <w:num w:numId="17">
    <w:abstractNumId w:val="0"/>
  </w:num>
  <w:num w:numId="18">
    <w:abstractNumId w:val="5"/>
  </w:num>
  <w:num w:numId="19">
    <w:abstractNumId w:val="17"/>
  </w:num>
  <w:num w:numId="20">
    <w:abstractNumId w:val="19"/>
  </w:num>
  <w:num w:numId="21">
    <w:abstractNumId w:val="15"/>
  </w:num>
  <w:num w:numId="22">
    <w:abstractNumId w:val="8"/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3"/>
  </w:num>
  <w:num w:numId="27">
    <w:abstractNumId w:val="30"/>
  </w:num>
  <w:num w:numId="28">
    <w:abstractNumId w:val="23"/>
  </w:num>
  <w:num w:numId="29">
    <w:abstractNumId w:val="3"/>
  </w:num>
  <w:num w:numId="30">
    <w:abstractNumId w:val="28"/>
  </w:num>
  <w:num w:numId="31">
    <w:abstractNumId w:val="6"/>
  </w:num>
  <w:num w:numId="32">
    <w:abstractNumId w:val="21"/>
  </w:num>
  <w:num w:numId="33">
    <w:abstractNumId w:val="22"/>
  </w:num>
  <w:num w:numId="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83"/>
    <w:rsid w:val="000015C1"/>
    <w:rsid w:val="00001D7F"/>
    <w:rsid w:val="000025BE"/>
    <w:rsid w:val="00003D40"/>
    <w:rsid w:val="00006C18"/>
    <w:rsid w:val="00007307"/>
    <w:rsid w:val="00016F5E"/>
    <w:rsid w:val="00020762"/>
    <w:rsid w:val="0002100F"/>
    <w:rsid w:val="00024171"/>
    <w:rsid w:val="00024740"/>
    <w:rsid w:val="000378FB"/>
    <w:rsid w:val="0004076A"/>
    <w:rsid w:val="00040CA2"/>
    <w:rsid w:val="0004170E"/>
    <w:rsid w:val="000507CA"/>
    <w:rsid w:val="00051257"/>
    <w:rsid w:val="00051482"/>
    <w:rsid w:val="00052450"/>
    <w:rsid w:val="00072642"/>
    <w:rsid w:val="00072CB8"/>
    <w:rsid w:val="000742F8"/>
    <w:rsid w:val="00075B3F"/>
    <w:rsid w:val="00076B3C"/>
    <w:rsid w:val="00080889"/>
    <w:rsid w:val="0008210D"/>
    <w:rsid w:val="0008226B"/>
    <w:rsid w:val="00084002"/>
    <w:rsid w:val="0008742F"/>
    <w:rsid w:val="00092041"/>
    <w:rsid w:val="000958F0"/>
    <w:rsid w:val="00097077"/>
    <w:rsid w:val="000970DA"/>
    <w:rsid w:val="000A2032"/>
    <w:rsid w:val="000A27B6"/>
    <w:rsid w:val="000A2C2A"/>
    <w:rsid w:val="000A459F"/>
    <w:rsid w:val="000B039D"/>
    <w:rsid w:val="000C2ED4"/>
    <w:rsid w:val="000C35D9"/>
    <w:rsid w:val="000C5A39"/>
    <w:rsid w:val="000D0278"/>
    <w:rsid w:val="000D0FE5"/>
    <w:rsid w:val="000D12E1"/>
    <w:rsid w:val="000D2F11"/>
    <w:rsid w:val="000E24EB"/>
    <w:rsid w:val="000F099A"/>
    <w:rsid w:val="000F403F"/>
    <w:rsid w:val="000F525F"/>
    <w:rsid w:val="000F7AB8"/>
    <w:rsid w:val="000F7D73"/>
    <w:rsid w:val="001113E5"/>
    <w:rsid w:val="001116E9"/>
    <w:rsid w:val="0011288E"/>
    <w:rsid w:val="00112C06"/>
    <w:rsid w:val="001208BF"/>
    <w:rsid w:val="00122CB9"/>
    <w:rsid w:val="0012350D"/>
    <w:rsid w:val="00123AA8"/>
    <w:rsid w:val="00124416"/>
    <w:rsid w:val="001313A0"/>
    <w:rsid w:val="001375A7"/>
    <w:rsid w:val="00137792"/>
    <w:rsid w:val="00137C47"/>
    <w:rsid w:val="0014233E"/>
    <w:rsid w:val="001427A3"/>
    <w:rsid w:val="00142CB9"/>
    <w:rsid w:val="0014580B"/>
    <w:rsid w:val="00150974"/>
    <w:rsid w:val="00164CCA"/>
    <w:rsid w:val="00171D43"/>
    <w:rsid w:val="00175A38"/>
    <w:rsid w:val="00184F68"/>
    <w:rsid w:val="00184F80"/>
    <w:rsid w:val="00185CE1"/>
    <w:rsid w:val="001939BB"/>
    <w:rsid w:val="00194C37"/>
    <w:rsid w:val="0019552B"/>
    <w:rsid w:val="001A59B0"/>
    <w:rsid w:val="001B0466"/>
    <w:rsid w:val="001B528C"/>
    <w:rsid w:val="001B5848"/>
    <w:rsid w:val="001B655C"/>
    <w:rsid w:val="001B6888"/>
    <w:rsid w:val="001C10B9"/>
    <w:rsid w:val="001C2C40"/>
    <w:rsid w:val="001C4065"/>
    <w:rsid w:val="001C4A97"/>
    <w:rsid w:val="001C50E6"/>
    <w:rsid w:val="001D01B2"/>
    <w:rsid w:val="001D1DF8"/>
    <w:rsid w:val="001D21E7"/>
    <w:rsid w:val="001D3366"/>
    <w:rsid w:val="001E36F0"/>
    <w:rsid w:val="001E75B0"/>
    <w:rsid w:val="001F0127"/>
    <w:rsid w:val="001F2A0A"/>
    <w:rsid w:val="001F2DDB"/>
    <w:rsid w:val="001F7F53"/>
    <w:rsid w:val="0020013A"/>
    <w:rsid w:val="00200562"/>
    <w:rsid w:val="00201D31"/>
    <w:rsid w:val="00203036"/>
    <w:rsid w:val="002049AE"/>
    <w:rsid w:val="0020693D"/>
    <w:rsid w:val="0021167D"/>
    <w:rsid w:val="00213180"/>
    <w:rsid w:val="002157DF"/>
    <w:rsid w:val="00217887"/>
    <w:rsid w:val="002200A0"/>
    <w:rsid w:val="00220CFF"/>
    <w:rsid w:val="0022132E"/>
    <w:rsid w:val="0022257E"/>
    <w:rsid w:val="00223CA5"/>
    <w:rsid w:val="00225B17"/>
    <w:rsid w:val="00225D8B"/>
    <w:rsid w:val="0023663C"/>
    <w:rsid w:val="00246608"/>
    <w:rsid w:val="0025017B"/>
    <w:rsid w:val="0025028F"/>
    <w:rsid w:val="00251A8B"/>
    <w:rsid w:val="002537BC"/>
    <w:rsid w:val="00256FEC"/>
    <w:rsid w:val="00257C13"/>
    <w:rsid w:val="002600C9"/>
    <w:rsid w:val="00260892"/>
    <w:rsid w:val="0026220B"/>
    <w:rsid w:val="00262AAF"/>
    <w:rsid w:val="0026412D"/>
    <w:rsid w:val="002651C8"/>
    <w:rsid w:val="002655EC"/>
    <w:rsid w:val="00267C1D"/>
    <w:rsid w:val="002703C3"/>
    <w:rsid w:val="00273423"/>
    <w:rsid w:val="00275415"/>
    <w:rsid w:val="002758D8"/>
    <w:rsid w:val="00280F9A"/>
    <w:rsid w:val="00282C44"/>
    <w:rsid w:val="002906DE"/>
    <w:rsid w:val="00292DBE"/>
    <w:rsid w:val="002A139B"/>
    <w:rsid w:val="002A4CED"/>
    <w:rsid w:val="002B0B29"/>
    <w:rsid w:val="002B4A9E"/>
    <w:rsid w:val="002C23F3"/>
    <w:rsid w:val="002C4C15"/>
    <w:rsid w:val="002C55F3"/>
    <w:rsid w:val="002C66AB"/>
    <w:rsid w:val="002D2FD6"/>
    <w:rsid w:val="002D2FEC"/>
    <w:rsid w:val="002E67EE"/>
    <w:rsid w:val="002F48AD"/>
    <w:rsid w:val="002F6519"/>
    <w:rsid w:val="00303520"/>
    <w:rsid w:val="00305BB3"/>
    <w:rsid w:val="00307A0C"/>
    <w:rsid w:val="00313043"/>
    <w:rsid w:val="00314DA5"/>
    <w:rsid w:val="00314FC9"/>
    <w:rsid w:val="00316A82"/>
    <w:rsid w:val="003202B4"/>
    <w:rsid w:val="00321268"/>
    <w:rsid w:val="00321A94"/>
    <w:rsid w:val="00322A99"/>
    <w:rsid w:val="00323968"/>
    <w:rsid w:val="00326F04"/>
    <w:rsid w:val="00327EE9"/>
    <w:rsid w:val="00332075"/>
    <w:rsid w:val="00335915"/>
    <w:rsid w:val="00340C3C"/>
    <w:rsid w:val="0034727B"/>
    <w:rsid w:val="00350364"/>
    <w:rsid w:val="00355717"/>
    <w:rsid w:val="003561F1"/>
    <w:rsid w:val="003611EF"/>
    <w:rsid w:val="0036314B"/>
    <w:rsid w:val="003639CF"/>
    <w:rsid w:val="00366091"/>
    <w:rsid w:val="003740A7"/>
    <w:rsid w:val="00375F83"/>
    <w:rsid w:val="00381BE0"/>
    <w:rsid w:val="00384434"/>
    <w:rsid w:val="0038624D"/>
    <w:rsid w:val="00387DDA"/>
    <w:rsid w:val="0039082B"/>
    <w:rsid w:val="00394C9F"/>
    <w:rsid w:val="0039784B"/>
    <w:rsid w:val="003A0094"/>
    <w:rsid w:val="003A093D"/>
    <w:rsid w:val="003A7EEB"/>
    <w:rsid w:val="003B499D"/>
    <w:rsid w:val="003B4ED7"/>
    <w:rsid w:val="003B759E"/>
    <w:rsid w:val="003B7E66"/>
    <w:rsid w:val="003C3859"/>
    <w:rsid w:val="003C70F6"/>
    <w:rsid w:val="003D234B"/>
    <w:rsid w:val="003D61F5"/>
    <w:rsid w:val="003D7626"/>
    <w:rsid w:val="003E0186"/>
    <w:rsid w:val="003E2065"/>
    <w:rsid w:val="003E2D64"/>
    <w:rsid w:val="003E7004"/>
    <w:rsid w:val="003F28E4"/>
    <w:rsid w:val="003F5C6F"/>
    <w:rsid w:val="003F5C95"/>
    <w:rsid w:val="003F7758"/>
    <w:rsid w:val="0040158E"/>
    <w:rsid w:val="004020EB"/>
    <w:rsid w:val="00402555"/>
    <w:rsid w:val="00405022"/>
    <w:rsid w:val="0041139D"/>
    <w:rsid w:val="00412969"/>
    <w:rsid w:val="00412FC8"/>
    <w:rsid w:val="00414024"/>
    <w:rsid w:val="00414DDF"/>
    <w:rsid w:val="004156BC"/>
    <w:rsid w:val="00421ABA"/>
    <w:rsid w:val="0043199B"/>
    <w:rsid w:val="0044159B"/>
    <w:rsid w:val="004418FE"/>
    <w:rsid w:val="00442F08"/>
    <w:rsid w:val="004475E8"/>
    <w:rsid w:val="00450862"/>
    <w:rsid w:val="004548C0"/>
    <w:rsid w:val="00460EAE"/>
    <w:rsid w:val="00462EA8"/>
    <w:rsid w:val="004637E1"/>
    <w:rsid w:val="004652A1"/>
    <w:rsid w:val="00466B8F"/>
    <w:rsid w:val="00466C32"/>
    <w:rsid w:val="0046776D"/>
    <w:rsid w:val="00470C3C"/>
    <w:rsid w:val="00470CA8"/>
    <w:rsid w:val="004712E3"/>
    <w:rsid w:val="00473DC0"/>
    <w:rsid w:val="0048478B"/>
    <w:rsid w:val="0048656D"/>
    <w:rsid w:val="00486CC1"/>
    <w:rsid w:val="0049230B"/>
    <w:rsid w:val="00495975"/>
    <w:rsid w:val="004A0280"/>
    <w:rsid w:val="004B0855"/>
    <w:rsid w:val="004B2B5D"/>
    <w:rsid w:val="004B3AB5"/>
    <w:rsid w:val="004C0B9B"/>
    <w:rsid w:val="004C251A"/>
    <w:rsid w:val="004C3E57"/>
    <w:rsid w:val="004C4342"/>
    <w:rsid w:val="004C6147"/>
    <w:rsid w:val="004D046F"/>
    <w:rsid w:val="004D6E62"/>
    <w:rsid w:val="004E3D43"/>
    <w:rsid w:val="004E5458"/>
    <w:rsid w:val="004F2C9B"/>
    <w:rsid w:val="004F31D7"/>
    <w:rsid w:val="00500734"/>
    <w:rsid w:val="00506CC8"/>
    <w:rsid w:val="00511962"/>
    <w:rsid w:val="00512257"/>
    <w:rsid w:val="0051616B"/>
    <w:rsid w:val="00520F8F"/>
    <w:rsid w:val="00522087"/>
    <w:rsid w:val="005245FA"/>
    <w:rsid w:val="00524F3C"/>
    <w:rsid w:val="00530852"/>
    <w:rsid w:val="00530A9F"/>
    <w:rsid w:val="00540587"/>
    <w:rsid w:val="005452DF"/>
    <w:rsid w:val="005529E6"/>
    <w:rsid w:val="0055398A"/>
    <w:rsid w:val="00555CD5"/>
    <w:rsid w:val="00555D67"/>
    <w:rsid w:val="00556094"/>
    <w:rsid w:val="00561CF0"/>
    <w:rsid w:val="0056565F"/>
    <w:rsid w:val="005662C5"/>
    <w:rsid w:val="00566CD8"/>
    <w:rsid w:val="005675E9"/>
    <w:rsid w:val="00572EFD"/>
    <w:rsid w:val="005771B0"/>
    <w:rsid w:val="005814CA"/>
    <w:rsid w:val="005817B8"/>
    <w:rsid w:val="0058226B"/>
    <w:rsid w:val="00583D82"/>
    <w:rsid w:val="00587626"/>
    <w:rsid w:val="00592780"/>
    <w:rsid w:val="00595B59"/>
    <w:rsid w:val="005976AD"/>
    <w:rsid w:val="005B3CAD"/>
    <w:rsid w:val="005B53E6"/>
    <w:rsid w:val="005B7807"/>
    <w:rsid w:val="005C379E"/>
    <w:rsid w:val="005C75B2"/>
    <w:rsid w:val="005D0B2D"/>
    <w:rsid w:val="005D2E4A"/>
    <w:rsid w:val="005D37C7"/>
    <w:rsid w:val="005D48D3"/>
    <w:rsid w:val="005D6282"/>
    <w:rsid w:val="005D687A"/>
    <w:rsid w:val="005D73FD"/>
    <w:rsid w:val="005D7C4C"/>
    <w:rsid w:val="005E1CE1"/>
    <w:rsid w:val="005E3522"/>
    <w:rsid w:val="005E3BC6"/>
    <w:rsid w:val="005E5BED"/>
    <w:rsid w:val="005E70DF"/>
    <w:rsid w:val="005E7B46"/>
    <w:rsid w:val="005F359D"/>
    <w:rsid w:val="005F56D1"/>
    <w:rsid w:val="00600502"/>
    <w:rsid w:val="0060078E"/>
    <w:rsid w:val="00601157"/>
    <w:rsid w:val="00601AF6"/>
    <w:rsid w:val="00605D71"/>
    <w:rsid w:val="00607A6C"/>
    <w:rsid w:val="00611156"/>
    <w:rsid w:val="00611338"/>
    <w:rsid w:val="00612225"/>
    <w:rsid w:val="00614F89"/>
    <w:rsid w:val="006152C2"/>
    <w:rsid w:val="006308DA"/>
    <w:rsid w:val="00631932"/>
    <w:rsid w:val="0064007B"/>
    <w:rsid w:val="00643788"/>
    <w:rsid w:val="00650D27"/>
    <w:rsid w:val="00660087"/>
    <w:rsid w:val="006644DF"/>
    <w:rsid w:val="00664BF7"/>
    <w:rsid w:val="00665C00"/>
    <w:rsid w:val="00671A32"/>
    <w:rsid w:val="0067256F"/>
    <w:rsid w:val="0067477E"/>
    <w:rsid w:val="0067485E"/>
    <w:rsid w:val="0067737C"/>
    <w:rsid w:val="00680231"/>
    <w:rsid w:val="006810C0"/>
    <w:rsid w:val="006834DB"/>
    <w:rsid w:val="006915E5"/>
    <w:rsid w:val="006957C6"/>
    <w:rsid w:val="006A41B8"/>
    <w:rsid w:val="006A69FE"/>
    <w:rsid w:val="006B580F"/>
    <w:rsid w:val="006C10C3"/>
    <w:rsid w:val="006D363D"/>
    <w:rsid w:val="006D3835"/>
    <w:rsid w:val="006D554C"/>
    <w:rsid w:val="006D63B8"/>
    <w:rsid w:val="006D7F4F"/>
    <w:rsid w:val="006E2A9D"/>
    <w:rsid w:val="006E56A5"/>
    <w:rsid w:val="006F0F5E"/>
    <w:rsid w:val="006F4547"/>
    <w:rsid w:val="006F461C"/>
    <w:rsid w:val="00701B04"/>
    <w:rsid w:val="00702C1E"/>
    <w:rsid w:val="00711503"/>
    <w:rsid w:val="007150B1"/>
    <w:rsid w:val="007152A7"/>
    <w:rsid w:val="0071532A"/>
    <w:rsid w:val="0071693F"/>
    <w:rsid w:val="00716AC9"/>
    <w:rsid w:val="00720EA5"/>
    <w:rsid w:val="007235DD"/>
    <w:rsid w:val="00723CA5"/>
    <w:rsid w:val="00723FDC"/>
    <w:rsid w:val="00724A47"/>
    <w:rsid w:val="00727C2C"/>
    <w:rsid w:val="007342DB"/>
    <w:rsid w:val="0073501C"/>
    <w:rsid w:val="00735928"/>
    <w:rsid w:val="00737211"/>
    <w:rsid w:val="007439BF"/>
    <w:rsid w:val="00765481"/>
    <w:rsid w:val="00765EF4"/>
    <w:rsid w:val="00767508"/>
    <w:rsid w:val="0078188C"/>
    <w:rsid w:val="0078212B"/>
    <w:rsid w:val="00782CC8"/>
    <w:rsid w:val="0078364C"/>
    <w:rsid w:val="007849E0"/>
    <w:rsid w:val="0078530C"/>
    <w:rsid w:val="007854B7"/>
    <w:rsid w:val="007864B2"/>
    <w:rsid w:val="007908A2"/>
    <w:rsid w:val="00790902"/>
    <w:rsid w:val="00790928"/>
    <w:rsid w:val="00795BD1"/>
    <w:rsid w:val="007A0ABB"/>
    <w:rsid w:val="007A0C35"/>
    <w:rsid w:val="007A36DD"/>
    <w:rsid w:val="007A40B0"/>
    <w:rsid w:val="007A77AF"/>
    <w:rsid w:val="007A78F9"/>
    <w:rsid w:val="007B6024"/>
    <w:rsid w:val="007B6C13"/>
    <w:rsid w:val="007B763B"/>
    <w:rsid w:val="007C279E"/>
    <w:rsid w:val="007C2C4B"/>
    <w:rsid w:val="007C4EA0"/>
    <w:rsid w:val="007C5635"/>
    <w:rsid w:val="007C6E0F"/>
    <w:rsid w:val="007D0A41"/>
    <w:rsid w:val="007F2F35"/>
    <w:rsid w:val="007F605E"/>
    <w:rsid w:val="007F640A"/>
    <w:rsid w:val="007F65BB"/>
    <w:rsid w:val="007F76E8"/>
    <w:rsid w:val="0080295F"/>
    <w:rsid w:val="0081003D"/>
    <w:rsid w:val="00811C44"/>
    <w:rsid w:val="00811D95"/>
    <w:rsid w:val="00811F60"/>
    <w:rsid w:val="00813D73"/>
    <w:rsid w:val="008175FB"/>
    <w:rsid w:val="00817794"/>
    <w:rsid w:val="00820C6F"/>
    <w:rsid w:val="00820DF3"/>
    <w:rsid w:val="00822410"/>
    <w:rsid w:val="00824BA4"/>
    <w:rsid w:val="00826338"/>
    <w:rsid w:val="0082756F"/>
    <w:rsid w:val="00831F43"/>
    <w:rsid w:val="00844DDC"/>
    <w:rsid w:val="008536DA"/>
    <w:rsid w:val="00853B5D"/>
    <w:rsid w:val="00856A47"/>
    <w:rsid w:val="00863B90"/>
    <w:rsid w:val="00865EB8"/>
    <w:rsid w:val="0086798E"/>
    <w:rsid w:val="00867A24"/>
    <w:rsid w:val="008714D9"/>
    <w:rsid w:val="00871BBE"/>
    <w:rsid w:val="00875D71"/>
    <w:rsid w:val="008812A7"/>
    <w:rsid w:val="008845CA"/>
    <w:rsid w:val="008916B0"/>
    <w:rsid w:val="00897BA0"/>
    <w:rsid w:val="008A2C42"/>
    <w:rsid w:val="008B2C35"/>
    <w:rsid w:val="008B4949"/>
    <w:rsid w:val="008C128A"/>
    <w:rsid w:val="008C2BE0"/>
    <w:rsid w:val="008C3C1E"/>
    <w:rsid w:val="008C6D48"/>
    <w:rsid w:val="008C7333"/>
    <w:rsid w:val="008D5386"/>
    <w:rsid w:val="008D6CC0"/>
    <w:rsid w:val="008D7568"/>
    <w:rsid w:val="008D7F77"/>
    <w:rsid w:val="008E1DB6"/>
    <w:rsid w:val="008F3C55"/>
    <w:rsid w:val="00901D8F"/>
    <w:rsid w:val="00901E60"/>
    <w:rsid w:val="00902E85"/>
    <w:rsid w:val="00906EBD"/>
    <w:rsid w:val="0091073A"/>
    <w:rsid w:val="00911F7E"/>
    <w:rsid w:val="0091312F"/>
    <w:rsid w:val="009132CB"/>
    <w:rsid w:val="009132D1"/>
    <w:rsid w:val="00914416"/>
    <w:rsid w:val="009242BD"/>
    <w:rsid w:val="009317EF"/>
    <w:rsid w:val="009500FB"/>
    <w:rsid w:val="0095439B"/>
    <w:rsid w:val="00962848"/>
    <w:rsid w:val="00963173"/>
    <w:rsid w:val="00964F40"/>
    <w:rsid w:val="00970B2B"/>
    <w:rsid w:val="00970E60"/>
    <w:rsid w:val="00971629"/>
    <w:rsid w:val="0097427B"/>
    <w:rsid w:val="00981638"/>
    <w:rsid w:val="00987BF5"/>
    <w:rsid w:val="00990D98"/>
    <w:rsid w:val="00990F21"/>
    <w:rsid w:val="00993CF4"/>
    <w:rsid w:val="00994D73"/>
    <w:rsid w:val="0099745F"/>
    <w:rsid w:val="00997659"/>
    <w:rsid w:val="00997849"/>
    <w:rsid w:val="009A1F17"/>
    <w:rsid w:val="009A55CA"/>
    <w:rsid w:val="009A5E50"/>
    <w:rsid w:val="009B0A4F"/>
    <w:rsid w:val="009B1AB3"/>
    <w:rsid w:val="009B29ED"/>
    <w:rsid w:val="009B4294"/>
    <w:rsid w:val="009C1758"/>
    <w:rsid w:val="009C1EA8"/>
    <w:rsid w:val="009C5275"/>
    <w:rsid w:val="009D2922"/>
    <w:rsid w:val="009D3CA9"/>
    <w:rsid w:val="009D4ADE"/>
    <w:rsid w:val="009D70B4"/>
    <w:rsid w:val="009E0104"/>
    <w:rsid w:val="009E46A8"/>
    <w:rsid w:val="009E4F3E"/>
    <w:rsid w:val="009E75F4"/>
    <w:rsid w:val="009E7C40"/>
    <w:rsid w:val="009F0674"/>
    <w:rsid w:val="009F1A46"/>
    <w:rsid w:val="009F262D"/>
    <w:rsid w:val="009F387E"/>
    <w:rsid w:val="009F3EF9"/>
    <w:rsid w:val="009F59CE"/>
    <w:rsid w:val="009F6B24"/>
    <w:rsid w:val="009F79B5"/>
    <w:rsid w:val="00A01E36"/>
    <w:rsid w:val="00A0325F"/>
    <w:rsid w:val="00A0447D"/>
    <w:rsid w:val="00A05392"/>
    <w:rsid w:val="00A10382"/>
    <w:rsid w:val="00A13D43"/>
    <w:rsid w:val="00A2427B"/>
    <w:rsid w:val="00A3345D"/>
    <w:rsid w:val="00A3794F"/>
    <w:rsid w:val="00A42AF2"/>
    <w:rsid w:val="00A440CD"/>
    <w:rsid w:val="00A4446A"/>
    <w:rsid w:val="00A50FDC"/>
    <w:rsid w:val="00A546EF"/>
    <w:rsid w:val="00A56285"/>
    <w:rsid w:val="00A642A5"/>
    <w:rsid w:val="00A6722F"/>
    <w:rsid w:val="00A67727"/>
    <w:rsid w:val="00A7258B"/>
    <w:rsid w:val="00A748CA"/>
    <w:rsid w:val="00A750AE"/>
    <w:rsid w:val="00A822D1"/>
    <w:rsid w:val="00A87384"/>
    <w:rsid w:val="00A91586"/>
    <w:rsid w:val="00A93C39"/>
    <w:rsid w:val="00A957D8"/>
    <w:rsid w:val="00A97D64"/>
    <w:rsid w:val="00AA0123"/>
    <w:rsid w:val="00AB4B88"/>
    <w:rsid w:val="00AC0053"/>
    <w:rsid w:val="00AC01D9"/>
    <w:rsid w:val="00AC29A3"/>
    <w:rsid w:val="00AD0D28"/>
    <w:rsid w:val="00AD1255"/>
    <w:rsid w:val="00AD5EA7"/>
    <w:rsid w:val="00AE01B5"/>
    <w:rsid w:val="00AE2AAD"/>
    <w:rsid w:val="00AE4128"/>
    <w:rsid w:val="00AE535E"/>
    <w:rsid w:val="00AE56DF"/>
    <w:rsid w:val="00AF1041"/>
    <w:rsid w:val="00B0226C"/>
    <w:rsid w:val="00B11334"/>
    <w:rsid w:val="00B1281A"/>
    <w:rsid w:val="00B12E49"/>
    <w:rsid w:val="00B22CCE"/>
    <w:rsid w:val="00B261B6"/>
    <w:rsid w:val="00B26918"/>
    <w:rsid w:val="00B27312"/>
    <w:rsid w:val="00B27F5F"/>
    <w:rsid w:val="00B32EC0"/>
    <w:rsid w:val="00B33ECC"/>
    <w:rsid w:val="00B34C09"/>
    <w:rsid w:val="00B34C7C"/>
    <w:rsid w:val="00B36B33"/>
    <w:rsid w:val="00B40AC1"/>
    <w:rsid w:val="00B41BFA"/>
    <w:rsid w:val="00B4299D"/>
    <w:rsid w:val="00B43D35"/>
    <w:rsid w:val="00B45738"/>
    <w:rsid w:val="00B45C59"/>
    <w:rsid w:val="00B5406F"/>
    <w:rsid w:val="00B5622F"/>
    <w:rsid w:val="00B56FFD"/>
    <w:rsid w:val="00B57A69"/>
    <w:rsid w:val="00B60D79"/>
    <w:rsid w:val="00B624E7"/>
    <w:rsid w:val="00B63B7B"/>
    <w:rsid w:val="00B76793"/>
    <w:rsid w:val="00B77070"/>
    <w:rsid w:val="00B8337B"/>
    <w:rsid w:val="00B854F1"/>
    <w:rsid w:val="00B85D28"/>
    <w:rsid w:val="00BA4AC6"/>
    <w:rsid w:val="00BA5E98"/>
    <w:rsid w:val="00BB037D"/>
    <w:rsid w:val="00BB23ED"/>
    <w:rsid w:val="00BB4A11"/>
    <w:rsid w:val="00BB4D96"/>
    <w:rsid w:val="00BB6C68"/>
    <w:rsid w:val="00BC0C10"/>
    <w:rsid w:val="00BC22BB"/>
    <w:rsid w:val="00BC2A2E"/>
    <w:rsid w:val="00BC4864"/>
    <w:rsid w:val="00BD3534"/>
    <w:rsid w:val="00BD3DBF"/>
    <w:rsid w:val="00BD6169"/>
    <w:rsid w:val="00BD6618"/>
    <w:rsid w:val="00BE2058"/>
    <w:rsid w:val="00BE259A"/>
    <w:rsid w:val="00BE37CB"/>
    <w:rsid w:val="00BF09DE"/>
    <w:rsid w:val="00BF5D2D"/>
    <w:rsid w:val="00BF69B5"/>
    <w:rsid w:val="00C040FE"/>
    <w:rsid w:val="00C1089D"/>
    <w:rsid w:val="00C10998"/>
    <w:rsid w:val="00C10F48"/>
    <w:rsid w:val="00C126FB"/>
    <w:rsid w:val="00C13469"/>
    <w:rsid w:val="00C215AD"/>
    <w:rsid w:val="00C24954"/>
    <w:rsid w:val="00C24BAF"/>
    <w:rsid w:val="00C24C6E"/>
    <w:rsid w:val="00C307B4"/>
    <w:rsid w:val="00C32D46"/>
    <w:rsid w:val="00C33F0D"/>
    <w:rsid w:val="00C33FB4"/>
    <w:rsid w:val="00C35356"/>
    <w:rsid w:val="00C3645A"/>
    <w:rsid w:val="00C36BCB"/>
    <w:rsid w:val="00C41CE0"/>
    <w:rsid w:val="00C43EDE"/>
    <w:rsid w:val="00C4496B"/>
    <w:rsid w:val="00C5159A"/>
    <w:rsid w:val="00C5293B"/>
    <w:rsid w:val="00C53AF0"/>
    <w:rsid w:val="00C5692A"/>
    <w:rsid w:val="00C62691"/>
    <w:rsid w:val="00C62F34"/>
    <w:rsid w:val="00C63E5E"/>
    <w:rsid w:val="00C65253"/>
    <w:rsid w:val="00C66FAA"/>
    <w:rsid w:val="00C71C46"/>
    <w:rsid w:val="00C7421B"/>
    <w:rsid w:val="00C74C51"/>
    <w:rsid w:val="00C75715"/>
    <w:rsid w:val="00C7754D"/>
    <w:rsid w:val="00C81BC0"/>
    <w:rsid w:val="00C84388"/>
    <w:rsid w:val="00C859E5"/>
    <w:rsid w:val="00C85C7F"/>
    <w:rsid w:val="00C8625B"/>
    <w:rsid w:val="00C867E4"/>
    <w:rsid w:val="00C87335"/>
    <w:rsid w:val="00C877C4"/>
    <w:rsid w:val="00C95C68"/>
    <w:rsid w:val="00CA3DFD"/>
    <w:rsid w:val="00CA4193"/>
    <w:rsid w:val="00CB2E8D"/>
    <w:rsid w:val="00CB3A0E"/>
    <w:rsid w:val="00CB657A"/>
    <w:rsid w:val="00CC0CD3"/>
    <w:rsid w:val="00CC3F1B"/>
    <w:rsid w:val="00CC44B6"/>
    <w:rsid w:val="00CC4529"/>
    <w:rsid w:val="00CC4AE3"/>
    <w:rsid w:val="00CC6CEF"/>
    <w:rsid w:val="00CD1779"/>
    <w:rsid w:val="00CD5069"/>
    <w:rsid w:val="00CE011E"/>
    <w:rsid w:val="00CE5D7C"/>
    <w:rsid w:val="00CE6393"/>
    <w:rsid w:val="00CF6FB0"/>
    <w:rsid w:val="00CF7680"/>
    <w:rsid w:val="00D0320F"/>
    <w:rsid w:val="00D0429B"/>
    <w:rsid w:val="00D05BA1"/>
    <w:rsid w:val="00D10E8A"/>
    <w:rsid w:val="00D13566"/>
    <w:rsid w:val="00D15C4E"/>
    <w:rsid w:val="00D2720F"/>
    <w:rsid w:val="00D304B7"/>
    <w:rsid w:val="00D3052A"/>
    <w:rsid w:val="00D326A3"/>
    <w:rsid w:val="00D3302F"/>
    <w:rsid w:val="00D356FB"/>
    <w:rsid w:val="00D37117"/>
    <w:rsid w:val="00D37EBB"/>
    <w:rsid w:val="00D42012"/>
    <w:rsid w:val="00D42D32"/>
    <w:rsid w:val="00D432F1"/>
    <w:rsid w:val="00D43AC2"/>
    <w:rsid w:val="00D43B4D"/>
    <w:rsid w:val="00D43F30"/>
    <w:rsid w:val="00D472EA"/>
    <w:rsid w:val="00D51231"/>
    <w:rsid w:val="00D55223"/>
    <w:rsid w:val="00D64834"/>
    <w:rsid w:val="00D7163E"/>
    <w:rsid w:val="00D72C94"/>
    <w:rsid w:val="00D74E79"/>
    <w:rsid w:val="00D83B78"/>
    <w:rsid w:val="00D86AB0"/>
    <w:rsid w:val="00D90F04"/>
    <w:rsid w:val="00D928DB"/>
    <w:rsid w:val="00D9298D"/>
    <w:rsid w:val="00D92F07"/>
    <w:rsid w:val="00DA291A"/>
    <w:rsid w:val="00DA5868"/>
    <w:rsid w:val="00DA6429"/>
    <w:rsid w:val="00DB61FF"/>
    <w:rsid w:val="00DC2411"/>
    <w:rsid w:val="00DC3E69"/>
    <w:rsid w:val="00DC5BBE"/>
    <w:rsid w:val="00DC5EFA"/>
    <w:rsid w:val="00DD1303"/>
    <w:rsid w:val="00DD1D85"/>
    <w:rsid w:val="00DD5CDD"/>
    <w:rsid w:val="00DD6527"/>
    <w:rsid w:val="00DE4252"/>
    <w:rsid w:val="00DE7720"/>
    <w:rsid w:val="00DF14B9"/>
    <w:rsid w:val="00DF5B06"/>
    <w:rsid w:val="00E03594"/>
    <w:rsid w:val="00E07F30"/>
    <w:rsid w:val="00E1273E"/>
    <w:rsid w:val="00E133A3"/>
    <w:rsid w:val="00E16BE6"/>
    <w:rsid w:val="00E17F87"/>
    <w:rsid w:val="00E2022B"/>
    <w:rsid w:val="00E232DB"/>
    <w:rsid w:val="00E25C44"/>
    <w:rsid w:val="00E358A5"/>
    <w:rsid w:val="00E4097C"/>
    <w:rsid w:val="00E41C44"/>
    <w:rsid w:val="00E434A4"/>
    <w:rsid w:val="00E451B5"/>
    <w:rsid w:val="00E45F2E"/>
    <w:rsid w:val="00E50AD6"/>
    <w:rsid w:val="00E51673"/>
    <w:rsid w:val="00E521E5"/>
    <w:rsid w:val="00E55983"/>
    <w:rsid w:val="00E56EF7"/>
    <w:rsid w:val="00E57880"/>
    <w:rsid w:val="00E61EA8"/>
    <w:rsid w:val="00E63AE8"/>
    <w:rsid w:val="00E63D23"/>
    <w:rsid w:val="00E63D9E"/>
    <w:rsid w:val="00E64237"/>
    <w:rsid w:val="00E6425E"/>
    <w:rsid w:val="00E660A7"/>
    <w:rsid w:val="00E66F02"/>
    <w:rsid w:val="00E704EC"/>
    <w:rsid w:val="00E713B7"/>
    <w:rsid w:val="00E71A35"/>
    <w:rsid w:val="00E76C9F"/>
    <w:rsid w:val="00E77BDF"/>
    <w:rsid w:val="00E81EE7"/>
    <w:rsid w:val="00E83EFB"/>
    <w:rsid w:val="00E85331"/>
    <w:rsid w:val="00E861CF"/>
    <w:rsid w:val="00E872C5"/>
    <w:rsid w:val="00E9127D"/>
    <w:rsid w:val="00E9224A"/>
    <w:rsid w:val="00E935ED"/>
    <w:rsid w:val="00E9387C"/>
    <w:rsid w:val="00E94436"/>
    <w:rsid w:val="00E9547F"/>
    <w:rsid w:val="00E95B64"/>
    <w:rsid w:val="00EA02F6"/>
    <w:rsid w:val="00EA128F"/>
    <w:rsid w:val="00EA40E9"/>
    <w:rsid w:val="00EA41A5"/>
    <w:rsid w:val="00EA43F0"/>
    <w:rsid w:val="00EA64A8"/>
    <w:rsid w:val="00EB3502"/>
    <w:rsid w:val="00EB5468"/>
    <w:rsid w:val="00EC6CE5"/>
    <w:rsid w:val="00ED0285"/>
    <w:rsid w:val="00ED124F"/>
    <w:rsid w:val="00ED6850"/>
    <w:rsid w:val="00EE27F8"/>
    <w:rsid w:val="00EE47C2"/>
    <w:rsid w:val="00EE6BAE"/>
    <w:rsid w:val="00EE7E9E"/>
    <w:rsid w:val="00EF045E"/>
    <w:rsid w:val="00EF0B32"/>
    <w:rsid w:val="00EF492C"/>
    <w:rsid w:val="00EF6524"/>
    <w:rsid w:val="00F029D8"/>
    <w:rsid w:val="00F05A28"/>
    <w:rsid w:val="00F07318"/>
    <w:rsid w:val="00F108A3"/>
    <w:rsid w:val="00F14958"/>
    <w:rsid w:val="00F15031"/>
    <w:rsid w:val="00F159F6"/>
    <w:rsid w:val="00F16AB1"/>
    <w:rsid w:val="00F16F34"/>
    <w:rsid w:val="00F1722A"/>
    <w:rsid w:val="00F23F6A"/>
    <w:rsid w:val="00F242C0"/>
    <w:rsid w:val="00F27452"/>
    <w:rsid w:val="00F314D1"/>
    <w:rsid w:val="00F33F97"/>
    <w:rsid w:val="00F3476A"/>
    <w:rsid w:val="00F41BAD"/>
    <w:rsid w:val="00F52177"/>
    <w:rsid w:val="00F52872"/>
    <w:rsid w:val="00F54A62"/>
    <w:rsid w:val="00F56E6C"/>
    <w:rsid w:val="00F56F81"/>
    <w:rsid w:val="00F57913"/>
    <w:rsid w:val="00F62B4B"/>
    <w:rsid w:val="00F653A0"/>
    <w:rsid w:val="00F717BE"/>
    <w:rsid w:val="00F80108"/>
    <w:rsid w:val="00F822B2"/>
    <w:rsid w:val="00F84B33"/>
    <w:rsid w:val="00F86575"/>
    <w:rsid w:val="00F92CCE"/>
    <w:rsid w:val="00F93213"/>
    <w:rsid w:val="00F935AA"/>
    <w:rsid w:val="00F9563C"/>
    <w:rsid w:val="00F973E5"/>
    <w:rsid w:val="00FA3EC6"/>
    <w:rsid w:val="00FB19C8"/>
    <w:rsid w:val="00FB33B0"/>
    <w:rsid w:val="00FC2616"/>
    <w:rsid w:val="00FC6278"/>
    <w:rsid w:val="00FC7030"/>
    <w:rsid w:val="00FC7B6E"/>
    <w:rsid w:val="00FD0748"/>
    <w:rsid w:val="00FD0765"/>
    <w:rsid w:val="00FE055F"/>
    <w:rsid w:val="00FE3017"/>
    <w:rsid w:val="00FF2108"/>
    <w:rsid w:val="00FF29AB"/>
    <w:rsid w:val="00FF6C89"/>
    <w:rsid w:val="00FF6F8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020EA"/>
  <w15:docId w15:val="{70BD8642-0026-4B9D-9A78-3FAAC19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E5"/>
    <w:rPr>
      <w:lang w:eastAsia="es-ES_tradnl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  <w:lang w:eastAsia="es-ES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  <w:lang w:eastAsia="es-ES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  <w:lang w:eastAsia="es-ES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  <w:lang w:eastAsia="es-ES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 w:eastAsia="es-ES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lang w:eastAsia="es-ES"/>
    </w:rPr>
  </w:style>
  <w:style w:type="paragraph" w:customStyle="1" w:styleId="textocarta">
    <w:name w:val="texto carta"/>
    <w:basedOn w:val="Normal"/>
    <w:uiPriority w:val="99"/>
    <w:rsid w:val="00351F5C"/>
    <w:pPr>
      <w:autoSpaceDE w:val="0"/>
      <w:autoSpaceDN w:val="0"/>
      <w:adjustRightInd w:val="0"/>
      <w:spacing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sz w:val="22"/>
      <w:szCs w:val="22"/>
      <w:lang w:val="es-ES_tradnl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B759E"/>
    <w:rPr>
      <w:color w:val="605E5C"/>
      <w:shd w:val="clear" w:color="auto" w:fill="E1DFDD"/>
    </w:rPr>
  </w:style>
  <w:style w:type="character" w:customStyle="1" w:styleId="date-display-single">
    <w:name w:val="date-display-single"/>
    <w:basedOn w:val="Fuentedeprrafopredeter"/>
    <w:rsid w:val="00273423"/>
  </w:style>
  <w:style w:type="character" w:styleId="Hipervnculovisitado">
    <w:name w:val="FollowedHyperlink"/>
    <w:basedOn w:val="Fuentedeprrafopredeter"/>
    <w:uiPriority w:val="99"/>
    <w:semiHidden/>
    <w:unhideWhenUsed/>
    <w:rsid w:val="00E50A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8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1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2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7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4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4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8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0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6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3159-41A6-4DAB-A8A1-6D8B5488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1486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CNO</dc:creator>
  <cp:keywords/>
  <dc:description/>
  <cp:lastModifiedBy>ALBERTO OLARTE</cp:lastModifiedBy>
  <cp:revision>2</cp:revision>
  <dcterms:created xsi:type="dcterms:W3CDTF">2020-10-01T12:23:00Z</dcterms:created>
  <dcterms:modified xsi:type="dcterms:W3CDTF">2020-10-01T12:23:00Z</dcterms:modified>
</cp:coreProperties>
</file>