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2F3EC4F3"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INFORME CNO 5</w:t>
      </w:r>
      <w:r w:rsidR="00D10E8A">
        <w:rPr>
          <w:rFonts w:ascii="Verdana" w:eastAsia="Verdana" w:hAnsi="Verdana" w:cs="Verdana"/>
          <w:b/>
          <w:sz w:val="32"/>
          <w:szCs w:val="32"/>
        </w:rPr>
        <w:t>9</w:t>
      </w:r>
      <w:r w:rsidR="009B0A4F">
        <w:rPr>
          <w:rFonts w:ascii="Verdana" w:eastAsia="Verdana" w:hAnsi="Verdana" w:cs="Verdana"/>
          <w:b/>
          <w:sz w:val="32"/>
          <w:szCs w:val="32"/>
        </w:rPr>
        <w:t>7</w:t>
      </w:r>
    </w:p>
    <w:p w14:paraId="2938B4BE" w14:textId="77777777" w:rsidR="0078364C" w:rsidRPr="00D3052A" w:rsidRDefault="0078364C" w:rsidP="00556094">
      <w:pPr>
        <w:jc w:val="both"/>
        <w:rPr>
          <w:rFonts w:ascii="Verdana" w:eastAsia="Verdana" w:hAnsi="Verdana" w:cs="Verdana"/>
          <w:sz w:val="22"/>
          <w:szCs w:val="22"/>
        </w:rPr>
      </w:pPr>
    </w:p>
    <w:p w14:paraId="457FA286" w14:textId="089469C1"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9B0A4F">
        <w:rPr>
          <w:rFonts w:ascii="Verdana" w:eastAsia="Verdana" w:hAnsi="Verdana" w:cs="Verdana"/>
          <w:sz w:val="22"/>
          <w:szCs w:val="22"/>
        </w:rPr>
        <w:t>juni</w:t>
      </w:r>
      <w:r w:rsidR="00D10E8A">
        <w:rPr>
          <w:rFonts w:ascii="Verdana" w:eastAsia="Verdana" w:hAnsi="Verdana" w:cs="Verdana"/>
          <w:sz w:val="22"/>
          <w:szCs w:val="22"/>
        </w:rPr>
        <w:t xml:space="preserve">o </w:t>
      </w:r>
      <w:r w:rsidR="009B0A4F">
        <w:rPr>
          <w:rFonts w:ascii="Verdana" w:eastAsia="Verdana" w:hAnsi="Verdana" w:cs="Verdana"/>
          <w:sz w:val="22"/>
          <w:szCs w:val="22"/>
        </w:rPr>
        <w:t>4</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40A9B7ED" w14:textId="4A01DC62" w:rsidR="00303520" w:rsidRDefault="00303520" w:rsidP="00303520">
      <w:pPr>
        <w:jc w:val="both"/>
        <w:rPr>
          <w:rFonts w:ascii="Verdana" w:eastAsia="Verdana" w:hAnsi="Verdana" w:cs="Verdana"/>
          <w:sz w:val="22"/>
          <w:szCs w:val="22"/>
        </w:rPr>
      </w:pPr>
    </w:p>
    <w:p w14:paraId="44707AE9" w14:textId="714616B8" w:rsidR="00303520" w:rsidRPr="00A97D64" w:rsidRDefault="00303520" w:rsidP="00303520">
      <w:pPr>
        <w:jc w:val="both"/>
        <w:rPr>
          <w:rFonts w:ascii="Verdana" w:eastAsia="Verdana" w:hAnsi="Verdana" w:cs="Verdana"/>
          <w:b/>
          <w:bCs/>
          <w:sz w:val="22"/>
          <w:szCs w:val="22"/>
          <w:u w:val="single"/>
        </w:rPr>
      </w:pPr>
      <w:r w:rsidRPr="00A97D64">
        <w:rPr>
          <w:rFonts w:ascii="Verdana" w:eastAsia="Verdana" w:hAnsi="Verdana" w:cs="Verdana"/>
          <w:b/>
          <w:bCs/>
          <w:sz w:val="22"/>
          <w:szCs w:val="22"/>
          <w:u w:val="single"/>
        </w:rPr>
        <w:t>Aspectos Administrativos:</w:t>
      </w:r>
    </w:p>
    <w:p w14:paraId="28E28D4D" w14:textId="16539193" w:rsidR="00303520" w:rsidRDefault="00303520" w:rsidP="00303520">
      <w:pPr>
        <w:jc w:val="both"/>
        <w:rPr>
          <w:rFonts w:ascii="Verdana" w:eastAsia="Verdana" w:hAnsi="Verdana" w:cs="Verdana"/>
          <w:sz w:val="22"/>
          <w:szCs w:val="22"/>
        </w:rPr>
      </w:pPr>
    </w:p>
    <w:p w14:paraId="7AB94EFC" w14:textId="2A316389" w:rsidR="0071693F" w:rsidRDefault="0071693F" w:rsidP="0071693F">
      <w:pPr>
        <w:jc w:val="both"/>
        <w:rPr>
          <w:rFonts w:ascii="Verdana" w:hAnsi="Verdana"/>
          <w:bCs/>
          <w:sz w:val="22"/>
          <w:szCs w:val="22"/>
        </w:rPr>
      </w:pPr>
    </w:p>
    <w:p w14:paraId="2149CB45" w14:textId="4B9C256E" w:rsidR="0071693F" w:rsidRPr="00A97D64" w:rsidRDefault="00EA43F0" w:rsidP="009D2FE7">
      <w:pPr>
        <w:pStyle w:val="Prrafodelista"/>
        <w:numPr>
          <w:ilvl w:val="0"/>
          <w:numId w:val="2"/>
        </w:numPr>
        <w:jc w:val="both"/>
        <w:rPr>
          <w:rFonts w:ascii="Verdana" w:eastAsia="Verdana" w:hAnsi="Verdana" w:cs="Verdana"/>
          <w:sz w:val="22"/>
          <w:szCs w:val="22"/>
        </w:rPr>
      </w:pPr>
      <w:r w:rsidRPr="00B60D79">
        <w:rPr>
          <w:rFonts w:ascii="Verdana" w:hAnsi="Verdana"/>
          <w:bCs/>
          <w:sz w:val="22"/>
          <w:szCs w:val="22"/>
        </w:rPr>
        <w:t>El 29 de mayo de 2020 s</w:t>
      </w:r>
      <w:r w:rsidR="0071693F" w:rsidRPr="00B60D79">
        <w:rPr>
          <w:rFonts w:ascii="Verdana" w:hAnsi="Verdana"/>
          <w:bCs/>
          <w:sz w:val="22"/>
          <w:szCs w:val="22"/>
        </w:rPr>
        <w:t xml:space="preserve">e recibió comunicación de los integrantes </w:t>
      </w:r>
      <w:r w:rsidRPr="00B60D79">
        <w:rPr>
          <w:rFonts w:ascii="Verdana" w:hAnsi="Verdana"/>
          <w:bCs/>
          <w:sz w:val="22"/>
          <w:szCs w:val="22"/>
        </w:rPr>
        <w:t xml:space="preserve">del CNO </w:t>
      </w:r>
      <w:r w:rsidR="009C5275">
        <w:rPr>
          <w:rFonts w:ascii="Verdana" w:hAnsi="Verdana"/>
          <w:bCs/>
          <w:sz w:val="22"/>
          <w:szCs w:val="22"/>
        </w:rPr>
        <w:t>TEBSA</w:t>
      </w:r>
      <w:r w:rsidR="0071693F" w:rsidRPr="00B60D79">
        <w:rPr>
          <w:rFonts w:ascii="Verdana" w:hAnsi="Verdana"/>
          <w:bCs/>
          <w:sz w:val="22"/>
          <w:szCs w:val="22"/>
        </w:rPr>
        <w:t xml:space="preserve">, </w:t>
      </w:r>
      <w:r w:rsidR="009C5275">
        <w:rPr>
          <w:rFonts w:ascii="Verdana" w:hAnsi="Verdana"/>
          <w:bCs/>
          <w:sz w:val="22"/>
          <w:szCs w:val="22"/>
        </w:rPr>
        <w:t>GECELCA</w:t>
      </w:r>
      <w:r w:rsidR="009C5275" w:rsidRPr="00B60D79">
        <w:rPr>
          <w:rFonts w:ascii="Verdana" w:hAnsi="Verdana"/>
          <w:bCs/>
          <w:sz w:val="22"/>
          <w:szCs w:val="22"/>
        </w:rPr>
        <w:t xml:space="preserve"> </w:t>
      </w:r>
      <w:r w:rsidR="0071693F" w:rsidRPr="00B60D79">
        <w:rPr>
          <w:rFonts w:ascii="Verdana" w:hAnsi="Verdana"/>
          <w:bCs/>
          <w:sz w:val="22"/>
          <w:szCs w:val="22"/>
        </w:rPr>
        <w:t xml:space="preserve">y </w:t>
      </w:r>
      <w:r w:rsidR="009C5275">
        <w:rPr>
          <w:rFonts w:ascii="Verdana" w:hAnsi="Verdana"/>
          <w:bCs/>
          <w:sz w:val="22"/>
          <w:szCs w:val="22"/>
        </w:rPr>
        <w:t>TERMOVALLE</w:t>
      </w:r>
      <w:r w:rsidR="00414DDF">
        <w:rPr>
          <w:rFonts w:ascii="Verdana" w:hAnsi="Verdana"/>
          <w:bCs/>
          <w:sz w:val="22"/>
          <w:szCs w:val="22"/>
        </w:rPr>
        <w:t>,</w:t>
      </w:r>
      <w:r w:rsidR="0071693F" w:rsidRPr="00B60D79">
        <w:rPr>
          <w:rFonts w:ascii="Verdana" w:hAnsi="Verdana"/>
          <w:bCs/>
          <w:sz w:val="22"/>
          <w:szCs w:val="22"/>
        </w:rPr>
        <w:t xml:space="preserve"> dirigida al Consejo Nacional de Operación</w:t>
      </w:r>
      <w:r w:rsidRPr="00B60D79">
        <w:rPr>
          <w:rFonts w:ascii="Verdana" w:hAnsi="Verdana"/>
          <w:bCs/>
          <w:sz w:val="22"/>
          <w:szCs w:val="22"/>
        </w:rPr>
        <w:t xml:space="preserve">, cuyo asunto es la propuesta de acciones a seguir ante la situación energética actual. </w:t>
      </w:r>
      <w:r w:rsidR="00B60D79" w:rsidRPr="00B60D79">
        <w:rPr>
          <w:rFonts w:ascii="Verdana" w:hAnsi="Verdana"/>
          <w:bCs/>
          <w:sz w:val="22"/>
          <w:szCs w:val="22"/>
        </w:rPr>
        <w:t xml:space="preserve">Los integrantes firmantes </w:t>
      </w:r>
      <w:r w:rsidR="009C5275" w:rsidRPr="00B60D79">
        <w:rPr>
          <w:rFonts w:ascii="Verdana" w:hAnsi="Verdana"/>
          <w:bCs/>
          <w:sz w:val="22"/>
          <w:szCs w:val="22"/>
        </w:rPr>
        <w:t>solicitan</w:t>
      </w:r>
      <w:r w:rsidR="00B60D79" w:rsidRPr="00B60D79">
        <w:rPr>
          <w:rFonts w:ascii="Verdana" w:hAnsi="Verdana"/>
          <w:bCs/>
          <w:sz w:val="22"/>
          <w:szCs w:val="22"/>
        </w:rPr>
        <w:t xml:space="preserve"> al Consejo espacio en el orden del día de esta reunión</w:t>
      </w:r>
      <w:r w:rsidR="00B60D79">
        <w:rPr>
          <w:rFonts w:ascii="Verdana" w:hAnsi="Verdana"/>
          <w:bCs/>
          <w:sz w:val="22"/>
          <w:szCs w:val="22"/>
        </w:rPr>
        <w:t xml:space="preserve"> para presentar su propuesta.</w:t>
      </w:r>
    </w:p>
    <w:p w14:paraId="7865626F" w14:textId="77777777" w:rsidR="00B60D79" w:rsidRPr="00A97D64" w:rsidRDefault="00B60D79" w:rsidP="00A97D64">
      <w:pPr>
        <w:pStyle w:val="Prrafodelista"/>
        <w:ind w:left="360"/>
        <w:jc w:val="both"/>
        <w:rPr>
          <w:rFonts w:ascii="Verdana" w:eastAsia="Verdana" w:hAnsi="Verdana" w:cs="Verdana"/>
          <w:sz w:val="22"/>
          <w:szCs w:val="22"/>
        </w:rPr>
      </w:pPr>
    </w:p>
    <w:p w14:paraId="74F33B51" w14:textId="573924AE" w:rsidR="0071693F" w:rsidRPr="00A97D64" w:rsidRDefault="0071693F" w:rsidP="00303520">
      <w:pPr>
        <w:jc w:val="both"/>
        <w:rPr>
          <w:rFonts w:ascii="Verdana" w:eastAsia="Verdana" w:hAnsi="Verdana" w:cs="Verdana"/>
          <w:b/>
          <w:bCs/>
          <w:sz w:val="22"/>
          <w:szCs w:val="22"/>
          <w:u w:val="single"/>
        </w:rPr>
      </w:pPr>
      <w:r w:rsidRPr="00A97D64">
        <w:rPr>
          <w:rFonts w:ascii="Verdana" w:eastAsia="Verdana" w:hAnsi="Verdana" w:cs="Verdana"/>
          <w:b/>
          <w:bCs/>
          <w:sz w:val="22"/>
          <w:szCs w:val="22"/>
          <w:u w:val="single"/>
        </w:rPr>
        <w:t>Aspectos Técnicos:</w:t>
      </w:r>
    </w:p>
    <w:p w14:paraId="1B2288B5" w14:textId="0125E1A7" w:rsidR="009F387E" w:rsidRDefault="009F387E" w:rsidP="009F387E">
      <w:pPr>
        <w:autoSpaceDE w:val="0"/>
        <w:autoSpaceDN w:val="0"/>
        <w:adjustRightInd w:val="0"/>
        <w:jc w:val="both"/>
        <w:rPr>
          <w:rFonts w:ascii="Verdana" w:eastAsia="Verdana" w:hAnsi="Verdana" w:cs="Verdana"/>
          <w:bCs/>
          <w:sz w:val="22"/>
          <w:szCs w:val="22"/>
          <w:u w:val="single"/>
        </w:rPr>
      </w:pPr>
    </w:p>
    <w:p w14:paraId="3BFC8DE7" w14:textId="30181407" w:rsidR="009B0A4F" w:rsidRPr="00E51673" w:rsidRDefault="002537BC" w:rsidP="00E51673">
      <w:pPr>
        <w:pStyle w:val="Prrafodelista"/>
        <w:numPr>
          <w:ilvl w:val="0"/>
          <w:numId w:val="2"/>
        </w:numPr>
        <w:jc w:val="both"/>
        <w:rPr>
          <w:rFonts w:ascii="Verdana" w:hAnsi="Verdana"/>
          <w:bCs/>
          <w:sz w:val="22"/>
          <w:szCs w:val="22"/>
        </w:rPr>
      </w:pPr>
      <w:r w:rsidRPr="00E51673">
        <w:rPr>
          <w:rFonts w:ascii="Verdana" w:hAnsi="Verdana"/>
          <w:bCs/>
          <w:sz w:val="22"/>
          <w:szCs w:val="22"/>
        </w:rPr>
        <w:t xml:space="preserve">En el </w:t>
      </w:r>
      <w:r w:rsidR="00460EAE" w:rsidRPr="00E51673">
        <w:rPr>
          <w:rFonts w:ascii="Verdana" w:hAnsi="Verdana"/>
          <w:bCs/>
          <w:sz w:val="22"/>
          <w:szCs w:val="22"/>
        </w:rPr>
        <w:t>S</w:t>
      </w:r>
      <w:r w:rsidRPr="00E51673">
        <w:rPr>
          <w:rFonts w:ascii="Verdana" w:hAnsi="Verdana"/>
          <w:bCs/>
          <w:sz w:val="22"/>
          <w:szCs w:val="22"/>
        </w:rPr>
        <w:t xml:space="preserve">ubcomité de Plantas-SP del Consejo </w:t>
      </w:r>
      <w:r w:rsidR="00B60D79" w:rsidRPr="00E51673">
        <w:rPr>
          <w:rFonts w:ascii="Verdana" w:hAnsi="Verdana"/>
          <w:bCs/>
          <w:sz w:val="22"/>
          <w:szCs w:val="22"/>
        </w:rPr>
        <w:t xml:space="preserve">GECELCA presentó los problemas identificados por el operador del sistema con la declaración de </w:t>
      </w:r>
      <w:r w:rsidR="00414DDF">
        <w:rPr>
          <w:rFonts w:ascii="Verdana" w:hAnsi="Verdana"/>
          <w:bCs/>
          <w:sz w:val="22"/>
          <w:szCs w:val="22"/>
        </w:rPr>
        <w:t xml:space="preserve">los </w:t>
      </w:r>
      <w:r w:rsidR="00B60D79" w:rsidRPr="00E51673">
        <w:rPr>
          <w:rFonts w:ascii="Verdana" w:hAnsi="Verdana"/>
          <w:bCs/>
          <w:sz w:val="22"/>
          <w:szCs w:val="22"/>
        </w:rPr>
        <w:t xml:space="preserve">estados de emergencia de la subárea GCM durante la ejecución de algunos mantenimientos, los cuales son cada vez más complejos y ocasionan un alto requerimiento de las unidades de Guajira por seguridad. Por lo anterior, y ante el incremento del ciclaje de las unidades que se ha venido presentando, se identifica un riesgo técnico </w:t>
      </w:r>
      <w:r w:rsidR="00414DDF">
        <w:rPr>
          <w:rFonts w:ascii="Verdana" w:hAnsi="Verdana"/>
          <w:bCs/>
          <w:sz w:val="22"/>
          <w:szCs w:val="22"/>
        </w:rPr>
        <w:t>para</w:t>
      </w:r>
      <w:r w:rsidR="00B60D79" w:rsidRPr="00E51673">
        <w:rPr>
          <w:rFonts w:ascii="Verdana" w:hAnsi="Verdana"/>
          <w:bCs/>
          <w:sz w:val="22"/>
          <w:szCs w:val="22"/>
        </w:rPr>
        <w:t xml:space="preserve"> las unidades, ocasionando la disminución de </w:t>
      </w:r>
      <w:r w:rsidR="00414DDF">
        <w:rPr>
          <w:rFonts w:ascii="Verdana" w:hAnsi="Verdana"/>
          <w:bCs/>
          <w:sz w:val="22"/>
          <w:szCs w:val="22"/>
        </w:rPr>
        <w:t>su</w:t>
      </w:r>
      <w:r w:rsidR="00414DDF" w:rsidRPr="00E51673">
        <w:rPr>
          <w:rFonts w:ascii="Verdana" w:hAnsi="Verdana"/>
          <w:bCs/>
          <w:sz w:val="22"/>
          <w:szCs w:val="22"/>
        </w:rPr>
        <w:t xml:space="preserve"> </w:t>
      </w:r>
      <w:r w:rsidR="00B60D79" w:rsidRPr="00E51673">
        <w:rPr>
          <w:rFonts w:ascii="Verdana" w:hAnsi="Verdana"/>
          <w:bCs/>
          <w:sz w:val="22"/>
          <w:szCs w:val="22"/>
        </w:rPr>
        <w:t>vida útil y la confiabilidad</w:t>
      </w:r>
      <w:r w:rsidR="00CE5D7C" w:rsidRPr="00E51673">
        <w:rPr>
          <w:rFonts w:ascii="Verdana" w:hAnsi="Verdana"/>
          <w:bCs/>
          <w:sz w:val="22"/>
          <w:szCs w:val="22"/>
        </w:rPr>
        <w:t xml:space="preserve">. En el subcomité se hizo un grupo de trabajo para </w:t>
      </w:r>
      <w:r w:rsidR="00414DDF">
        <w:rPr>
          <w:rFonts w:ascii="Verdana" w:hAnsi="Verdana"/>
          <w:bCs/>
          <w:sz w:val="22"/>
          <w:szCs w:val="22"/>
        </w:rPr>
        <w:t xml:space="preserve">la </w:t>
      </w:r>
      <w:r w:rsidR="00CE5D7C" w:rsidRPr="00E51673">
        <w:rPr>
          <w:rFonts w:ascii="Verdana" w:hAnsi="Verdana"/>
          <w:bCs/>
          <w:sz w:val="22"/>
          <w:szCs w:val="22"/>
        </w:rPr>
        <w:t xml:space="preserve">armonización de las conclusiones de la situación presentada por Gecelca y TEBSA y la redacción de una comunicación dirigida a la CREG con </w:t>
      </w:r>
      <w:r w:rsidR="00414DDF">
        <w:rPr>
          <w:rFonts w:ascii="Verdana" w:hAnsi="Verdana"/>
          <w:bCs/>
          <w:sz w:val="22"/>
          <w:szCs w:val="22"/>
        </w:rPr>
        <w:t xml:space="preserve">una </w:t>
      </w:r>
      <w:r w:rsidR="00CE5D7C" w:rsidRPr="00E51673">
        <w:rPr>
          <w:rFonts w:ascii="Verdana" w:hAnsi="Verdana"/>
          <w:bCs/>
          <w:sz w:val="22"/>
          <w:szCs w:val="22"/>
        </w:rPr>
        <w:t xml:space="preserve">propuestas de corto plazo. </w:t>
      </w:r>
    </w:p>
    <w:p w14:paraId="2A8773DC" w14:textId="77777777" w:rsidR="004E5458" w:rsidRPr="0025028F" w:rsidRDefault="004E5458" w:rsidP="0025028F">
      <w:pPr>
        <w:pStyle w:val="Prrafodelista"/>
        <w:rPr>
          <w:rFonts w:ascii="Verdana" w:hAnsi="Verdana"/>
          <w:bCs/>
          <w:sz w:val="22"/>
          <w:szCs w:val="22"/>
        </w:rPr>
      </w:pPr>
    </w:p>
    <w:p w14:paraId="731ADFE0" w14:textId="5A47FC41" w:rsidR="00414DDF" w:rsidRDefault="005E5BED" w:rsidP="00E51673">
      <w:pPr>
        <w:pStyle w:val="Prrafodelista"/>
        <w:numPr>
          <w:ilvl w:val="0"/>
          <w:numId w:val="2"/>
        </w:numPr>
        <w:jc w:val="both"/>
        <w:rPr>
          <w:rFonts w:ascii="Verdana" w:hAnsi="Verdana"/>
          <w:bCs/>
          <w:sz w:val="22"/>
          <w:szCs w:val="22"/>
        </w:rPr>
      </w:pPr>
      <w:r>
        <w:rPr>
          <w:rFonts w:ascii="Verdana" w:hAnsi="Verdana"/>
          <w:bCs/>
          <w:sz w:val="22"/>
          <w:szCs w:val="22"/>
        </w:rPr>
        <w:t xml:space="preserve">De acuerdo con la Resolución CREG 41 de 2020, el 30 de junio </w:t>
      </w:r>
      <w:r w:rsidR="00414DDF">
        <w:rPr>
          <w:rFonts w:ascii="Verdana" w:hAnsi="Verdana"/>
          <w:bCs/>
          <w:sz w:val="22"/>
          <w:szCs w:val="22"/>
        </w:rPr>
        <w:t>del año en curso</w:t>
      </w:r>
      <w:r>
        <w:rPr>
          <w:rFonts w:ascii="Verdana" w:hAnsi="Verdana"/>
          <w:bCs/>
          <w:sz w:val="22"/>
          <w:szCs w:val="22"/>
        </w:rPr>
        <w:t xml:space="preserve"> vence el plazo para que el Consejo expida los acuerdos relacionados con el esquema </w:t>
      </w:r>
      <w:r w:rsidR="00414DDF">
        <w:rPr>
          <w:rFonts w:ascii="Verdana" w:hAnsi="Verdana"/>
          <w:bCs/>
          <w:sz w:val="22"/>
          <w:szCs w:val="22"/>
        </w:rPr>
        <w:t>que permite a</w:t>
      </w:r>
      <w:r>
        <w:rPr>
          <w:rFonts w:ascii="Verdana" w:hAnsi="Verdana"/>
          <w:bCs/>
          <w:sz w:val="22"/>
          <w:szCs w:val="22"/>
        </w:rPr>
        <w:t xml:space="preserve"> los generadores compartir activos de conexión al SIN </w:t>
      </w:r>
      <w:r w:rsidR="00414DDF">
        <w:rPr>
          <w:rFonts w:ascii="Verdana" w:hAnsi="Verdana"/>
          <w:bCs/>
          <w:sz w:val="22"/>
          <w:szCs w:val="22"/>
        </w:rPr>
        <w:t>(</w:t>
      </w:r>
      <w:r>
        <w:rPr>
          <w:rFonts w:ascii="Verdana" w:hAnsi="Verdana"/>
          <w:bCs/>
          <w:sz w:val="22"/>
          <w:szCs w:val="22"/>
        </w:rPr>
        <w:t>Resolución CREG 200</w:t>
      </w:r>
      <w:r w:rsidR="00414DDF">
        <w:rPr>
          <w:rFonts w:ascii="Verdana" w:hAnsi="Verdana"/>
          <w:bCs/>
          <w:sz w:val="22"/>
          <w:szCs w:val="22"/>
        </w:rPr>
        <w:t xml:space="preserve"> de 2020)</w:t>
      </w:r>
      <w:r>
        <w:rPr>
          <w:rFonts w:ascii="Verdana" w:hAnsi="Verdana"/>
          <w:bCs/>
          <w:sz w:val="22"/>
          <w:szCs w:val="22"/>
        </w:rPr>
        <w:t xml:space="preserve">. Se convocará una reunión extraordinaria para presentar los acuerdos para </w:t>
      </w:r>
      <w:r w:rsidR="00414DDF">
        <w:rPr>
          <w:rFonts w:ascii="Verdana" w:hAnsi="Verdana"/>
          <w:bCs/>
          <w:sz w:val="22"/>
          <w:szCs w:val="22"/>
        </w:rPr>
        <w:t xml:space="preserve">su </w:t>
      </w:r>
      <w:r>
        <w:rPr>
          <w:rFonts w:ascii="Verdana" w:hAnsi="Verdana"/>
          <w:bCs/>
          <w:sz w:val="22"/>
          <w:szCs w:val="22"/>
        </w:rPr>
        <w:t>aprobación.</w:t>
      </w:r>
    </w:p>
    <w:p w14:paraId="7515BD3B" w14:textId="77777777" w:rsidR="00414DDF" w:rsidRPr="00E51673" w:rsidRDefault="00414DDF" w:rsidP="00E51673">
      <w:pPr>
        <w:rPr>
          <w:rFonts w:ascii="Verdana" w:hAnsi="Verdana"/>
          <w:bCs/>
          <w:sz w:val="22"/>
          <w:szCs w:val="22"/>
        </w:rPr>
      </w:pPr>
    </w:p>
    <w:p w14:paraId="36327921" w14:textId="16A52195" w:rsidR="00414DDF" w:rsidRDefault="00540587" w:rsidP="00414DDF">
      <w:pPr>
        <w:pStyle w:val="Prrafodelista"/>
        <w:ind w:left="360"/>
        <w:jc w:val="both"/>
        <w:rPr>
          <w:rFonts w:ascii="Verdana" w:hAnsi="Verdana"/>
          <w:bCs/>
          <w:sz w:val="22"/>
          <w:szCs w:val="22"/>
        </w:rPr>
      </w:pPr>
      <w:r w:rsidRPr="00E51673">
        <w:rPr>
          <w:rFonts w:ascii="Verdana" w:hAnsi="Verdana"/>
          <w:bCs/>
          <w:sz w:val="22"/>
          <w:szCs w:val="22"/>
        </w:rPr>
        <w:t xml:space="preserve">Los Acuerdos que se han revisado </w:t>
      </w:r>
      <w:r w:rsidR="00FE055F" w:rsidRPr="00E51673">
        <w:rPr>
          <w:rFonts w:ascii="Verdana" w:hAnsi="Verdana"/>
          <w:bCs/>
          <w:sz w:val="22"/>
          <w:szCs w:val="22"/>
        </w:rPr>
        <w:t xml:space="preserve">en los subcomités y comités del CNO </w:t>
      </w:r>
      <w:r w:rsidRPr="00E51673">
        <w:rPr>
          <w:rFonts w:ascii="Verdana" w:hAnsi="Verdana"/>
          <w:bCs/>
          <w:sz w:val="22"/>
          <w:szCs w:val="22"/>
        </w:rPr>
        <w:t>y cuyas modificaciones se van a presentar al CO y posteriormente al CNO son los siguientes:</w:t>
      </w:r>
    </w:p>
    <w:p w14:paraId="2C98D83E" w14:textId="77777777" w:rsidR="00414DDF" w:rsidRPr="00E51673" w:rsidRDefault="00414DDF" w:rsidP="00E51673">
      <w:pPr>
        <w:pStyle w:val="Prrafodelista"/>
        <w:ind w:left="360"/>
        <w:jc w:val="both"/>
        <w:rPr>
          <w:rFonts w:ascii="Verdana" w:hAnsi="Verdana"/>
          <w:bCs/>
          <w:sz w:val="22"/>
          <w:szCs w:val="22"/>
        </w:rPr>
      </w:pPr>
    </w:p>
    <w:p w14:paraId="3E812FD8" w14:textId="58060E0B" w:rsidR="00007307" w:rsidRPr="009C5275" w:rsidRDefault="00540587" w:rsidP="00414DDF">
      <w:pPr>
        <w:pStyle w:val="Prrafodelista"/>
        <w:numPr>
          <w:ilvl w:val="0"/>
          <w:numId w:val="11"/>
        </w:numPr>
        <w:jc w:val="both"/>
        <w:rPr>
          <w:rFonts w:ascii="Verdana" w:hAnsi="Verdana"/>
          <w:bCs/>
          <w:sz w:val="22"/>
          <w:szCs w:val="22"/>
        </w:rPr>
      </w:pPr>
      <w:r w:rsidRPr="00E51673">
        <w:rPr>
          <w:rFonts w:ascii="Verdana" w:hAnsi="Verdana"/>
          <w:bCs/>
          <w:sz w:val="22"/>
          <w:szCs w:val="22"/>
        </w:rPr>
        <w:t>Acuerdo 1258 Por el cual se actualiza el documento "Requisitos de Protecciones para la conexión de Sistemas de Generación en el SIN"</w:t>
      </w:r>
      <w:r w:rsidR="00414DDF" w:rsidRPr="009C5275">
        <w:rPr>
          <w:rFonts w:ascii="Verdana" w:hAnsi="Verdana"/>
          <w:bCs/>
          <w:sz w:val="22"/>
          <w:szCs w:val="22"/>
        </w:rPr>
        <w:t>.</w:t>
      </w:r>
    </w:p>
    <w:p w14:paraId="4CE4BC78" w14:textId="77777777" w:rsidR="00414DDF" w:rsidRPr="00E51673" w:rsidRDefault="00414DDF" w:rsidP="00E51673">
      <w:pPr>
        <w:pStyle w:val="Prrafodelista"/>
        <w:ind w:left="720"/>
        <w:jc w:val="both"/>
        <w:rPr>
          <w:rFonts w:ascii="Verdana" w:hAnsi="Verdana"/>
          <w:bCs/>
          <w:sz w:val="22"/>
          <w:szCs w:val="22"/>
        </w:rPr>
      </w:pPr>
    </w:p>
    <w:p w14:paraId="326D449A" w14:textId="7134E440" w:rsidR="00007307" w:rsidRPr="00E51673" w:rsidRDefault="00540587" w:rsidP="00E51673">
      <w:pPr>
        <w:pStyle w:val="Prrafodelista"/>
        <w:ind w:left="720"/>
        <w:jc w:val="both"/>
        <w:rPr>
          <w:rFonts w:ascii="Verdana" w:hAnsi="Verdana"/>
          <w:sz w:val="22"/>
          <w:szCs w:val="22"/>
        </w:rPr>
      </w:pPr>
      <w:r w:rsidRPr="00E51673">
        <w:rPr>
          <w:rFonts w:ascii="Verdana" w:hAnsi="Verdana"/>
          <w:sz w:val="22"/>
          <w:szCs w:val="22"/>
        </w:rPr>
        <w:t>Acuerdo 1209 Por el cual se aprueba la definición y los formatos de reporte de los parámetros técnicos para el planeamiento operativo del SIN</w:t>
      </w:r>
      <w:r w:rsidR="00414DDF" w:rsidRPr="00E51673">
        <w:rPr>
          <w:rFonts w:ascii="Verdana" w:hAnsi="Verdana"/>
          <w:sz w:val="22"/>
          <w:szCs w:val="22"/>
        </w:rPr>
        <w:t xml:space="preserve"> </w:t>
      </w:r>
      <w:r w:rsidRPr="00E51673">
        <w:rPr>
          <w:rFonts w:ascii="Verdana" w:hAnsi="Verdana"/>
          <w:sz w:val="22"/>
          <w:szCs w:val="22"/>
        </w:rPr>
        <w:t>(</w:t>
      </w:r>
      <w:r w:rsidR="00414DDF" w:rsidRPr="00E51673">
        <w:rPr>
          <w:rFonts w:ascii="Verdana" w:hAnsi="Verdana"/>
          <w:sz w:val="22"/>
          <w:szCs w:val="22"/>
        </w:rPr>
        <w:t>f</w:t>
      </w:r>
      <w:r w:rsidRPr="00E51673">
        <w:rPr>
          <w:rFonts w:ascii="Verdana" w:hAnsi="Verdana"/>
          <w:sz w:val="22"/>
          <w:szCs w:val="22"/>
        </w:rPr>
        <w:t>ormatos)</w:t>
      </w:r>
      <w:r w:rsidR="00414DDF" w:rsidRPr="00E51673">
        <w:rPr>
          <w:rFonts w:ascii="Verdana" w:hAnsi="Verdana"/>
          <w:sz w:val="22"/>
          <w:szCs w:val="22"/>
        </w:rPr>
        <w:t>.</w:t>
      </w:r>
    </w:p>
    <w:p w14:paraId="75E29BF3" w14:textId="77777777" w:rsidR="00414DDF" w:rsidRPr="00E51673" w:rsidRDefault="00414DDF" w:rsidP="00E51673">
      <w:pPr>
        <w:pStyle w:val="Prrafodelista"/>
        <w:ind w:left="720"/>
        <w:jc w:val="both"/>
        <w:rPr>
          <w:rFonts w:ascii="Verdana" w:hAnsi="Verdana"/>
          <w:sz w:val="22"/>
          <w:szCs w:val="22"/>
        </w:rPr>
      </w:pPr>
    </w:p>
    <w:p w14:paraId="472B9E51" w14:textId="15254E9C" w:rsidR="00007307" w:rsidRPr="00E51673" w:rsidRDefault="00540587" w:rsidP="00E51673">
      <w:pPr>
        <w:pStyle w:val="Prrafodelista"/>
        <w:ind w:left="720"/>
        <w:jc w:val="both"/>
        <w:rPr>
          <w:rFonts w:ascii="Verdana" w:hAnsi="Verdana"/>
          <w:sz w:val="22"/>
          <w:szCs w:val="22"/>
        </w:rPr>
      </w:pPr>
      <w:r w:rsidRPr="00E51673">
        <w:rPr>
          <w:rFonts w:ascii="Verdana" w:hAnsi="Verdana"/>
          <w:sz w:val="22"/>
          <w:szCs w:val="22"/>
        </w:rPr>
        <w:t xml:space="preserve">Acuerdo 1236 </w:t>
      </w:r>
      <w:r w:rsidR="00FE055F" w:rsidRPr="00E51673">
        <w:rPr>
          <w:rFonts w:ascii="Verdana" w:hAnsi="Verdana"/>
          <w:sz w:val="22"/>
          <w:szCs w:val="22"/>
        </w:rPr>
        <w:t>Por el cual se actualiza la definición de los tipos de pruebas para las plantas o unidades de generación que están autorizadas para desviarse</w:t>
      </w:r>
      <w:r w:rsidR="00414DDF" w:rsidRPr="00E51673">
        <w:rPr>
          <w:rFonts w:ascii="Verdana" w:hAnsi="Verdana"/>
          <w:sz w:val="22"/>
          <w:szCs w:val="22"/>
        </w:rPr>
        <w:t>.</w:t>
      </w:r>
    </w:p>
    <w:p w14:paraId="7E06F72D" w14:textId="77777777" w:rsidR="00414DDF" w:rsidRPr="00E51673" w:rsidRDefault="00414DDF" w:rsidP="00E51673">
      <w:pPr>
        <w:pStyle w:val="Prrafodelista"/>
        <w:ind w:left="720"/>
        <w:jc w:val="both"/>
        <w:rPr>
          <w:rFonts w:ascii="Verdana" w:hAnsi="Verdana"/>
          <w:sz w:val="22"/>
          <w:szCs w:val="22"/>
        </w:rPr>
      </w:pPr>
    </w:p>
    <w:p w14:paraId="21CBA04A" w14:textId="534564C0" w:rsidR="00007307" w:rsidRPr="00E51673" w:rsidRDefault="00540587" w:rsidP="009C5275">
      <w:pPr>
        <w:pStyle w:val="Prrafodelista"/>
        <w:numPr>
          <w:ilvl w:val="0"/>
          <w:numId w:val="11"/>
        </w:numPr>
        <w:jc w:val="both"/>
        <w:rPr>
          <w:rFonts w:ascii="Verdana" w:hAnsi="Verdana"/>
          <w:sz w:val="22"/>
          <w:szCs w:val="22"/>
        </w:rPr>
      </w:pPr>
      <w:r w:rsidRPr="00E51673">
        <w:rPr>
          <w:rFonts w:ascii="Verdana" w:hAnsi="Verdana"/>
          <w:sz w:val="22"/>
          <w:szCs w:val="22"/>
        </w:rPr>
        <w:t>Acuerdo 1238 Por el cual se actualiza la estandarización del formato de registro, envío de información y clasificación de eventos de generación por parte de los agentes generadores al Centro Nacional de Despacho para el cálculo de los Índices de Indisponibilidad Histórica</w:t>
      </w:r>
      <w:r w:rsidR="00414DDF" w:rsidRPr="00E51673">
        <w:rPr>
          <w:rFonts w:ascii="Verdana" w:hAnsi="Verdana"/>
          <w:sz w:val="22"/>
          <w:szCs w:val="22"/>
        </w:rPr>
        <w:t>.</w:t>
      </w:r>
    </w:p>
    <w:p w14:paraId="4AE35004" w14:textId="77777777" w:rsidR="009C5275" w:rsidRPr="00E51673" w:rsidRDefault="009C5275" w:rsidP="00E51673">
      <w:pPr>
        <w:pStyle w:val="Prrafodelista"/>
        <w:ind w:left="720"/>
        <w:jc w:val="both"/>
        <w:rPr>
          <w:rFonts w:ascii="Verdana" w:hAnsi="Verdana"/>
          <w:sz w:val="22"/>
          <w:szCs w:val="22"/>
        </w:rPr>
      </w:pPr>
    </w:p>
    <w:p w14:paraId="46A378DC" w14:textId="28370ECA" w:rsidR="009C5275" w:rsidRPr="00E51673" w:rsidRDefault="00540587" w:rsidP="00E51673">
      <w:pPr>
        <w:pStyle w:val="Prrafodelista"/>
        <w:numPr>
          <w:ilvl w:val="0"/>
          <w:numId w:val="11"/>
        </w:numPr>
        <w:jc w:val="both"/>
        <w:rPr>
          <w:rFonts w:ascii="Verdana" w:hAnsi="Verdana"/>
          <w:sz w:val="22"/>
          <w:szCs w:val="22"/>
        </w:rPr>
      </w:pPr>
      <w:r w:rsidRPr="00E51673">
        <w:rPr>
          <w:rFonts w:ascii="Verdana" w:hAnsi="Verdana"/>
          <w:sz w:val="22"/>
          <w:szCs w:val="22"/>
        </w:rPr>
        <w:t>Acuerdo 512 Ajuste de la redacción procedimiento CEN plantas hidráulicas (Anexo)</w:t>
      </w:r>
      <w:r w:rsidR="009C5275" w:rsidRPr="00E51673">
        <w:rPr>
          <w:rFonts w:ascii="Verdana" w:hAnsi="Verdana"/>
          <w:sz w:val="22"/>
          <w:szCs w:val="22"/>
        </w:rPr>
        <w:t>.</w:t>
      </w:r>
    </w:p>
    <w:p w14:paraId="39961344" w14:textId="633F2A95" w:rsidR="00007307" w:rsidRPr="00E51673" w:rsidRDefault="00540587" w:rsidP="009C5275">
      <w:pPr>
        <w:pStyle w:val="Prrafodelista"/>
        <w:numPr>
          <w:ilvl w:val="0"/>
          <w:numId w:val="11"/>
        </w:numPr>
        <w:jc w:val="both"/>
        <w:rPr>
          <w:rFonts w:ascii="Verdana" w:hAnsi="Verdana"/>
          <w:sz w:val="22"/>
          <w:szCs w:val="22"/>
        </w:rPr>
      </w:pPr>
      <w:r w:rsidRPr="00E51673">
        <w:rPr>
          <w:rFonts w:ascii="Verdana" w:hAnsi="Verdana"/>
          <w:sz w:val="22"/>
          <w:szCs w:val="22"/>
        </w:rPr>
        <w:lastRenderedPageBreak/>
        <w:t>Acuerdo 1127 Por el cual se aprueban los protocolos asociados al cálculo de la ENFICC de las plantas eólicas (Anexo 2 ajuste redacción CEN plantas eólicas)</w:t>
      </w:r>
      <w:r w:rsidR="009C5275" w:rsidRPr="00E51673">
        <w:rPr>
          <w:rFonts w:ascii="Verdana" w:hAnsi="Verdana"/>
          <w:sz w:val="22"/>
          <w:szCs w:val="22"/>
        </w:rPr>
        <w:t>.</w:t>
      </w:r>
    </w:p>
    <w:p w14:paraId="0CA135AE" w14:textId="77777777" w:rsidR="009C5275" w:rsidRPr="00E51673" w:rsidRDefault="009C5275" w:rsidP="00E51673">
      <w:pPr>
        <w:pStyle w:val="Prrafodelista"/>
        <w:ind w:left="720"/>
        <w:jc w:val="both"/>
        <w:rPr>
          <w:rFonts w:ascii="Verdana" w:hAnsi="Verdana"/>
          <w:sz w:val="22"/>
          <w:szCs w:val="22"/>
        </w:rPr>
      </w:pPr>
    </w:p>
    <w:p w14:paraId="0CD57ED0" w14:textId="1438AF28" w:rsidR="00007307" w:rsidRPr="00E51673" w:rsidRDefault="00540587" w:rsidP="009C5275">
      <w:pPr>
        <w:pStyle w:val="Prrafodelista"/>
        <w:numPr>
          <w:ilvl w:val="0"/>
          <w:numId w:val="11"/>
        </w:numPr>
        <w:jc w:val="both"/>
        <w:rPr>
          <w:rFonts w:ascii="Verdana" w:hAnsi="Verdana"/>
          <w:sz w:val="22"/>
          <w:szCs w:val="22"/>
        </w:rPr>
      </w:pPr>
      <w:r w:rsidRPr="00E51673">
        <w:rPr>
          <w:rFonts w:ascii="Verdana" w:hAnsi="Verdana"/>
          <w:sz w:val="22"/>
          <w:szCs w:val="22"/>
        </w:rPr>
        <w:t>Acuerdo 1213 Por el cual se actualiza la definición y los formatos de reporte de los parámetros técnicos de las plantas eólicas y solares fotovoltaicas que se quieran conectar al Sistema de Transmisión Nacional STN, al Sistema de Transmisión Regional STR y al Sistema de Distribución Local SDL (</w:t>
      </w:r>
      <w:r w:rsidR="009C5275" w:rsidRPr="00E51673">
        <w:rPr>
          <w:rFonts w:ascii="Verdana" w:hAnsi="Verdana"/>
          <w:sz w:val="22"/>
          <w:szCs w:val="22"/>
        </w:rPr>
        <w:t>f</w:t>
      </w:r>
      <w:r w:rsidRPr="00E51673">
        <w:rPr>
          <w:rFonts w:ascii="Verdana" w:hAnsi="Verdana"/>
          <w:sz w:val="22"/>
          <w:szCs w:val="22"/>
        </w:rPr>
        <w:t>ormatos)</w:t>
      </w:r>
      <w:r w:rsidR="009C5275" w:rsidRPr="00E51673">
        <w:rPr>
          <w:rFonts w:ascii="Verdana" w:hAnsi="Verdana"/>
          <w:sz w:val="22"/>
          <w:szCs w:val="22"/>
        </w:rPr>
        <w:t>.</w:t>
      </w:r>
    </w:p>
    <w:p w14:paraId="74672A0F" w14:textId="77777777" w:rsidR="009C5275" w:rsidRPr="00E51673" w:rsidRDefault="009C5275" w:rsidP="00E51673">
      <w:pPr>
        <w:pStyle w:val="Prrafodelista"/>
        <w:ind w:left="720"/>
        <w:jc w:val="both"/>
        <w:rPr>
          <w:rFonts w:ascii="Verdana" w:hAnsi="Verdana"/>
          <w:sz w:val="22"/>
          <w:szCs w:val="22"/>
        </w:rPr>
      </w:pPr>
    </w:p>
    <w:p w14:paraId="497E1471" w14:textId="26FAFA10" w:rsidR="00540587" w:rsidRPr="00E51673" w:rsidRDefault="00540587" w:rsidP="00E51673">
      <w:pPr>
        <w:pStyle w:val="Prrafodelista"/>
        <w:numPr>
          <w:ilvl w:val="0"/>
          <w:numId w:val="11"/>
        </w:numPr>
        <w:jc w:val="both"/>
        <w:rPr>
          <w:rFonts w:ascii="Verdana" w:hAnsi="Verdana"/>
          <w:sz w:val="22"/>
          <w:szCs w:val="22"/>
        </w:rPr>
      </w:pPr>
      <w:r w:rsidRPr="00E51673">
        <w:rPr>
          <w:rFonts w:ascii="Verdana" w:hAnsi="Verdana"/>
          <w:sz w:val="22"/>
          <w:szCs w:val="22"/>
        </w:rPr>
        <w:t>Acuerdo 1214 Por el cual se aprueba el Procedimiento para la entrada en operación comercial de proyectos de transmisión que incluyan activos de uso del Sistema de Transmisión Nacional - STN -, del Sistema de Transmisión Regional-STR</w:t>
      </w:r>
      <w:r w:rsidR="009C5275" w:rsidRPr="00E51673">
        <w:rPr>
          <w:rFonts w:ascii="Verdana" w:hAnsi="Verdana"/>
          <w:sz w:val="22"/>
          <w:szCs w:val="22"/>
        </w:rPr>
        <w:t>-</w:t>
      </w:r>
      <w:r w:rsidRPr="00E51673">
        <w:rPr>
          <w:rFonts w:ascii="Verdana" w:hAnsi="Verdana"/>
          <w:sz w:val="22"/>
          <w:szCs w:val="22"/>
        </w:rPr>
        <w:t>, de usuarios conectados directamente al STN y de recursos de generación</w:t>
      </w:r>
      <w:r w:rsidR="009C5275" w:rsidRPr="00E51673">
        <w:rPr>
          <w:rFonts w:ascii="Verdana" w:hAnsi="Verdana"/>
          <w:sz w:val="22"/>
          <w:szCs w:val="22"/>
        </w:rPr>
        <w:t>.</w:t>
      </w:r>
    </w:p>
    <w:p w14:paraId="3902D5C5" w14:textId="0557F4E2" w:rsidR="005E5BED" w:rsidRDefault="00540587" w:rsidP="00E51673">
      <w:pPr>
        <w:jc w:val="both"/>
        <w:rPr>
          <w:rFonts w:ascii="Verdana" w:hAnsi="Verdana"/>
          <w:bCs/>
          <w:sz w:val="22"/>
          <w:szCs w:val="22"/>
        </w:rPr>
      </w:pPr>
      <w:r>
        <w:rPr>
          <w:rFonts w:ascii="Verdana" w:hAnsi="Verdana"/>
          <w:bCs/>
          <w:sz w:val="22"/>
          <w:szCs w:val="22"/>
        </w:rPr>
        <w:t xml:space="preserve"> </w:t>
      </w:r>
    </w:p>
    <w:p w14:paraId="3D9D3F53" w14:textId="34305E76" w:rsidR="009C5275" w:rsidRPr="00A93C39" w:rsidRDefault="00A97D64" w:rsidP="00E51673">
      <w:pPr>
        <w:pStyle w:val="Prrafodelista"/>
        <w:numPr>
          <w:ilvl w:val="0"/>
          <w:numId w:val="2"/>
        </w:numPr>
        <w:jc w:val="both"/>
      </w:pPr>
      <w:r>
        <w:rPr>
          <w:rFonts w:ascii="Verdana" w:hAnsi="Verdana"/>
          <w:bCs/>
          <w:sz w:val="22"/>
          <w:szCs w:val="22"/>
        </w:rPr>
        <w:t>El 26</w:t>
      </w:r>
      <w:r w:rsidR="00561CF0">
        <w:rPr>
          <w:rFonts w:ascii="Verdana" w:hAnsi="Verdana"/>
          <w:bCs/>
          <w:sz w:val="22"/>
          <w:szCs w:val="22"/>
        </w:rPr>
        <w:t xml:space="preserve"> de junio se va a realizar </w:t>
      </w:r>
      <w:r w:rsidR="009C5275">
        <w:rPr>
          <w:rFonts w:ascii="Verdana" w:hAnsi="Verdana"/>
          <w:bCs/>
          <w:sz w:val="22"/>
          <w:szCs w:val="22"/>
        </w:rPr>
        <w:t>de manera virtual el</w:t>
      </w:r>
      <w:r w:rsidR="00561CF0">
        <w:rPr>
          <w:rFonts w:ascii="Verdana" w:hAnsi="Verdana"/>
          <w:bCs/>
          <w:sz w:val="22"/>
          <w:szCs w:val="22"/>
        </w:rPr>
        <w:t xml:space="preserve"> Taller de Demanda de </w:t>
      </w:r>
      <w:r w:rsidR="00A93C39">
        <w:rPr>
          <w:rFonts w:ascii="Verdana" w:hAnsi="Verdana"/>
          <w:bCs/>
          <w:sz w:val="22"/>
          <w:szCs w:val="22"/>
        </w:rPr>
        <w:t>E</w:t>
      </w:r>
      <w:r w:rsidR="00561CF0">
        <w:rPr>
          <w:rFonts w:ascii="Verdana" w:hAnsi="Verdana"/>
          <w:bCs/>
          <w:sz w:val="22"/>
          <w:szCs w:val="22"/>
        </w:rPr>
        <w:t>nergía</w:t>
      </w:r>
      <w:r w:rsidR="009C5275">
        <w:rPr>
          <w:rFonts w:ascii="Verdana" w:hAnsi="Verdana"/>
          <w:bCs/>
          <w:sz w:val="22"/>
          <w:szCs w:val="22"/>
        </w:rPr>
        <w:t xml:space="preserve"> 2020</w:t>
      </w:r>
      <w:r w:rsidR="00561CF0">
        <w:rPr>
          <w:rFonts w:ascii="Verdana" w:hAnsi="Verdana"/>
          <w:bCs/>
          <w:sz w:val="22"/>
          <w:szCs w:val="22"/>
        </w:rPr>
        <w:t>, organizado por el Comité de Distribución.</w:t>
      </w:r>
      <w:r w:rsidR="009C5275">
        <w:rPr>
          <w:rFonts w:ascii="Verdana" w:hAnsi="Verdana"/>
          <w:bCs/>
          <w:sz w:val="22"/>
          <w:szCs w:val="22"/>
        </w:rPr>
        <w:t xml:space="preserve"> El objetivo </w:t>
      </w:r>
      <w:r w:rsidR="00A93C39">
        <w:rPr>
          <w:rFonts w:ascii="Verdana" w:hAnsi="Verdana"/>
          <w:bCs/>
          <w:sz w:val="22"/>
          <w:szCs w:val="22"/>
        </w:rPr>
        <w:t xml:space="preserve">de este es presentar las diferentes metodologías empleadas por los Operadores de Red-OR para el pronóstico de la demanda de energía eléctrica en el corto y mediano plazo. Asimismo, se contará con la participación de varias cargas especiales y empresas dedicadas al desarrollo de herramientas analíticas para la elaboración de dichos pronósticos. </w:t>
      </w:r>
      <w:r w:rsidR="009C5275">
        <w:rPr>
          <w:rFonts w:ascii="Verdana" w:hAnsi="Verdana"/>
          <w:bCs/>
          <w:sz w:val="22"/>
          <w:szCs w:val="22"/>
        </w:rPr>
        <w:t xml:space="preserve"> </w:t>
      </w:r>
    </w:p>
    <w:p w14:paraId="6C5EA1A1" w14:textId="31FD234C" w:rsidR="007342DB" w:rsidRDefault="007342DB" w:rsidP="00E51673">
      <w:pPr>
        <w:pStyle w:val="Prrafodelista"/>
        <w:ind w:left="360"/>
        <w:jc w:val="both"/>
        <w:rPr>
          <w:rFonts w:ascii="Verdana" w:hAnsi="Verdana"/>
          <w:bCs/>
          <w:sz w:val="22"/>
          <w:szCs w:val="22"/>
        </w:rPr>
      </w:pPr>
    </w:p>
    <w:p w14:paraId="35C2DA9A" w14:textId="0DB8DE81" w:rsidR="009C5275" w:rsidRDefault="00A93C39" w:rsidP="009C5275">
      <w:pPr>
        <w:pStyle w:val="Prrafodelista"/>
        <w:numPr>
          <w:ilvl w:val="0"/>
          <w:numId w:val="2"/>
        </w:numPr>
        <w:jc w:val="both"/>
        <w:rPr>
          <w:rFonts w:ascii="Verdana" w:hAnsi="Verdana"/>
          <w:bCs/>
          <w:sz w:val="22"/>
          <w:szCs w:val="22"/>
        </w:rPr>
      </w:pPr>
      <w:r>
        <w:rPr>
          <w:rFonts w:ascii="Verdana" w:hAnsi="Verdana"/>
          <w:bCs/>
          <w:sz w:val="22"/>
          <w:szCs w:val="22"/>
        </w:rPr>
        <w:t xml:space="preserve">La UPME publicó para comentarios </w:t>
      </w:r>
      <w:r w:rsidR="001C4065">
        <w:rPr>
          <w:rFonts w:ascii="Verdana" w:hAnsi="Verdana"/>
          <w:bCs/>
          <w:sz w:val="22"/>
          <w:szCs w:val="22"/>
        </w:rPr>
        <w:t xml:space="preserve">hasta el 19 de junio </w:t>
      </w:r>
      <w:r>
        <w:rPr>
          <w:rFonts w:ascii="Verdana" w:hAnsi="Verdana"/>
          <w:bCs/>
          <w:sz w:val="22"/>
          <w:szCs w:val="22"/>
        </w:rPr>
        <w:t>l</w:t>
      </w:r>
      <w:r w:rsidR="001C4065">
        <w:rPr>
          <w:rFonts w:ascii="Verdana" w:hAnsi="Verdana"/>
          <w:bCs/>
          <w:sz w:val="22"/>
          <w:szCs w:val="22"/>
        </w:rPr>
        <w:t>a</w:t>
      </w:r>
      <w:r>
        <w:rPr>
          <w:rFonts w:ascii="Verdana" w:hAnsi="Verdana"/>
          <w:bCs/>
          <w:sz w:val="22"/>
          <w:szCs w:val="22"/>
        </w:rPr>
        <w:t xml:space="preserve"> </w:t>
      </w:r>
      <w:r w:rsidR="001C4065">
        <w:rPr>
          <w:rFonts w:ascii="Verdana" w:hAnsi="Verdana"/>
          <w:bCs/>
          <w:sz w:val="22"/>
          <w:szCs w:val="22"/>
        </w:rPr>
        <w:t>p</w:t>
      </w:r>
      <w:r w:rsidRPr="00A93C39">
        <w:rPr>
          <w:rFonts w:ascii="Verdana" w:hAnsi="Verdana"/>
          <w:bCs/>
          <w:sz w:val="22"/>
          <w:szCs w:val="22"/>
        </w:rPr>
        <w:t xml:space="preserve">republicación de la Convocatoria Pública </w:t>
      </w:r>
      <w:r w:rsidR="001C4065">
        <w:rPr>
          <w:rFonts w:ascii="Verdana" w:hAnsi="Verdana"/>
          <w:bCs/>
          <w:sz w:val="22"/>
          <w:szCs w:val="22"/>
        </w:rPr>
        <w:t>“</w:t>
      </w:r>
      <w:r w:rsidRPr="00A93C39">
        <w:rPr>
          <w:rFonts w:ascii="Verdana" w:hAnsi="Verdana"/>
          <w:bCs/>
          <w:sz w:val="22"/>
          <w:szCs w:val="22"/>
        </w:rPr>
        <w:t>UPME STR 01</w:t>
      </w:r>
      <w:r w:rsidR="001C4065">
        <w:rPr>
          <w:rFonts w:ascii="Verdana" w:hAnsi="Verdana"/>
          <w:bCs/>
          <w:sz w:val="22"/>
          <w:szCs w:val="22"/>
        </w:rPr>
        <w:t>-</w:t>
      </w:r>
      <w:r w:rsidRPr="00A93C39">
        <w:rPr>
          <w:rFonts w:ascii="Verdana" w:hAnsi="Verdana"/>
          <w:bCs/>
          <w:sz w:val="22"/>
          <w:szCs w:val="22"/>
        </w:rPr>
        <w:t>2020</w:t>
      </w:r>
      <w:r w:rsidR="001C4065">
        <w:rPr>
          <w:rFonts w:ascii="Verdana" w:hAnsi="Verdana"/>
          <w:bCs/>
          <w:sz w:val="22"/>
          <w:szCs w:val="22"/>
        </w:rPr>
        <w:t xml:space="preserve">, </w:t>
      </w:r>
      <w:r w:rsidRPr="00A93C39">
        <w:rPr>
          <w:rFonts w:ascii="Verdana" w:hAnsi="Verdana"/>
          <w:bCs/>
          <w:sz w:val="22"/>
          <w:szCs w:val="22"/>
        </w:rPr>
        <w:t>Almacenamiento de Energía con Baterías-Atlántico</w:t>
      </w:r>
      <w:r w:rsidR="001C4065">
        <w:rPr>
          <w:rFonts w:ascii="Verdana" w:hAnsi="Verdana"/>
          <w:bCs/>
          <w:sz w:val="22"/>
          <w:szCs w:val="22"/>
        </w:rPr>
        <w:t xml:space="preserve">”. Teniendo en cuneta el contenido de </w:t>
      </w:r>
      <w:r w:rsidR="00007307">
        <w:rPr>
          <w:rFonts w:ascii="Verdana" w:hAnsi="Verdana"/>
          <w:bCs/>
          <w:sz w:val="22"/>
          <w:szCs w:val="22"/>
        </w:rPr>
        <w:t>esta</w:t>
      </w:r>
      <w:r w:rsidR="001C4065">
        <w:rPr>
          <w:rFonts w:ascii="Verdana" w:hAnsi="Verdana"/>
          <w:bCs/>
          <w:sz w:val="22"/>
          <w:szCs w:val="22"/>
        </w:rPr>
        <w:t xml:space="preserve"> y sus anexos, se acordó en los Subcomités de Análisis y Planeamiento Eléctrico-</w:t>
      </w:r>
      <w:r w:rsidR="003B7E66">
        <w:rPr>
          <w:rFonts w:ascii="Verdana" w:hAnsi="Verdana"/>
          <w:bCs/>
          <w:sz w:val="22"/>
          <w:szCs w:val="22"/>
        </w:rPr>
        <w:t>SAPE, Plantas-SP, y en los Comités de Operación y Distribución, formular las respectivas observaciones. Se debe mencionar que aún no son claras las funciones para estos dispositivos en la gestión de restricciones (si aplica para el tipo operativa o eléctrica) y si la obra ya es</w:t>
      </w:r>
      <w:r w:rsidR="00007307">
        <w:rPr>
          <w:rFonts w:ascii="Verdana" w:hAnsi="Verdana"/>
          <w:bCs/>
          <w:sz w:val="22"/>
          <w:szCs w:val="22"/>
        </w:rPr>
        <w:t>tá</w:t>
      </w:r>
      <w:r w:rsidR="003B7E66">
        <w:rPr>
          <w:rFonts w:ascii="Verdana" w:hAnsi="Verdana"/>
          <w:bCs/>
          <w:sz w:val="22"/>
          <w:szCs w:val="22"/>
        </w:rPr>
        <w:t xml:space="preserve"> definitiva o se podría replantear</w:t>
      </w:r>
      <w:r w:rsidR="00007307">
        <w:rPr>
          <w:rFonts w:ascii="Verdana" w:hAnsi="Verdana"/>
          <w:bCs/>
          <w:sz w:val="22"/>
          <w:szCs w:val="22"/>
        </w:rPr>
        <w:t xml:space="preserve">, lo anterior </w:t>
      </w:r>
      <w:r w:rsidR="003B7E66">
        <w:rPr>
          <w:rFonts w:ascii="Verdana" w:hAnsi="Verdana"/>
          <w:bCs/>
          <w:sz w:val="22"/>
          <w:szCs w:val="22"/>
        </w:rPr>
        <w:t>teniendo en cuenta los beneficios</w:t>
      </w:r>
      <w:r w:rsidR="00007307">
        <w:rPr>
          <w:rFonts w:ascii="Verdana" w:hAnsi="Verdana"/>
          <w:bCs/>
          <w:sz w:val="22"/>
          <w:szCs w:val="22"/>
        </w:rPr>
        <w:t xml:space="preserve"> técnicos, económicos y de oportunidad de ejecución</w:t>
      </w:r>
      <w:r w:rsidR="003B7E66">
        <w:rPr>
          <w:rFonts w:ascii="Verdana" w:hAnsi="Verdana"/>
          <w:bCs/>
          <w:sz w:val="22"/>
          <w:szCs w:val="22"/>
        </w:rPr>
        <w:t xml:space="preserve"> de otro tipo de tecnologías como los DFACTS</w:t>
      </w:r>
      <w:r w:rsidR="00007307">
        <w:rPr>
          <w:rFonts w:ascii="Verdana" w:hAnsi="Verdana"/>
          <w:bCs/>
          <w:sz w:val="22"/>
          <w:szCs w:val="22"/>
        </w:rPr>
        <w:t xml:space="preserve">. </w:t>
      </w:r>
      <w:r w:rsidR="003B7E66">
        <w:rPr>
          <w:rFonts w:ascii="Verdana" w:hAnsi="Verdana"/>
          <w:bCs/>
          <w:sz w:val="22"/>
          <w:szCs w:val="22"/>
        </w:rPr>
        <w:t xml:space="preserve"> </w:t>
      </w:r>
      <w:r w:rsidR="001C4065">
        <w:rPr>
          <w:rFonts w:ascii="Verdana" w:hAnsi="Verdana"/>
          <w:bCs/>
          <w:sz w:val="22"/>
          <w:szCs w:val="22"/>
        </w:rPr>
        <w:t xml:space="preserve"> </w:t>
      </w:r>
    </w:p>
    <w:p w14:paraId="57E17985" w14:textId="79922389" w:rsidR="009C5275" w:rsidRDefault="009C5275" w:rsidP="00E51673">
      <w:pPr>
        <w:pStyle w:val="Prrafodelista"/>
        <w:ind w:left="360"/>
        <w:jc w:val="both"/>
        <w:rPr>
          <w:rFonts w:ascii="Verdana" w:hAnsi="Verdana"/>
          <w:bCs/>
          <w:sz w:val="22"/>
          <w:szCs w:val="22"/>
        </w:rPr>
      </w:pPr>
    </w:p>
    <w:p w14:paraId="45754E9C" w14:textId="41034BA3" w:rsidR="00B34C09" w:rsidRPr="00B34C09" w:rsidRDefault="00007307" w:rsidP="00B34C09">
      <w:pPr>
        <w:pStyle w:val="Prrafodelista"/>
        <w:numPr>
          <w:ilvl w:val="0"/>
          <w:numId w:val="2"/>
        </w:numPr>
        <w:jc w:val="both"/>
        <w:rPr>
          <w:rFonts w:ascii="Verdana" w:hAnsi="Verdana"/>
          <w:bCs/>
          <w:sz w:val="22"/>
          <w:szCs w:val="22"/>
        </w:rPr>
      </w:pPr>
      <w:r>
        <w:rPr>
          <w:rFonts w:ascii="Verdana" w:hAnsi="Verdana"/>
          <w:bCs/>
          <w:sz w:val="22"/>
          <w:szCs w:val="22"/>
        </w:rPr>
        <w:t>La CREG informó al CNO</w:t>
      </w:r>
      <w:r w:rsidR="00B34C09">
        <w:rPr>
          <w:rFonts w:ascii="Verdana" w:hAnsi="Verdana"/>
          <w:bCs/>
          <w:sz w:val="22"/>
          <w:szCs w:val="22"/>
        </w:rPr>
        <w:t xml:space="preserve"> que está elaborando</w:t>
      </w:r>
      <w:r w:rsidR="00B34C09" w:rsidRPr="00B34C09">
        <w:rPr>
          <w:rFonts w:ascii="Verdana" w:hAnsi="Verdana"/>
          <w:bCs/>
          <w:sz w:val="22"/>
          <w:szCs w:val="22"/>
        </w:rPr>
        <w:t xml:space="preserve"> una actualización transitoria del Reglamento de Distribución (</w:t>
      </w:r>
      <w:r w:rsidR="00B34C09">
        <w:rPr>
          <w:rFonts w:ascii="Verdana" w:hAnsi="Verdana"/>
          <w:bCs/>
          <w:sz w:val="22"/>
          <w:szCs w:val="22"/>
        </w:rPr>
        <w:t>R</w:t>
      </w:r>
      <w:r w:rsidR="00B34C09" w:rsidRPr="00B34C09">
        <w:rPr>
          <w:rFonts w:ascii="Verdana" w:hAnsi="Verdana"/>
          <w:bCs/>
          <w:sz w:val="22"/>
          <w:szCs w:val="22"/>
        </w:rPr>
        <w:t xml:space="preserve">esolución </w:t>
      </w:r>
      <w:r w:rsidR="00B34C09">
        <w:rPr>
          <w:rFonts w:ascii="Verdana" w:hAnsi="Verdana"/>
          <w:bCs/>
          <w:sz w:val="22"/>
          <w:szCs w:val="22"/>
        </w:rPr>
        <w:t>0</w:t>
      </w:r>
      <w:r w:rsidR="00B34C09" w:rsidRPr="00B34C09">
        <w:rPr>
          <w:rFonts w:ascii="Verdana" w:hAnsi="Verdana"/>
          <w:bCs/>
          <w:sz w:val="22"/>
          <w:szCs w:val="22"/>
        </w:rPr>
        <w:t>70 de 1998) para considerar las condiciones técnicas que permitan la vinculación de</w:t>
      </w:r>
      <w:r w:rsidR="00B34C09">
        <w:rPr>
          <w:rFonts w:ascii="Verdana" w:hAnsi="Verdana"/>
          <w:bCs/>
          <w:sz w:val="22"/>
          <w:szCs w:val="22"/>
        </w:rPr>
        <w:t xml:space="preserve"> las plantas fotovoltaicas </w:t>
      </w:r>
      <w:r w:rsidR="00B34C09" w:rsidRPr="00B34C09">
        <w:rPr>
          <w:rFonts w:ascii="Verdana" w:hAnsi="Verdana"/>
          <w:bCs/>
          <w:sz w:val="22"/>
          <w:szCs w:val="22"/>
        </w:rPr>
        <w:t xml:space="preserve">y eólicas en los </w:t>
      </w:r>
      <w:r w:rsidR="00B34C09">
        <w:rPr>
          <w:rFonts w:ascii="Verdana" w:hAnsi="Verdana"/>
          <w:bCs/>
          <w:sz w:val="22"/>
          <w:szCs w:val="22"/>
        </w:rPr>
        <w:t>Sistemas de Distribución Local-SDL</w:t>
      </w:r>
      <w:r w:rsidR="00B34C09" w:rsidRPr="00B34C09">
        <w:rPr>
          <w:rFonts w:ascii="Verdana" w:hAnsi="Verdana"/>
          <w:bCs/>
          <w:sz w:val="22"/>
          <w:szCs w:val="22"/>
        </w:rPr>
        <w:t xml:space="preserve">. </w:t>
      </w:r>
      <w:r w:rsidR="00B34C09">
        <w:rPr>
          <w:rFonts w:ascii="Verdana" w:hAnsi="Verdana"/>
          <w:bCs/>
          <w:sz w:val="22"/>
          <w:szCs w:val="22"/>
        </w:rPr>
        <w:t>Menciona la Comisión que dicha</w:t>
      </w:r>
      <w:r w:rsidR="00B34C09" w:rsidRPr="00B34C09">
        <w:rPr>
          <w:rFonts w:ascii="Verdana" w:hAnsi="Verdana"/>
          <w:bCs/>
          <w:sz w:val="22"/>
          <w:szCs w:val="22"/>
        </w:rPr>
        <w:t xml:space="preserve"> resolución sería equivalente a la </w:t>
      </w:r>
      <w:r w:rsidR="00B34C09">
        <w:rPr>
          <w:rFonts w:ascii="Verdana" w:hAnsi="Verdana"/>
          <w:bCs/>
          <w:sz w:val="22"/>
          <w:szCs w:val="22"/>
        </w:rPr>
        <w:t>R</w:t>
      </w:r>
      <w:r w:rsidR="00B34C09" w:rsidRPr="00B34C09">
        <w:rPr>
          <w:rFonts w:ascii="Verdana" w:hAnsi="Verdana"/>
          <w:bCs/>
          <w:sz w:val="22"/>
          <w:szCs w:val="22"/>
        </w:rPr>
        <w:t>esolución 60 de 2019</w:t>
      </w:r>
      <w:r w:rsidR="00B34C09">
        <w:rPr>
          <w:rFonts w:ascii="Verdana" w:hAnsi="Verdana"/>
          <w:bCs/>
          <w:sz w:val="22"/>
          <w:szCs w:val="22"/>
        </w:rPr>
        <w:t>, pero para los niveles de tensión 1, 2 y 3</w:t>
      </w:r>
      <w:r w:rsidR="00B34C09" w:rsidRPr="00B34C09">
        <w:rPr>
          <w:rFonts w:ascii="Verdana" w:hAnsi="Verdana"/>
          <w:bCs/>
          <w:sz w:val="22"/>
          <w:szCs w:val="22"/>
        </w:rPr>
        <w:t>.</w:t>
      </w:r>
      <w:r w:rsidR="00B34C09">
        <w:rPr>
          <w:rFonts w:ascii="Verdana" w:hAnsi="Verdana"/>
          <w:bCs/>
          <w:sz w:val="22"/>
          <w:szCs w:val="22"/>
        </w:rPr>
        <w:t xml:space="preserve"> En este sentido, se le solicitó al CNO</w:t>
      </w:r>
      <w:r w:rsidR="00B34C09" w:rsidRPr="00E51673">
        <w:rPr>
          <w:rFonts w:ascii="Verdana" w:hAnsi="Verdana"/>
          <w:bCs/>
          <w:sz w:val="22"/>
          <w:szCs w:val="22"/>
        </w:rPr>
        <w:t xml:space="preserve"> sus comentarios </w:t>
      </w:r>
      <w:r w:rsidR="00DA6429">
        <w:rPr>
          <w:rFonts w:ascii="Verdana" w:hAnsi="Verdana"/>
          <w:bCs/>
          <w:sz w:val="22"/>
          <w:szCs w:val="22"/>
        </w:rPr>
        <w:t>al documento preliminar CREG “</w:t>
      </w:r>
      <w:r w:rsidR="00DA6429" w:rsidRPr="00DA6429">
        <w:rPr>
          <w:rFonts w:ascii="Verdana" w:hAnsi="Verdana"/>
          <w:bCs/>
          <w:sz w:val="22"/>
          <w:szCs w:val="22"/>
        </w:rPr>
        <w:t>Temas de discusión reglamento de distribución para plantas solares y eólicas en el SDL</w:t>
      </w:r>
      <w:r w:rsidR="00DA6429">
        <w:rPr>
          <w:rFonts w:ascii="Verdana" w:hAnsi="Verdana"/>
          <w:bCs/>
          <w:sz w:val="22"/>
          <w:szCs w:val="22"/>
        </w:rPr>
        <w:t>”</w:t>
      </w:r>
      <w:r w:rsidR="00B34C09" w:rsidRPr="00E51673">
        <w:rPr>
          <w:rFonts w:ascii="Verdana" w:hAnsi="Verdana"/>
          <w:bCs/>
          <w:sz w:val="22"/>
          <w:szCs w:val="22"/>
        </w:rPr>
        <w:t>.</w:t>
      </w:r>
      <w:r w:rsidR="00DA6429">
        <w:rPr>
          <w:rFonts w:ascii="Verdana" w:hAnsi="Verdana"/>
          <w:bCs/>
          <w:sz w:val="22"/>
          <w:szCs w:val="22"/>
        </w:rPr>
        <w:t xml:space="preserve"> La fecha </w:t>
      </w:r>
      <w:r w:rsidR="00990D98">
        <w:rPr>
          <w:rFonts w:ascii="Verdana" w:hAnsi="Verdana"/>
          <w:bCs/>
          <w:sz w:val="22"/>
          <w:szCs w:val="22"/>
        </w:rPr>
        <w:t>límite</w:t>
      </w:r>
      <w:r w:rsidR="00DA6429">
        <w:rPr>
          <w:rFonts w:ascii="Verdana" w:hAnsi="Verdana"/>
          <w:bCs/>
          <w:sz w:val="22"/>
          <w:szCs w:val="22"/>
        </w:rPr>
        <w:t xml:space="preserve"> para el envío de las observaciones es el 19 de junio del año en curso.</w:t>
      </w:r>
    </w:p>
    <w:p w14:paraId="48CE91AE" w14:textId="77777777" w:rsidR="009C5275" w:rsidRPr="00E51673" w:rsidRDefault="009C5275" w:rsidP="00E51673">
      <w:pPr>
        <w:rPr>
          <w:rFonts w:ascii="Verdana" w:hAnsi="Verdana"/>
          <w:bCs/>
          <w:sz w:val="22"/>
          <w:szCs w:val="22"/>
        </w:rPr>
      </w:pPr>
    </w:p>
    <w:p w14:paraId="131B63CD" w14:textId="77777777" w:rsidR="00307A0C" w:rsidRDefault="00DA6429" w:rsidP="009C5275">
      <w:pPr>
        <w:pStyle w:val="Prrafodelista"/>
        <w:numPr>
          <w:ilvl w:val="0"/>
          <w:numId w:val="2"/>
        </w:numPr>
        <w:jc w:val="both"/>
        <w:rPr>
          <w:rFonts w:ascii="Verdana" w:hAnsi="Verdana"/>
          <w:bCs/>
          <w:sz w:val="22"/>
          <w:szCs w:val="22"/>
        </w:rPr>
      </w:pPr>
      <w:r>
        <w:rPr>
          <w:rFonts w:ascii="Verdana" w:hAnsi="Verdana"/>
          <w:bCs/>
          <w:sz w:val="22"/>
          <w:szCs w:val="22"/>
        </w:rPr>
        <w:t xml:space="preserve">Se solicita a los miembros del CNO gestionar la participación de sus representantes en la reunión extraordinaria SAPE número 310, la cual se llevará a cabo el </w:t>
      </w:r>
      <w:r w:rsidR="00307A0C">
        <w:rPr>
          <w:rFonts w:ascii="Verdana" w:hAnsi="Verdana"/>
          <w:bCs/>
          <w:sz w:val="22"/>
          <w:szCs w:val="22"/>
        </w:rPr>
        <w:t>viernes</w:t>
      </w:r>
      <w:r>
        <w:rPr>
          <w:rFonts w:ascii="Verdana" w:hAnsi="Verdana"/>
          <w:bCs/>
          <w:sz w:val="22"/>
          <w:szCs w:val="22"/>
        </w:rPr>
        <w:t xml:space="preserve"> 05 de junio en horas de la tarde</w:t>
      </w:r>
      <w:r w:rsidR="001C4065">
        <w:rPr>
          <w:rFonts w:ascii="Verdana" w:hAnsi="Verdana"/>
          <w:bCs/>
          <w:sz w:val="22"/>
          <w:szCs w:val="22"/>
        </w:rPr>
        <w:t>.</w:t>
      </w:r>
      <w:r>
        <w:rPr>
          <w:rFonts w:ascii="Verdana" w:hAnsi="Verdana"/>
          <w:bCs/>
          <w:sz w:val="22"/>
          <w:szCs w:val="22"/>
        </w:rPr>
        <w:t xml:space="preserve"> El objetivo de </w:t>
      </w:r>
      <w:r w:rsidR="00307A0C">
        <w:rPr>
          <w:rFonts w:ascii="Verdana" w:hAnsi="Verdana"/>
          <w:bCs/>
          <w:sz w:val="22"/>
          <w:szCs w:val="22"/>
        </w:rPr>
        <w:t>esta</w:t>
      </w:r>
      <w:r>
        <w:rPr>
          <w:rFonts w:ascii="Verdana" w:hAnsi="Verdana"/>
          <w:bCs/>
          <w:sz w:val="22"/>
          <w:szCs w:val="22"/>
        </w:rPr>
        <w:t xml:space="preserve"> es conceptuar sobre la instalación de un Esquema Suplementario de Protección del Sistema-ESPS en la subárea Nariño, el cual permitiría</w:t>
      </w:r>
      <w:r w:rsidR="00D432F1">
        <w:rPr>
          <w:rFonts w:ascii="Verdana" w:hAnsi="Verdana"/>
          <w:bCs/>
          <w:sz w:val="22"/>
          <w:szCs w:val="22"/>
        </w:rPr>
        <w:t xml:space="preserve"> incrementar el límite de importación desde Ecuador hasta un valor cercano a 460 MW, es decir, casi 11 GWh-día</w:t>
      </w:r>
      <w:r>
        <w:rPr>
          <w:rFonts w:ascii="Verdana" w:hAnsi="Verdana"/>
          <w:bCs/>
          <w:sz w:val="22"/>
          <w:szCs w:val="22"/>
        </w:rPr>
        <w:t xml:space="preserve"> </w:t>
      </w:r>
      <w:r w:rsidR="00307A0C">
        <w:rPr>
          <w:rFonts w:ascii="Verdana" w:hAnsi="Verdana"/>
          <w:bCs/>
          <w:sz w:val="22"/>
          <w:szCs w:val="22"/>
        </w:rPr>
        <w:t>en términos energéticos.</w:t>
      </w:r>
      <w:r>
        <w:rPr>
          <w:rFonts w:ascii="Verdana" w:hAnsi="Verdana"/>
          <w:bCs/>
          <w:sz w:val="22"/>
          <w:szCs w:val="22"/>
        </w:rPr>
        <w:t xml:space="preserve"> </w:t>
      </w:r>
    </w:p>
    <w:p w14:paraId="1CD07948" w14:textId="77777777" w:rsidR="00307A0C" w:rsidRPr="00E51673" w:rsidRDefault="00307A0C" w:rsidP="00E51673">
      <w:pPr>
        <w:pStyle w:val="Prrafodelista"/>
        <w:rPr>
          <w:rFonts w:ascii="Verdana" w:hAnsi="Verdana"/>
          <w:bCs/>
          <w:sz w:val="22"/>
          <w:szCs w:val="22"/>
        </w:rPr>
      </w:pPr>
    </w:p>
    <w:p w14:paraId="77BC1997" w14:textId="7E73715E" w:rsidR="00555CD5" w:rsidRPr="00E51673" w:rsidRDefault="0080295F">
      <w:pPr>
        <w:pStyle w:val="Prrafodelista"/>
        <w:numPr>
          <w:ilvl w:val="0"/>
          <w:numId w:val="2"/>
        </w:numPr>
        <w:jc w:val="both"/>
        <w:rPr>
          <w:rFonts w:ascii="Verdana" w:hAnsi="Verdana"/>
          <w:bCs/>
          <w:sz w:val="22"/>
          <w:szCs w:val="22"/>
        </w:rPr>
      </w:pPr>
      <w:r>
        <w:rPr>
          <w:rFonts w:ascii="Verdana" w:hAnsi="Verdana"/>
          <w:bCs/>
          <w:sz w:val="22"/>
          <w:szCs w:val="22"/>
        </w:rPr>
        <w:t xml:space="preserve">En el Comité de Distribución y el Subcomité de Controles el CND presentó los </w:t>
      </w:r>
      <w:r w:rsidR="00F56F81">
        <w:rPr>
          <w:rFonts w:ascii="Verdana" w:hAnsi="Verdana"/>
          <w:bCs/>
          <w:sz w:val="22"/>
          <w:szCs w:val="22"/>
        </w:rPr>
        <w:t>avances sobre</w:t>
      </w:r>
      <w:r>
        <w:rPr>
          <w:rFonts w:ascii="Verdana" w:hAnsi="Verdana"/>
          <w:bCs/>
          <w:sz w:val="22"/>
          <w:szCs w:val="22"/>
        </w:rPr>
        <w:t xml:space="preserve"> la construcción de un modelo de carga validado y diferenciado para tod</w:t>
      </w:r>
      <w:r w:rsidR="00F56F81">
        <w:rPr>
          <w:rFonts w:ascii="Verdana" w:hAnsi="Verdana"/>
          <w:bCs/>
          <w:sz w:val="22"/>
          <w:szCs w:val="22"/>
        </w:rPr>
        <w:t>a las áreas</w:t>
      </w:r>
      <w:r>
        <w:rPr>
          <w:rFonts w:ascii="Verdana" w:hAnsi="Verdana"/>
          <w:bCs/>
          <w:sz w:val="22"/>
          <w:szCs w:val="22"/>
        </w:rPr>
        <w:t xml:space="preserve"> el SIN</w:t>
      </w:r>
      <w:r w:rsidR="00555CD5">
        <w:rPr>
          <w:rFonts w:ascii="Verdana" w:hAnsi="Verdana"/>
          <w:bCs/>
          <w:sz w:val="22"/>
          <w:szCs w:val="22"/>
        </w:rPr>
        <w:t>.</w:t>
      </w:r>
      <w:r w:rsidR="00F56F81">
        <w:rPr>
          <w:rFonts w:ascii="Verdana" w:hAnsi="Verdana"/>
          <w:bCs/>
          <w:sz w:val="22"/>
          <w:szCs w:val="22"/>
        </w:rPr>
        <w:t xml:space="preserve"> Se mostraron las diferentes simulaciones para cada tipo de modelo y la composición de la demanda, </w:t>
      </w:r>
      <w:r w:rsidR="00F56F81">
        <w:rPr>
          <w:rFonts w:ascii="Verdana" w:hAnsi="Verdana"/>
          <w:bCs/>
          <w:sz w:val="22"/>
          <w:szCs w:val="22"/>
        </w:rPr>
        <w:lastRenderedPageBreak/>
        <w:t xml:space="preserve">establecida a partir de la información del Operadores de Red y la UPME. Respecto al trabajo futuro se destaca: i) Ajuste fino de parámetros de todas las áreas del SIN; ii) </w:t>
      </w:r>
      <w:r w:rsidR="00F56F81" w:rsidRPr="00F56F81">
        <w:rPr>
          <w:rFonts w:ascii="Verdana" w:hAnsi="Verdana"/>
          <w:bCs/>
          <w:sz w:val="22"/>
          <w:szCs w:val="22"/>
        </w:rPr>
        <w:t>Implementación del</w:t>
      </w:r>
      <w:r w:rsidR="00F56F81">
        <w:rPr>
          <w:rFonts w:ascii="Verdana" w:hAnsi="Verdana"/>
          <w:bCs/>
          <w:sz w:val="22"/>
          <w:szCs w:val="22"/>
        </w:rPr>
        <w:t xml:space="preserve"> </w:t>
      </w:r>
      <w:r w:rsidR="00F56F81" w:rsidRPr="00E51673">
        <w:rPr>
          <w:rFonts w:ascii="Verdana" w:hAnsi="Verdana"/>
          <w:bCs/>
          <w:sz w:val="22"/>
          <w:szCs w:val="22"/>
        </w:rPr>
        <w:t xml:space="preserve">modelo de carga en </w:t>
      </w:r>
      <w:r w:rsidR="00F56F81">
        <w:rPr>
          <w:rFonts w:ascii="Verdana" w:hAnsi="Verdana"/>
          <w:bCs/>
          <w:sz w:val="22"/>
          <w:szCs w:val="22"/>
        </w:rPr>
        <w:t xml:space="preserve">la Base de Datos-BD </w:t>
      </w:r>
      <w:r w:rsidR="00F56F81" w:rsidRPr="00E51673">
        <w:rPr>
          <w:rFonts w:ascii="Verdana" w:hAnsi="Verdana"/>
          <w:bCs/>
          <w:sz w:val="22"/>
          <w:szCs w:val="22"/>
        </w:rPr>
        <w:t>oficial</w:t>
      </w:r>
      <w:r w:rsidR="00F56F81">
        <w:rPr>
          <w:rFonts w:ascii="Verdana" w:hAnsi="Verdana"/>
          <w:bCs/>
          <w:sz w:val="22"/>
          <w:szCs w:val="22"/>
        </w:rPr>
        <w:t xml:space="preserve">; iii) Inclusión del modelo de los Recursos Energéticos Distribuidos-DER en la BD oficial; iv) Desarrollo de una plataforma para el reporte de información y v) Mantenimiento del modelo implementado.  </w:t>
      </w:r>
      <w:r w:rsidR="00F56F81" w:rsidRPr="00E51673">
        <w:rPr>
          <w:rFonts w:ascii="Verdana" w:hAnsi="Verdana"/>
          <w:bCs/>
          <w:sz w:val="22"/>
          <w:szCs w:val="22"/>
        </w:rPr>
        <w:t xml:space="preserve">   </w:t>
      </w:r>
    </w:p>
    <w:p w14:paraId="5F710BD1" w14:textId="77777777" w:rsidR="0080295F" w:rsidRPr="00E51673" w:rsidRDefault="0080295F" w:rsidP="00E51673">
      <w:pPr>
        <w:rPr>
          <w:rFonts w:ascii="Verdana" w:hAnsi="Verdana"/>
          <w:bCs/>
          <w:sz w:val="22"/>
          <w:szCs w:val="22"/>
        </w:rPr>
      </w:pPr>
    </w:p>
    <w:p w14:paraId="55D39E33" w14:textId="77777777" w:rsidR="003C3859" w:rsidRDefault="00F56F81" w:rsidP="00A70C6A">
      <w:pPr>
        <w:pStyle w:val="Prrafodelista"/>
        <w:numPr>
          <w:ilvl w:val="0"/>
          <w:numId w:val="2"/>
        </w:numPr>
        <w:jc w:val="both"/>
        <w:rPr>
          <w:rFonts w:ascii="Verdana" w:hAnsi="Verdana"/>
          <w:bCs/>
          <w:sz w:val="22"/>
          <w:szCs w:val="22"/>
        </w:rPr>
      </w:pPr>
      <w:r w:rsidRPr="003C3859">
        <w:rPr>
          <w:rFonts w:ascii="Verdana" w:hAnsi="Verdana"/>
          <w:bCs/>
          <w:sz w:val="22"/>
          <w:szCs w:val="22"/>
        </w:rPr>
        <w:t>En el SAPE se discutió sobre la f</w:t>
      </w:r>
      <w:r w:rsidR="0080295F" w:rsidRPr="003C3859">
        <w:rPr>
          <w:rFonts w:ascii="Verdana" w:hAnsi="Verdana"/>
          <w:bCs/>
          <w:sz w:val="22"/>
          <w:szCs w:val="22"/>
        </w:rPr>
        <w:t xml:space="preserve">ilosofía </w:t>
      </w:r>
      <w:r w:rsidRPr="003C3859">
        <w:rPr>
          <w:rFonts w:ascii="Verdana" w:hAnsi="Verdana"/>
          <w:bCs/>
          <w:sz w:val="22"/>
          <w:szCs w:val="22"/>
        </w:rPr>
        <w:t>de los Esquemas Suplementarios de Protección del Sistema-</w:t>
      </w:r>
      <w:r w:rsidR="0080295F" w:rsidRPr="003C3859">
        <w:rPr>
          <w:rFonts w:ascii="Verdana" w:hAnsi="Verdana"/>
          <w:bCs/>
          <w:sz w:val="22"/>
          <w:szCs w:val="22"/>
        </w:rPr>
        <w:t>ESPS</w:t>
      </w:r>
      <w:r w:rsidRPr="003C3859">
        <w:rPr>
          <w:rFonts w:ascii="Verdana" w:hAnsi="Verdana"/>
          <w:bCs/>
          <w:sz w:val="22"/>
          <w:szCs w:val="22"/>
        </w:rPr>
        <w:t xml:space="preserve">, teniendo en cuenta la solicitud de algunos agentes generadores para utilizar dichos dispositivos </w:t>
      </w:r>
      <w:r w:rsidR="003C3859" w:rsidRPr="003C3859">
        <w:rPr>
          <w:rFonts w:ascii="Verdana" w:hAnsi="Verdana"/>
          <w:bCs/>
          <w:sz w:val="22"/>
          <w:szCs w:val="22"/>
        </w:rPr>
        <w:t>como alternativa temprana de conexión</w:t>
      </w:r>
      <w:r w:rsidR="0080295F" w:rsidRPr="003C3859">
        <w:rPr>
          <w:rFonts w:ascii="Verdana" w:hAnsi="Verdana"/>
          <w:bCs/>
          <w:sz w:val="22"/>
          <w:szCs w:val="22"/>
        </w:rPr>
        <w:t>.</w:t>
      </w:r>
      <w:r w:rsidR="003C3859" w:rsidRPr="003C3859">
        <w:rPr>
          <w:rFonts w:ascii="Verdana" w:hAnsi="Verdana"/>
          <w:bCs/>
          <w:sz w:val="22"/>
          <w:szCs w:val="22"/>
        </w:rPr>
        <w:t xml:space="preserve"> Se concluyó por todos los miembros de dicho subcomité que el Acuerdo 1019 c</w:t>
      </w:r>
      <w:r w:rsidR="003C3859" w:rsidRPr="00E51673">
        <w:rPr>
          <w:rFonts w:ascii="Verdana" w:hAnsi="Verdana"/>
          <w:bCs/>
          <w:sz w:val="22"/>
          <w:szCs w:val="22"/>
        </w:rPr>
        <w:t xml:space="preserve">onsidera las competencias </w:t>
      </w:r>
      <w:r w:rsidR="003C3859" w:rsidRPr="003C3859">
        <w:rPr>
          <w:rFonts w:ascii="Verdana" w:hAnsi="Verdana"/>
          <w:bCs/>
          <w:sz w:val="22"/>
          <w:szCs w:val="22"/>
        </w:rPr>
        <w:t>y funciones del CNO, r</w:t>
      </w:r>
      <w:r w:rsidR="003C3859" w:rsidRPr="00E51673">
        <w:rPr>
          <w:rFonts w:ascii="Verdana" w:hAnsi="Verdana"/>
          <w:bCs/>
          <w:sz w:val="22"/>
          <w:szCs w:val="22"/>
        </w:rPr>
        <w:t>espeta los conceptos de conexión de los transportadores y la UPME</w:t>
      </w:r>
      <w:r w:rsidR="003C3859" w:rsidRPr="003C3859">
        <w:rPr>
          <w:rFonts w:ascii="Verdana" w:hAnsi="Verdana"/>
          <w:bCs/>
          <w:sz w:val="22"/>
          <w:szCs w:val="22"/>
        </w:rPr>
        <w:t>, y</w:t>
      </w:r>
      <w:r w:rsidR="003C3859" w:rsidRPr="00E51673">
        <w:rPr>
          <w:rFonts w:ascii="Verdana" w:hAnsi="Verdana"/>
          <w:bCs/>
          <w:sz w:val="22"/>
          <w:szCs w:val="22"/>
        </w:rPr>
        <w:t xml:space="preserve"> </w:t>
      </w:r>
      <w:r w:rsidR="003C3859" w:rsidRPr="003C3859">
        <w:rPr>
          <w:rFonts w:ascii="Verdana" w:hAnsi="Verdana"/>
          <w:bCs/>
          <w:sz w:val="22"/>
          <w:szCs w:val="22"/>
        </w:rPr>
        <w:t>n</w:t>
      </w:r>
      <w:r w:rsidR="003C3859" w:rsidRPr="00E51673">
        <w:rPr>
          <w:rFonts w:ascii="Verdana" w:hAnsi="Verdana"/>
          <w:bCs/>
          <w:sz w:val="22"/>
          <w:szCs w:val="22"/>
        </w:rPr>
        <w:t xml:space="preserve">o cobija el atraso de proyectos de generación, o el adelanto de </w:t>
      </w:r>
      <w:r w:rsidR="003C3859" w:rsidRPr="003C3859">
        <w:rPr>
          <w:rFonts w:ascii="Verdana" w:hAnsi="Verdana"/>
          <w:bCs/>
          <w:sz w:val="22"/>
          <w:szCs w:val="22"/>
        </w:rPr>
        <w:t>estos</w:t>
      </w:r>
      <w:r w:rsidR="003C3859" w:rsidRPr="00E51673">
        <w:rPr>
          <w:rFonts w:ascii="Verdana" w:hAnsi="Verdana"/>
          <w:bCs/>
          <w:sz w:val="22"/>
          <w:szCs w:val="22"/>
        </w:rPr>
        <w:t>.</w:t>
      </w:r>
      <w:r w:rsidR="003C3859" w:rsidRPr="003C3859">
        <w:rPr>
          <w:rFonts w:ascii="Verdana" w:hAnsi="Verdana"/>
          <w:bCs/>
          <w:sz w:val="22"/>
          <w:szCs w:val="22"/>
        </w:rPr>
        <w:t xml:space="preserve"> </w:t>
      </w:r>
    </w:p>
    <w:p w14:paraId="3268F24E" w14:textId="77777777" w:rsidR="003C3859" w:rsidRPr="00E51673" w:rsidRDefault="003C3859" w:rsidP="00E51673">
      <w:pPr>
        <w:pStyle w:val="Prrafodelista"/>
        <w:rPr>
          <w:rFonts w:ascii="Verdana" w:hAnsi="Verdana"/>
          <w:bCs/>
          <w:sz w:val="22"/>
          <w:szCs w:val="22"/>
        </w:rPr>
      </w:pPr>
    </w:p>
    <w:p w14:paraId="545BC3BD" w14:textId="04848607" w:rsidR="0080295F" w:rsidRPr="00E51673" w:rsidRDefault="003C3859" w:rsidP="00E51673">
      <w:pPr>
        <w:pStyle w:val="Prrafodelista"/>
        <w:ind w:left="360"/>
        <w:jc w:val="both"/>
        <w:rPr>
          <w:rFonts w:ascii="Verdana" w:hAnsi="Verdana"/>
          <w:bCs/>
          <w:sz w:val="22"/>
          <w:szCs w:val="22"/>
        </w:rPr>
      </w:pPr>
      <w:r w:rsidRPr="003C3859">
        <w:rPr>
          <w:rFonts w:ascii="Verdana" w:hAnsi="Verdana"/>
          <w:bCs/>
          <w:sz w:val="22"/>
          <w:szCs w:val="22"/>
        </w:rPr>
        <w:t>Sin embargo, se mencionó por parte del Consejo que</w:t>
      </w:r>
      <w:r>
        <w:rPr>
          <w:rFonts w:ascii="Verdana" w:hAnsi="Verdana"/>
          <w:bCs/>
          <w:sz w:val="22"/>
          <w:szCs w:val="22"/>
        </w:rPr>
        <w:t>,</w:t>
      </w:r>
      <w:r w:rsidRPr="003C3859">
        <w:rPr>
          <w:rFonts w:ascii="Verdana" w:hAnsi="Verdana"/>
          <w:bCs/>
          <w:sz w:val="22"/>
          <w:szCs w:val="22"/>
        </w:rPr>
        <w:t xml:space="preserve"> </w:t>
      </w:r>
      <w:r>
        <w:rPr>
          <w:rFonts w:ascii="Verdana" w:hAnsi="Verdana"/>
          <w:bCs/>
          <w:sz w:val="22"/>
          <w:szCs w:val="22"/>
        </w:rPr>
        <w:t>b</w:t>
      </w:r>
      <w:r w:rsidRPr="003C3859">
        <w:rPr>
          <w:rFonts w:ascii="Verdana" w:hAnsi="Verdana"/>
          <w:bCs/>
          <w:sz w:val="22"/>
          <w:szCs w:val="22"/>
        </w:rPr>
        <w:t>ajo condiciones de emergencia</w:t>
      </w:r>
      <w:r>
        <w:rPr>
          <w:rFonts w:ascii="Verdana" w:hAnsi="Verdana"/>
          <w:bCs/>
          <w:sz w:val="22"/>
          <w:szCs w:val="22"/>
        </w:rPr>
        <w:t xml:space="preserve"> y</w:t>
      </w:r>
      <w:r w:rsidRPr="003C3859">
        <w:rPr>
          <w:rFonts w:ascii="Verdana" w:hAnsi="Verdana"/>
          <w:bCs/>
          <w:sz w:val="22"/>
          <w:szCs w:val="22"/>
        </w:rPr>
        <w:t xml:space="preserve"> previó a un mandato regulatorio, el CNO podría junto con el CND y la UPME autorizar un ESPS para adelantar la conexión de plantas de generación que se necesiten bajo condiciones de escasez.</w:t>
      </w:r>
      <w:r>
        <w:rPr>
          <w:rFonts w:ascii="Verdana" w:hAnsi="Verdana"/>
          <w:bCs/>
          <w:sz w:val="22"/>
          <w:szCs w:val="22"/>
        </w:rPr>
        <w:t xml:space="preserve"> </w:t>
      </w:r>
    </w:p>
    <w:p w14:paraId="31EC59B3" w14:textId="77777777" w:rsidR="0080295F" w:rsidRPr="00E51673" w:rsidRDefault="0080295F" w:rsidP="00E51673">
      <w:pPr>
        <w:pStyle w:val="Prrafodelista"/>
        <w:rPr>
          <w:rFonts w:ascii="Verdana" w:hAnsi="Verdana"/>
          <w:bCs/>
          <w:sz w:val="22"/>
          <w:szCs w:val="22"/>
        </w:rPr>
      </w:pPr>
    </w:p>
    <w:p w14:paraId="081893D7" w14:textId="58EF31C9" w:rsidR="0080295F" w:rsidRDefault="003C3859" w:rsidP="009C5275">
      <w:pPr>
        <w:pStyle w:val="Prrafodelista"/>
        <w:numPr>
          <w:ilvl w:val="0"/>
          <w:numId w:val="2"/>
        </w:numPr>
        <w:jc w:val="both"/>
        <w:rPr>
          <w:rFonts w:ascii="Verdana" w:hAnsi="Verdana"/>
          <w:bCs/>
          <w:sz w:val="22"/>
          <w:szCs w:val="22"/>
        </w:rPr>
      </w:pPr>
      <w:r>
        <w:rPr>
          <w:rFonts w:ascii="Verdana" w:hAnsi="Verdana"/>
          <w:bCs/>
          <w:sz w:val="22"/>
          <w:szCs w:val="22"/>
        </w:rPr>
        <w:t>En el Comité de Distribución se definió la prueba de un indicador para cuantificar la Demanda No Atendida-DNA que se presenta en el SIN por la actuación de Esquemas Suplementarios de Protección del Sistema-ESPS</w:t>
      </w:r>
      <w:r w:rsidR="0080295F">
        <w:rPr>
          <w:rFonts w:ascii="Verdana" w:hAnsi="Verdana"/>
          <w:bCs/>
          <w:sz w:val="22"/>
          <w:szCs w:val="22"/>
        </w:rPr>
        <w:t>.</w:t>
      </w:r>
      <w:r>
        <w:rPr>
          <w:rFonts w:ascii="Verdana" w:hAnsi="Verdana"/>
          <w:bCs/>
          <w:sz w:val="22"/>
          <w:szCs w:val="22"/>
        </w:rPr>
        <w:t xml:space="preserve"> El mismo consiste, a partir de la información reportada por los Operadores de Red, en agregar toda la DNA</w:t>
      </w:r>
      <w:r w:rsidR="009E7C40">
        <w:rPr>
          <w:rFonts w:ascii="Verdana" w:hAnsi="Verdana"/>
          <w:bCs/>
          <w:sz w:val="22"/>
          <w:szCs w:val="22"/>
        </w:rPr>
        <w:t xml:space="preserve"> y diferenciarla por eventos de agotamiento de red y contingencias en el SIN. </w:t>
      </w:r>
      <w:r>
        <w:rPr>
          <w:rFonts w:ascii="Verdana" w:hAnsi="Verdana"/>
          <w:bCs/>
          <w:sz w:val="22"/>
          <w:szCs w:val="22"/>
        </w:rPr>
        <w:t xml:space="preserve"> </w:t>
      </w:r>
    </w:p>
    <w:p w14:paraId="062EAF18" w14:textId="77777777" w:rsidR="00555CD5" w:rsidRPr="00E51673" w:rsidRDefault="00555CD5" w:rsidP="00E51673">
      <w:pPr>
        <w:pStyle w:val="Prrafodelista"/>
        <w:rPr>
          <w:rFonts w:ascii="Verdana" w:hAnsi="Verdana"/>
          <w:bCs/>
          <w:sz w:val="22"/>
          <w:szCs w:val="22"/>
        </w:rPr>
      </w:pPr>
    </w:p>
    <w:p w14:paraId="3FFE23F1" w14:textId="12916D95" w:rsidR="009E7C40" w:rsidRPr="00E51673" w:rsidRDefault="009E7C40" w:rsidP="00E51673">
      <w:pPr>
        <w:pStyle w:val="Prrafodelista"/>
        <w:numPr>
          <w:ilvl w:val="0"/>
          <w:numId w:val="2"/>
        </w:numPr>
        <w:jc w:val="both"/>
        <w:rPr>
          <w:rFonts w:ascii="Verdana" w:hAnsi="Verdana"/>
          <w:bCs/>
          <w:sz w:val="22"/>
          <w:szCs w:val="22"/>
        </w:rPr>
      </w:pPr>
      <w:r>
        <w:rPr>
          <w:rFonts w:ascii="Verdana" w:hAnsi="Verdana"/>
          <w:bCs/>
          <w:sz w:val="22"/>
          <w:szCs w:val="22"/>
        </w:rPr>
        <w:t xml:space="preserve">En las actas de las reuniones CNO 591, 592, 593, 594 y 595 se encuentra todo el detalle de las acciones y recomendaciones del Consejo respecto al seguimiento </w:t>
      </w:r>
      <w:r w:rsidR="00E63D23">
        <w:rPr>
          <w:rFonts w:ascii="Verdana" w:hAnsi="Verdana"/>
          <w:bCs/>
          <w:sz w:val="22"/>
          <w:szCs w:val="22"/>
        </w:rPr>
        <w:t>de</w:t>
      </w:r>
      <w:r>
        <w:rPr>
          <w:rFonts w:ascii="Verdana" w:hAnsi="Verdana"/>
          <w:bCs/>
          <w:sz w:val="22"/>
          <w:szCs w:val="22"/>
        </w:rPr>
        <w:t xml:space="preserve"> la situación energética del país. Entre ellas destaca la definición de </w:t>
      </w:r>
      <w:r w:rsidRPr="00E51673">
        <w:rPr>
          <w:rFonts w:ascii="Verdana" w:hAnsi="Verdana"/>
          <w:bCs/>
          <w:sz w:val="22"/>
          <w:szCs w:val="22"/>
        </w:rPr>
        <w:t xml:space="preserve">un indicador de </w:t>
      </w:r>
      <w:r>
        <w:rPr>
          <w:rFonts w:ascii="Verdana" w:hAnsi="Verdana"/>
          <w:bCs/>
          <w:sz w:val="22"/>
          <w:szCs w:val="22"/>
        </w:rPr>
        <w:t>monitoreo</w:t>
      </w:r>
      <w:r w:rsidRPr="00E51673">
        <w:rPr>
          <w:rFonts w:ascii="Verdana" w:hAnsi="Verdana"/>
          <w:bCs/>
          <w:sz w:val="22"/>
          <w:szCs w:val="22"/>
        </w:rPr>
        <w:t xml:space="preserve"> semanal al volumen útil agregado del SIN. </w:t>
      </w:r>
      <w:r>
        <w:rPr>
          <w:rFonts w:ascii="Verdana" w:hAnsi="Verdana"/>
          <w:bCs/>
          <w:sz w:val="22"/>
          <w:szCs w:val="22"/>
        </w:rPr>
        <w:t>Dicho índice</w:t>
      </w:r>
      <w:r w:rsidRPr="00E51673">
        <w:rPr>
          <w:rFonts w:ascii="Verdana" w:hAnsi="Verdana"/>
          <w:bCs/>
          <w:sz w:val="22"/>
          <w:szCs w:val="22"/>
        </w:rPr>
        <w:t xml:space="preserve"> se compara con una curva de “Referencia”, que es producto de una simulación determinística de la operación del sistema, considerando, entre otros supuestos:</w:t>
      </w:r>
    </w:p>
    <w:p w14:paraId="13B5A673" w14:textId="77777777" w:rsidR="009E7C40" w:rsidRPr="009E7C40" w:rsidRDefault="009E7C40" w:rsidP="009E7C40">
      <w:pPr>
        <w:pStyle w:val="Prrafodelista"/>
        <w:ind w:left="360"/>
        <w:jc w:val="both"/>
        <w:rPr>
          <w:rFonts w:ascii="Verdana" w:hAnsi="Verdana"/>
          <w:bCs/>
          <w:sz w:val="22"/>
          <w:szCs w:val="22"/>
        </w:rPr>
      </w:pPr>
    </w:p>
    <w:p w14:paraId="494899BE" w14:textId="76FDD7CB" w:rsidR="009E7C40" w:rsidRDefault="009E7C40" w:rsidP="009E7C40">
      <w:pPr>
        <w:pStyle w:val="Prrafodelista"/>
        <w:numPr>
          <w:ilvl w:val="0"/>
          <w:numId w:val="12"/>
        </w:numPr>
        <w:jc w:val="both"/>
        <w:rPr>
          <w:rFonts w:ascii="Verdana" w:hAnsi="Verdana"/>
          <w:bCs/>
          <w:sz w:val="22"/>
          <w:szCs w:val="22"/>
        </w:rPr>
      </w:pPr>
      <w:r>
        <w:rPr>
          <w:rFonts w:ascii="Verdana" w:hAnsi="Verdana"/>
          <w:bCs/>
          <w:sz w:val="22"/>
          <w:szCs w:val="22"/>
        </w:rPr>
        <w:t xml:space="preserve">Horizonte de simulación de dos (2) años. </w:t>
      </w:r>
    </w:p>
    <w:p w14:paraId="2A4C452A" w14:textId="77777777" w:rsidR="009E7C40" w:rsidRDefault="009E7C40" w:rsidP="00E51673">
      <w:pPr>
        <w:pStyle w:val="Prrafodelista"/>
        <w:ind w:left="720"/>
        <w:jc w:val="both"/>
        <w:rPr>
          <w:rFonts w:ascii="Verdana" w:hAnsi="Verdana"/>
          <w:bCs/>
          <w:sz w:val="22"/>
          <w:szCs w:val="22"/>
        </w:rPr>
      </w:pPr>
    </w:p>
    <w:p w14:paraId="567F20BD" w14:textId="77777777" w:rsidR="009E7C40" w:rsidRDefault="009E7C40" w:rsidP="009E7C40">
      <w:pPr>
        <w:pStyle w:val="Prrafodelista"/>
        <w:numPr>
          <w:ilvl w:val="0"/>
          <w:numId w:val="12"/>
        </w:numPr>
        <w:jc w:val="both"/>
        <w:rPr>
          <w:rFonts w:ascii="Verdana" w:hAnsi="Verdana"/>
          <w:bCs/>
          <w:sz w:val="22"/>
          <w:szCs w:val="22"/>
        </w:rPr>
      </w:pPr>
      <w:r w:rsidRPr="00E51673">
        <w:rPr>
          <w:rFonts w:ascii="Verdana" w:hAnsi="Verdana"/>
          <w:bCs/>
          <w:sz w:val="22"/>
          <w:szCs w:val="22"/>
        </w:rPr>
        <w:t>Curva de Aversión al Riesgo-CAR, que fue construida considerando los niveles mínimos históricos estacionales de cada embalse del SIN, con información desde el año 2004.</w:t>
      </w:r>
    </w:p>
    <w:p w14:paraId="6617CDB2" w14:textId="77777777" w:rsidR="009E7C40" w:rsidRPr="00E51673" w:rsidRDefault="009E7C40" w:rsidP="00E51673">
      <w:pPr>
        <w:pStyle w:val="Prrafodelista"/>
        <w:rPr>
          <w:rFonts w:ascii="Verdana" w:hAnsi="Verdana"/>
          <w:bCs/>
          <w:sz w:val="22"/>
          <w:szCs w:val="22"/>
        </w:rPr>
      </w:pPr>
    </w:p>
    <w:p w14:paraId="6C861313" w14:textId="77777777" w:rsidR="009E7C40" w:rsidRDefault="009E7C40" w:rsidP="009E7C40">
      <w:pPr>
        <w:pStyle w:val="Prrafodelista"/>
        <w:numPr>
          <w:ilvl w:val="0"/>
          <w:numId w:val="12"/>
        </w:numPr>
        <w:jc w:val="both"/>
        <w:rPr>
          <w:rFonts w:ascii="Verdana" w:hAnsi="Verdana"/>
          <w:bCs/>
          <w:sz w:val="22"/>
          <w:szCs w:val="22"/>
        </w:rPr>
      </w:pPr>
      <w:r w:rsidRPr="00E51673">
        <w:rPr>
          <w:rFonts w:ascii="Verdana" w:hAnsi="Verdana"/>
          <w:bCs/>
          <w:sz w:val="22"/>
          <w:szCs w:val="22"/>
        </w:rPr>
        <w:t>Cumpliendo con la solicitud del CACSSE, la demanda de energía eléctrica durante los dos (2) años de simulación llega al escenario alto de la UPME, revisión octubre de 2019, de la siguiente manera: Escenario bajo en los meses de mayo, junio, julio y agosto de 2020, escenario medio en septiembre, octubre y noviembre de 2020 y escenario alto desde diciembre de 2020 hacia adelante.</w:t>
      </w:r>
    </w:p>
    <w:p w14:paraId="6E96BA55" w14:textId="77777777" w:rsidR="009E7C40" w:rsidRPr="00E51673" w:rsidRDefault="009E7C40" w:rsidP="00E51673">
      <w:pPr>
        <w:pStyle w:val="Prrafodelista"/>
        <w:rPr>
          <w:rFonts w:ascii="Verdana" w:hAnsi="Verdana"/>
          <w:bCs/>
          <w:sz w:val="22"/>
          <w:szCs w:val="22"/>
        </w:rPr>
      </w:pPr>
    </w:p>
    <w:p w14:paraId="0EDA5376" w14:textId="77777777" w:rsidR="00E63D23" w:rsidRDefault="009E7C40" w:rsidP="00E63D23">
      <w:pPr>
        <w:pStyle w:val="Prrafodelista"/>
        <w:numPr>
          <w:ilvl w:val="0"/>
          <w:numId w:val="12"/>
        </w:numPr>
        <w:jc w:val="both"/>
        <w:rPr>
          <w:rFonts w:ascii="Verdana" w:hAnsi="Verdana"/>
          <w:bCs/>
          <w:sz w:val="22"/>
          <w:szCs w:val="22"/>
        </w:rPr>
      </w:pPr>
      <w:r w:rsidRPr="00E51673">
        <w:rPr>
          <w:rFonts w:ascii="Verdana" w:hAnsi="Verdana"/>
          <w:bCs/>
          <w:sz w:val="22"/>
          <w:szCs w:val="22"/>
        </w:rPr>
        <w:t xml:space="preserve">Respecto a los aportes hídricos, la simulación determinística considera la hidrología del caso contingencia (2015-2016 acotado al esperado), definida en la reunión número 396 del 14 de mayo de 2020 del Subcomité de Recursos Energéticos Renovables-SURER del CNO. </w:t>
      </w:r>
    </w:p>
    <w:p w14:paraId="68C09C73" w14:textId="77777777" w:rsidR="00E63D23" w:rsidRPr="00E51673" w:rsidRDefault="00E63D23" w:rsidP="00E51673">
      <w:pPr>
        <w:pStyle w:val="Prrafodelista"/>
        <w:rPr>
          <w:rFonts w:ascii="Verdana" w:hAnsi="Verdana"/>
          <w:bCs/>
          <w:sz w:val="22"/>
          <w:szCs w:val="22"/>
        </w:rPr>
      </w:pPr>
    </w:p>
    <w:p w14:paraId="627164B1" w14:textId="77777777" w:rsidR="00E63D23" w:rsidRDefault="009E7C40" w:rsidP="00E63D23">
      <w:pPr>
        <w:pStyle w:val="Prrafodelista"/>
        <w:numPr>
          <w:ilvl w:val="0"/>
          <w:numId w:val="12"/>
        </w:numPr>
        <w:jc w:val="both"/>
        <w:rPr>
          <w:rFonts w:ascii="Verdana" w:hAnsi="Verdana"/>
          <w:bCs/>
          <w:sz w:val="22"/>
          <w:szCs w:val="22"/>
        </w:rPr>
      </w:pPr>
      <w:r w:rsidRPr="00E51673">
        <w:rPr>
          <w:rFonts w:ascii="Verdana" w:hAnsi="Verdana"/>
          <w:bCs/>
          <w:sz w:val="22"/>
          <w:szCs w:val="22"/>
        </w:rPr>
        <w:t>No se consideran importaciones desde Ecuador en todo el horizonte de análisis.</w:t>
      </w:r>
    </w:p>
    <w:p w14:paraId="3330B7BD" w14:textId="77777777" w:rsidR="00E63D23" w:rsidRPr="00E51673" w:rsidRDefault="00E63D23" w:rsidP="00E51673">
      <w:pPr>
        <w:pStyle w:val="Prrafodelista"/>
        <w:rPr>
          <w:rFonts w:ascii="Verdana" w:hAnsi="Verdana"/>
          <w:bCs/>
          <w:sz w:val="22"/>
          <w:szCs w:val="22"/>
        </w:rPr>
      </w:pPr>
    </w:p>
    <w:p w14:paraId="4E5FA649" w14:textId="6769D731" w:rsidR="001C4065" w:rsidRPr="00E51673" w:rsidRDefault="009E7C40" w:rsidP="00E51673">
      <w:pPr>
        <w:pStyle w:val="Prrafodelista"/>
        <w:numPr>
          <w:ilvl w:val="0"/>
          <w:numId w:val="12"/>
        </w:numPr>
        <w:jc w:val="both"/>
        <w:rPr>
          <w:rFonts w:ascii="Verdana" w:hAnsi="Verdana"/>
          <w:bCs/>
          <w:sz w:val="22"/>
          <w:szCs w:val="22"/>
        </w:rPr>
      </w:pPr>
      <w:r w:rsidRPr="00E51673">
        <w:rPr>
          <w:rFonts w:ascii="Verdana" w:hAnsi="Verdana"/>
          <w:bCs/>
          <w:sz w:val="22"/>
          <w:szCs w:val="22"/>
        </w:rPr>
        <w:t xml:space="preserve">Se considera un desbalance promedio en el SIN de 7.7 GWh-día. </w:t>
      </w:r>
    </w:p>
    <w:p w14:paraId="467B1CA1" w14:textId="77777777" w:rsidR="001C4065" w:rsidRPr="00E51673" w:rsidRDefault="001C4065" w:rsidP="00E51673">
      <w:pPr>
        <w:pStyle w:val="Prrafodelista"/>
        <w:rPr>
          <w:rFonts w:ascii="Verdana" w:hAnsi="Verdana"/>
          <w:bCs/>
          <w:sz w:val="22"/>
          <w:szCs w:val="22"/>
        </w:rPr>
      </w:pPr>
    </w:p>
    <w:p w14:paraId="7A74DA25" w14:textId="243EB73A" w:rsidR="00990D98" w:rsidRDefault="00990D98">
      <w:pPr>
        <w:jc w:val="center"/>
        <w:rPr>
          <w:rFonts w:ascii="Verdana" w:hAnsi="Verdana"/>
          <w:bCs/>
          <w:sz w:val="22"/>
          <w:szCs w:val="22"/>
        </w:rPr>
      </w:pPr>
      <w:r>
        <w:rPr>
          <w:noProof/>
        </w:rPr>
        <w:lastRenderedPageBreak/>
        <w:drawing>
          <wp:inline distT="0" distB="0" distL="0" distR="0" wp14:anchorId="2ACC7C20" wp14:editId="413ABE3E">
            <wp:extent cx="5422935" cy="316230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4742" cy="3163354"/>
                    </a:xfrm>
                    <a:prstGeom prst="rect">
                      <a:avLst/>
                    </a:prstGeom>
                  </pic:spPr>
                </pic:pic>
              </a:graphicData>
            </a:graphic>
          </wp:inline>
        </w:drawing>
      </w:r>
    </w:p>
    <w:p w14:paraId="1508010B" w14:textId="6F1CB5B8" w:rsidR="00C24BAF" w:rsidRDefault="00C24BAF">
      <w:pPr>
        <w:jc w:val="center"/>
        <w:rPr>
          <w:rFonts w:ascii="Verdana" w:hAnsi="Verdana"/>
          <w:bCs/>
          <w:sz w:val="22"/>
          <w:szCs w:val="22"/>
        </w:rPr>
      </w:pPr>
    </w:p>
    <w:p w14:paraId="3B7452EC" w14:textId="4E5EB8AF" w:rsidR="00C24BAF" w:rsidRDefault="00C24BAF" w:rsidP="00C24BAF">
      <w:pPr>
        <w:jc w:val="both"/>
        <w:rPr>
          <w:rFonts w:ascii="Verdana" w:hAnsi="Verdana"/>
          <w:bCs/>
          <w:sz w:val="22"/>
          <w:szCs w:val="22"/>
        </w:rPr>
      </w:pPr>
      <w:r>
        <w:rPr>
          <w:rFonts w:ascii="Verdana" w:hAnsi="Verdana"/>
          <w:bCs/>
          <w:sz w:val="22"/>
          <w:szCs w:val="22"/>
        </w:rPr>
        <w:t>Se está analizando con los desarrolladores de la página del CNO y XM la posibilidad de generar una interfaz de importación de datos, para la construcción del tablero de seguimiento del indicador. Pendientes de reunión con las personas de tecnología de XM.</w:t>
      </w:r>
    </w:p>
    <w:p w14:paraId="5C39ED28" w14:textId="77777777" w:rsidR="00C24BAF" w:rsidRPr="00E51673" w:rsidRDefault="00C24BAF" w:rsidP="00E51673">
      <w:pPr>
        <w:jc w:val="both"/>
        <w:rPr>
          <w:rFonts w:ascii="Verdana" w:hAnsi="Verdana"/>
          <w:bCs/>
          <w:sz w:val="22"/>
          <w:szCs w:val="22"/>
        </w:rPr>
      </w:pPr>
    </w:p>
    <w:p w14:paraId="50257A38" w14:textId="53483CF8" w:rsidR="009C5275" w:rsidRPr="00E51673" w:rsidRDefault="00A93C39" w:rsidP="00E51673">
      <w:pPr>
        <w:pStyle w:val="Prrafodelista"/>
        <w:numPr>
          <w:ilvl w:val="0"/>
          <w:numId w:val="2"/>
        </w:numPr>
        <w:jc w:val="both"/>
        <w:rPr>
          <w:rFonts w:ascii="Verdana" w:hAnsi="Verdana"/>
          <w:bCs/>
          <w:sz w:val="22"/>
          <w:szCs w:val="22"/>
        </w:rPr>
      </w:pPr>
      <w:r>
        <w:rPr>
          <w:rFonts w:ascii="Verdana" w:hAnsi="Verdana"/>
          <w:bCs/>
          <w:sz w:val="22"/>
          <w:szCs w:val="22"/>
        </w:rPr>
        <w:t>Se convocará próximamente un CNO no presencial para la aprobar la inclusión de una nueva firma en la lista de los auditores al Centro Nacional de Despacho-CND de XM.</w:t>
      </w:r>
    </w:p>
    <w:p w14:paraId="31400E89" w14:textId="77777777" w:rsidR="00C7754D" w:rsidRDefault="00C7754D">
      <w:pPr>
        <w:jc w:val="both"/>
        <w:rPr>
          <w:rFonts w:ascii="Verdana" w:eastAsia="Verdana" w:hAnsi="Verdana" w:cs="Verdana"/>
          <w:b/>
          <w:sz w:val="22"/>
          <w:szCs w:val="22"/>
          <w:u w:val="single"/>
        </w:rPr>
      </w:pPr>
    </w:p>
    <w:p w14:paraId="4B5D5EBE" w14:textId="287F2876" w:rsidR="008D5386" w:rsidRPr="0025028F" w:rsidRDefault="008D5386">
      <w:pPr>
        <w:jc w:val="both"/>
        <w:rPr>
          <w:rFonts w:ascii="Verdana" w:eastAsia="Verdana" w:hAnsi="Verdana" w:cs="Verdana"/>
          <w:b/>
          <w:sz w:val="22"/>
          <w:szCs w:val="22"/>
          <w:u w:val="single"/>
        </w:rPr>
      </w:pPr>
      <w:r w:rsidRPr="0025028F">
        <w:rPr>
          <w:rFonts w:ascii="Verdana" w:eastAsia="Verdana" w:hAnsi="Verdana" w:cs="Verdana"/>
          <w:b/>
          <w:sz w:val="22"/>
          <w:szCs w:val="22"/>
          <w:u w:val="single"/>
        </w:rPr>
        <w:t xml:space="preserve">TEMAS CACSEE </w:t>
      </w:r>
      <w:r w:rsidR="0095439B" w:rsidRPr="00E51673">
        <w:rPr>
          <w:rFonts w:ascii="Verdana" w:eastAsia="Verdana" w:hAnsi="Verdana" w:cs="Verdana"/>
          <w:b/>
          <w:sz w:val="22"/>
          <w:szCs w:val="22"/>
          <w:u w:val="single"/>
        </w:rPr>
        <w:t>5</w:t>
      </w:r>
      <w:r w:rsidR="009B0A4F" w:rsidRPr="00E51673">
        <w:rPr>
          <w:rFonts w:ascii="Verdana" w:eastAsia="Verdana" w:hAnsi="Verdana" w:cs="Verdana"/>
          <w:b/>
          <w:sz w:val="22"/>
          <w:szCs w:val="22"/>
          <w:u w:val="single"/>
        </w:rPr>
        <w:t>3</w:t>
      </w:r>
      <w:r w:rsidRPr="0025028F">
        <w:rPr>
          <w:rFonts w:ascii="Verdana" w:eastAsia="Verdana" w:hAnsi="Verdana" w:cs="Verdana"/>
          <w:b/>
          <w:sz w:val="22"/>
          <w:szCs w:val="22"/>
          <w:u w:val="single"/>
        </w:rPr>
        <w:t>:</w:t>
      </w:r>
    </w:p>
    <w:p w14:paraId="58088EBE" w14:textId="7D719AA0" w:rsidR="008D5386" w:rsidRDefault="008D5386" w:rsidP="008D5386">
      <w:pPr>
        <w:pStyle w:val="Prrafodelista"/>
        <w:ind w:left="720"/>
        <w:jc w:val="both"/>
        <w:rPr>
          <w:rFonts w:ascii="Verdana" w:hAnsi="Verdana"/>
          <w:bCs/>
          <w:sz w:val="22"/>
          <w:szCs w:val="22"/>
        </w:rPr>
      </w:pPr>
    </w:p>
    <w:p w14:paraId="030D7669" w14:textId="015B1490" w:rsidR="0095439B" w:rsidRDefault="009C5275" w:rsidP="009B0A4F">
      <w:pPr>
        <w:pStyle w:val="Prrafodelista"/>
        <w:numPr>
          <w:ilvl w:val="0"/>
          <w:numId w:val="3"/>
        </w:numPr>
        <w:jc w:val="both"/>
        <w:rPr>
          <w:rFonts w:ascii="Verdana" w:hAnsi="Verdana"/>
          <w:bCs/>
          <w:sz w:val="22"/>
          <w:szCs w:val="22"/>
        </w:rPr>
      </w:pPr>
      <w:r>
        <w:rPr>
          <w:rFonts w:ascii="Verdana" w:hAnsi="Verdana"/>
          <w:bCs/>
          <w:sz w:val="22"/>
          <w:szCs w:val="22"/>
        </w:rPr>
        <w:t xml:space="preserve">El </w:t>
      </w:r>
      <w:r w:rsidR="0095439B">
        <w:rPr>
          <w:rFonts w:ascii="Verdana" w:hAnsi="Verdana"/>
          <w:bCs/>
          <w:sz w:val="22"/>
          <w:szCs w:val="22"/>
        </w:rPr>
        <w:t>I</w:t>
      </w:r>
      <w:r w:rsidR="00256FEC">
        <w:rPr>
          <w:rFonts w:ascii="Verdana" w:hAnsi="Verdana"/>
          <w:bCs/>
          <w:sz w:val="22"/>
          <w:szCs w:val="22"/>
        </w:rPr>
        <w:t>DEAM</w:t>
      </w:r>
      <w:r w:rsidR="0095439B">
        <w:rPr>
          <w:rFonts w:ascii="Verdana" w:hAnsi="Verdana"/>
          <w:bCs/>
          <w:sz w:val="22"/>
          <w:szCs w:val="22"/>
        </w:rPr>
        <w:t xml:space="preserve"> presentó </w:t>
      </w:r>
      <w:r>
        <w:rPr>
          <w:rFonts w:ascii="Verdana" w:hAnsi="Verdana"/>
          <w:bCs/>
          <w:sz w:val="22"/>
          <w:szCs w:val="22"/>
        </w:rPr>
        <w:t xml:space="preserve">la </w:t>
      </w:r>
      <w:r w:rsidR="0095439B">
        <w:rPr>
          <w:rFonts w:ascii="Verdana" w:hAnsi="Verdana"/>
          <w:bCs/>
          <w:sz w:val="22"/>
          <w:szCs w:val="22"/>
        </w:rPr>
        <w:t>situación clim</w:t>
      </w:r>
      <w:r>
        <w:rPr>
          <w:rFonts w:ascii="Verdana" w:hAnsi="Verdana"/>
          <w:bCs/>
          <w:sz w:val="22"/>
          <w:szCs w:val="22"/>
        </w:rPr>
        <w:t>ática del país.</w:t>
      </w:r>
    </w:p>
    <w:p w14:paraId="63464190" w14:textId="77777777" w:rsidR="009C5275" w:rsidRDefault="009C5275" w:rsidP="00E51673">
      <w:pPr>
        <w:pStyle w:val="Prrafodelista"/>
        <w:ind w:left="360"/>
        <w:jc w:val="both"/>
        <w:rPr>
          <w:rFonts w:ascii="Verdana" w:hAnsi="Verdana"/>
          <w:bCs/>
          <w:sz w:val="22"/>
          <w:szCs w:val="22"/>
        </w:rPr>
      </w:pPr>
    </w:p>
    <w:p w14:paraId="4D5BEB56" w14:textId="2F988158" w:rsidR="009C5275" w:rsidRDefault="009C5275" w:rsidP="009B0A4F">
      <w:pPr>
        <w:pStyle w:val="Prrafodelista"/>
        <w:numPr>
          <w:ilvl w:val="0"/>
          <w:numId w:val="3"/>
        </w:numPr>
        <w:jc w:val="both"/>
        <w:rPr>
          <w:rFonts w:ascii="Verdana" w:hAnsi="Verdana"/>
          <w:bCs/>
          <w:sz w:val="22"/>
          <w:szCs w:val="22"/>
        </w:rPr>
      </w:pPr>
      <w:r>
        <w:rPr>
          <w:rFonts w:ascii="Verdana" w:hAnsi="Verdana"/>
          <w:bCs/>
          <w:sz w:val="22"/>
          <w:szCs w:val="22"/>
        </w:rPr>
        <w:t xml:space="preserve">El CND </w:t>
      </w:r>
      <w:r w:rsidR="0095439B">
        <w:rPr>
          <w:rFonts w:ascii="Verdana" w:hAnsi="Verdana"/>
          <w:bCs/>
          <w:sz w:val="22"/>
          <w:szCs w:val="22"/>
        </w:rPr>
        <w:t xml:space="preserve">presentó </w:t>
      </w:r>
      <w:r>
        <w:rPr>
          <w:rFonts w:ascii="Verdana" w:hAnsi="Verdana"/>
          <w:bCs/>
          <w:sz w:val="22"/>
          <w:szCs w:val="22"/>
        </w:rPr>
        <w:t xml:space="preserve">la </w:t>
      </w:r>
      <w:r w:rsidR="0095439B">
        <w:rPr>
          <w:rFonts w:ascii="Verdana" w:hAnsi="Verdana"/>
          <w:bCs/>
          <w:sz w:val="22"/>
          <w:szCs w:val="22"/>
        </w:rPr>
        <w:t xml:space="preserve">situación energética actual y </w:t>
      </w:r>
      <w:r>
        <w:rPr>
          <w:rFonts w:ascii="Verdana" w:hAnsi="Verdana"/>
          <w:bCs/>
          <w:sz w:val="22"/>
          <w:szCs w:val="22"/>
        </w:rPr>
        <w:t xml:space="preserve">el panorama energético </w:t>
      </w:r>
      <w:r w:rsidR="0095439B">
        <w:rPr>
          <w:rFonts w:ascii="Verdana" w:hAnsi="Verdana"/>
          <w:bCs/>
          <w:sz w:val="22"/>
          <w:szCs w:val="22"/>
        </w:rPr>
        <w:t>de mediano plazo</w:t>
      </w:r>
      <w:r>
        <w:rPr>
          <w:rFonts w:ascii="Verdana" w:hAnsi="Verdana"/>
          <w:bCs/>
          <w:sz w:val="22"/>
          <w:szCs w:val="22"/>
        </w:rPr>
        <w:t>.</w:t>
      </w:r>
    </w:p>
    <w:p w14:paraId="662219E4" w14:textId="77777777" w:rsidR="009C5275" w:rsidRDefault="009C5275" w:rsidP="00E51673">
      <w:pPr>
        <w:pStyle w:val="Prrafodelista"/>
        <w:ind w:left="360"/>
        <w:jc w:val="both"/>
        <w:rPr>
          <w:rFonts w:ascii="Verdana" w:hAnsi="Verdana"/>
          <w:bCs/>
          <w:sz w:val="22"/>
          <w:szCs w:val="22"/>
        </w:rPr>
      </w:pPr>
    </w:p>
    <w:p w14:paraId="5876619A" w14:textId="08A6CB03" w:rsidR="00D7163E" w:rsidRPr="00E51673" w:rsidRDefault="009C5275" w:rsidP="00E51673">
      <w:pPr>
        <w:pStyle w:val="Prrafodelista"/>
        <w:numPr>
          <w:ilvl w:val="0"/>
          <w:numId w:val="3"/>
        </w:numPr>
        <w:jc w:val="both"/>
        <w:rPr>
          <w:rFonts w:ascii="Verdana" w:hAnsi="Verdana"/>
          <w:bCs/>
          <w:sz w:val="22"/>
          <w:szCs w:val="22"/>
        </w:rPr>
      </w:pPr>
      <w:r>
        <w:rPr>
          <w:rFonts w:ascii="Verdana" w:hAnsi="Verdana"/>
          <w:bCs/>
          <w:sz w:val="22"/>
          <w:szCs w:val="22"/>
        </w:rPr>
        <w:t xml:space="preserve">El </w:t>
      </w:r>
      <w:r w:rsidR="0095439B" w:rsidRPr="00E51673">
        <w:rPr>
          <w:rFonts w:ascii="Verdana" w:hAnsi="Verdana"/>
          <w:bCs/>
          <w:sz w:val="22"/>
          <w:szCs w:val="22"/>
        </w:rPr>
        <w:t>CNO present</w:t>
      </w:r>
      <w:r>
        <w:rPr>
          <w:rFonts w:ascii="Verdana" w:hAnsi="Verdana"/>
          <w:bCs/>
          <w:sz w:val="22"/>
          <w:szCs w:val="22"/>
        </w:rPr>
        <w:t>ó</w:t>
      </w:r>
      <w:r w:rsidR="0095439B" w:rsidRPr="00E51673">
        <w:rPr>
          <w:rFonts w:ascii="Verdana" w:hAnsi="Verdana"/>
          <w:bCs/>
          <w:sz w:val="22"/>
          <w:szCs w:val="22"/>
        </w:rPr>
        <w:t xml:space="preserve"> las actividades durante la emergencia, los acuerdos aprobados y </w:t>
      </w:r>
      <w:r w:rsidR="0011288E" w:rsidRPr="00E51673">
        <w:rPr>
          <w:rFonts w:ascii="Verdana" w:hAnsi="Verdana"/>
          <w:bCs/>
          <w:sz w:val="22"/>
          <w:szCs w:val="22"/>
        </w:rPr>
        <w:t>el indicador de seguimiento</w:t>
      </w:r>
      <w:r>
        <w:rPr>
          <w:rFonts w:ascii="Verdana" w:hAnsi="Verdana"/>
          <w:bCs/>
          <w:sz w:val="22"/>
          <w:szCs w:val="22"/>
        </w:rPr>
        <w:t xml:space="preserve"> al volumen útil agregado del SIN de acuerdo con la situación energética actual</w:t>
      </w:r>
      <w:r w:rsidR="0011288E" w:rsidRPr="00E51673">
        <w:rPr>
          <w:rFonts w:ascii="Verdana" w:hAnsi="Verdana"/>
          <w:bCs/>
          <w:sz w:val="22"/>
          <w:szCs w:val="22"/>
        </w:rPr>
        <w:t>.</w:t>
      </w:r>
    </w:p>
    <w:p w14:paraId="098D0950" w14:textId="77777777" w:rsidR="00D7163E" w:rsidRPr="005529E6" w:rsidRDefault="00D7163E" w:rsidP="00A97D64">
      <w:pPr>
        <w:jc w:val="both"/>
        <w:rPr>
          <w:rFonts w:ascii="Verdana" w:hAnsi="Verdana"/>
          <w:bCs/>
          <w:sz w:val="22"/>
          <w:szCs w:val="22"/>
        </w:rPr>
      </w:pPr>
    </w:p>
    <w:sectPr w:rsidR="00D7163E" w:rsidRPr="005529E6">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F3403" w14:textId="77777777" w:rsidR="00F973E5" w:rsidRDefault="00F973E5">
      <w:r>
        <w:separator/>
      </w:r>
    </w:p>
  </w:endnote>
  <w:endnote w:type="continuationSeparator" w:id="0">
    <w:p w14:paraId="017039D8" w14:textId="77777777" w:rsidR="00F973E5" w:rsidRDefault="00F9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5D53C764" w:rsidR="007342DB" w:rsidRPr="005F56D1" w:rsidRDefault="007342DB">
    <w:pPr>
      <w:pBdr>
        <w:top w:val="nil"/>
        <w:left w:val="nil"/>
        <w:bottom w:val="nil"/>
        <w:right w:val="nil"/>
        <w:between w:val="nil"/>
      </w:pBdr>
      <w:tabs>
        <w:tab w:val="center" w:pos="4252"/>
        <w:tab w:val="right" w:pos="8504"/>
      </w:tabs>
      <w:rPr>
        <w:rFonts w:ascii="Verdana" w:eastAsia="Verdana" w:hAnsi="Verdana" w:cs="Verdana"/>
        <w:i/>
        <w:iCs/>
        <w:color w:val="000000"/>
        <w:sz w:val="16"/>
        <w:szCs w:val="16"/>
      </w:rPr>
    </w:pPr>
    <w:r w:rsidRPr="005F56D1">
      <w:rPr>
        <w:rFonts w:ascii="Verdana" w:eastAsia="Verdana" w:hAnsi="Verdana" w:cs="Verdana"/>
        <w:i/>
        <w:iCs/>
        <w:color w:val="000000"/>
        <w:sz w:val="16"/>
        <w:szCs w:val="16"/>
      </w:rPr>
      <w:t>I</w:t>
    </w:r>
    <w:r>
      <w:rPr>
        <w:rFonts w:ascii="Verdana" w:eastAsia="Verdana" w:hAnsi="Verdana" w:cs="Verdana"/>
        <w:i/>
        <w:iCs/>
        <w:color w:val="000000"/>
        <w:sz w:val="16"/>
        <w:szCs w:val="16"/>
      </w:rPr>
      <w:t xml:space="preserve">nforme </w:t>
    </w:r>
    <w:r w:rsidRPr="005F56D1">
      <w:rPr>
        <w:rFonts w:ascii="Verdana" w:eastAsia="Verdana" w:hAnsi="Verdana" w:cs="Verdana"/>
        <w:i/>
        <w:iCs/>
        <w:color w:val="000000"/>
        <w:sz w:val="16"/>
        <w:szCs w:val="16"/>
      </w:rPr>
      <w:t>CNO 5</w:t>
    </w:r>
    <w:r w:rsidR="00256FEC">
      <w:rPr>
        <w:rFonts w:ascii="Verdana" w:eastAsia="Verdana" w:hAnsi="Verdana" w:cs="Verdana"/>
        <w:i/>
        <w:iCs/>
        <w:color w:val="000000"/>
        <w:sz w:val="16"/>
        <w:szCs w:val="16"/>
      </w:rPr>
      <w:t>9</w:t>
    </w:r>
    <w:r w:rsidR="009B0A4F">
      <w:rPr>
        <w:rFonts w:ascii="Verdana" w:eastAsia="Verdana" w:hAnsi="Verdana" w:cs="Verdana"/>
        <w:i/>
        <w:iCs/>
        <w:color w:val="000000"/>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C3756" w14:textId="77777777" w:rsidR="00F973E5" w:rsidRDefault="00F973E5">
      <w:r>
        <w:separator/>
      </w:r>
    </w:p>
  </w:footnote>
  <w:footnote w:type="continuationSeparator" w:id="0">
    <w:p w14:paraId="1A69572D" w14:textId="77777777" w:rsidR="00F973E5" w:rsidRDefault="00F9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7342DB" w:rsidRDefault="007342DB">
    <w:pPr>
      <w:pBdr>
        <w:top w:val="nil"/>
        <w:left w:val="nil"/>
        <w:bottom w:val="nil"/>
        <w:right w:val="nil"/>
        <w:between w:val="nil"/>
      </w:pBdr>
      <w:tabs>
        <w:tab w:val="center" w:pos="4419"/>
        <w:tab w:val="left" w:pos="7180"/>
      </w:tabs>
      <w:rPr>
        <w:b/>
        <w:color w:val="000000"/>
        <w:sz w:val="40"/>
        <w:szCs w:val="40"/>
      </w:rPr>
    </w:pPr>
  </w:p>
  <w:p w14:paraId="35C99D28" w14:textId="77777777" w:rsidR="007342DB" w:rsidRDefault="007342DB">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878FE"/>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56A72AF"/>
    <w:multiLevelType w:val="hybridMultilevel"/>
    <w:tmpl w:val="D2467B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297D63"/>
    <w:multiLevelType w:val="hybridMultilevel"/>
    <w:tmpl w:val="2FAA0008"/>
    <w:lvl w:ilvl="0" w:tplc="916666C0">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0EE3133"/>
    <w:multiLevelType w:val="hybridMultilevel"/>
    <w:tmpl w:val="49326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250B8B"/>
    <w:multiLevelType w:val="hybridMultilevel"/>
    <w:tmpl w:val="2C12052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2F0934"/>
    <w:multiLevelType w:val="hybridMultilevel"/>
    <w:tmpl w:val="DB864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79493C"/>
    <w:multiLevelType w:val="multilevel"/>
    <w:tmpl w:val="AAC00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0F12340"/>
    <w:multiLevelType w:val="hybridMultilevel"/>
    <w:tmpl w:val="25C2D82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360" w:hanging="360"/>
      </w:pPr>
      <w:rPr>
        <w:rFonts w:ascii="Wingdings" w:hAnsi="Wingdings" w:hint="default"/>
      </w:rPr>
    </w:lvl>
    <w:lvl w:ilvl="3" w:tplc="240A0001" w:tentative="1">
      <w:start w:val="1"/>
      <w:numFmt w:val="bullet"/>
      <w:lvlText w:val=""/>
      <w:lvlJc w:val="left"/>
      <w:pPr>
        <w:ind w:left="1080" w:hanging="360"/>
      </w:pPr>
      <w:rPr>
        <w:rFonts w:ascii="Symbol" w:hAnsi="Symbol" w:hint="default"/>
      </w:rPr>
    </w:lvl>
    <w:lvl w:ilvl="4" w:tplc="240A0003" w:tentative="1">
      <w:start w:val="1"/>
      <w:numFmt w:val="bullet"/>
      <w:lvlText w:val="o"/>
      <w:lvlJc w:val="left"/>
      <w:pPr>
        <w:ind w:left="1800" w:hanging="360"/>
      </w:pPr>
      <w:rPr>
        <w:rFonts w:ascii="Courier New" w:hAnsi="Courier New" w:cs="Courier New" w:hint="default"/>
      </w:rPr>
    </w:lvl>
    <w:lvl w:ilvl="5" w:tplc="240A0005" w:tentative="1">
      <w:start w:val="1"/>
      <w:numFmt w:val="bullet"/>
      <w:lvlText w:val=""/>
      <w:lvlJc w:val="left"/>
      <w:pPr>
        <w:ind w:left="2520" w:hanging="360"/>
      </w:pPr>
      <w:rPr>
        <w:rFonts w:ascii="Wingdings" w:hAnsi="Wingdings" w:hint="default"/>
      </w:rPr>
    </w:lvl>
    <w:lvl w:ilvl="6" w:tplc="240A0001" w:tentative="1">
      <w:start w:val="1"/>
      <w:numFmt w:val="bullet"/>
      <w:lvlText w:val=""/>
      <w:lvlJc w:val="left"/>
      <w:pPr>
        <w:ind w:left="3240" w:hanging="360"/>
      </w:pPr>
      <w:rPr>
        <w:rFonts w:ascii="Symbol" w:hAnsi="Symbol" w:hint="default"/>
      </w:rPr>
    </w:lvl>
    <w:lvl w:ilvl="7" w:tplc="240A0003" w:tentative="1">
      <w:start w:val="1"/>
      <w:numFmt w:val="bullet"/>
      <w:lvlText w:val="o"/>
      <w:lvlJc w:val="left"/>
      <w:pPr>
        <w:ind w:left="3960" w:hanging="360"/>
      </w:pPr>
      <w:rPr>
        <w:rFonts w:ascii="Courier New" w:hAnsi="Courier New" w:cs="Courier New" w:hint="default"/>
      </w:rPr>
    </w:lvl>
    <w:lvl w:ilvl="8" w:tplc="240A0005" w:tentative="1">
      <w:start w:val="1"/>
      <w:numFmt w:val="bullet"/>
      <w:lvlText w:val=""/>
      <w:lvlJc w:val="left"/>
      <w:pPr>
        <w:ind w:left="4680" w:hanging="360"/>
      </w:pPr>
      <w:rPr>
        <w:rFonts w:ascii="Wingdings" w:hAnsi="Wingdings" w:hint="default"/>
      </w:rPr>
    </w:lvl>
  </w:abstractNum>
  <w:abstractNum w:abstractNumId="9" w15:restartNumberingAfterBreak="0">
    <w:nsid w:val="7B302166"/>
    <w:multiLevelType w:val="hybridMultilevel"/>
    <w:tmpl w:val="0276D9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8"/>
  </w:num>
  <w:num w:numId="11">
    <w:abstractNumId w:val="9"/>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7307"/>
    <w:rsid w:val="00016F5E"/>
    <w:rsid w:val="00020762"/>
    <w:rsid w:val="00024171"/>
    <w:rsid w:val="00024740"/>
    <w:rsid w:val="000378FB"/>
    <w:rsid w:val="00040CA2"/>
    <w:rsid w:val="00051257"/>
    <w:rsid w:val="00052450"/>
    <w:rsid w:val="00072642"/>
    <w:rsid w:val="00075B3F"/>
    <w:rsid w:val="00076B3C"/>
    <w:rsid w:val="00080889"/>
    <w:rsid w:val="0008210D"/>
    <w:rsid w:val="0008226B"/>
    <w:rsid w:val="00084002"/>
    <w:rsid w:val="00092041"/>
    <w:rsid w:val="000958F0"/>
    <w:rsid w:val="00097077"/>
    <w:rsid w:val="000970DA"/>
    <w:rsid w:val="000A2032"/>
    <w:rsid w:val="000B039D"/>
    <w:rsid w:val="000C35D9"/>
    <w:rsid w:val="000C5A39"/>
    <w:rsid w:val="000D0278"/>
    <w:rsid w:val="000D0FE5"/>
    <w:rsid w:val="000D12E1"/>
    <w:rsid w:val="000D2F11"/>
    <w:rsid w:val="000E24EB"/>
    <w:rsid w:val="000F099A"/>
    <w:rsid w:val="000F403F"/>
    <w:rsid w:val="000F525F"/>
    <w:rsid w:val="000F7AB8"/>
    <w:rsid w:val="000F7D73"/>
    <w:rsid w:val="001113E5"/>
    <w:rsid w:val="001116E9"/>
    <w:rsid w:val="0011288E"/>
    <w:rsid w:val="00112C06"/>
    <w:rsid w:val="001208BF"/>
    <w:rsid w:val="00123AA8"/>
    <w:rsid w:val="001313A0"/>
    <w:rsid w:val="001375A7"/>
    <w:rsid w:val="00137792"/>
    <w:rsid w:val="00137C47"/>
    <w:rsid w:val="0014233E"/>
    <w:rsid w:val="001427A3"/>
    <w:rsid w:val="00142CB9"/>
    <w:rsid w:val="0014580B"/>
    <w:rsid w:val="00150974"/>
    <w:rsid w:val="00164CCA"/>
    <w:rsid w:val="00184F80"/>
    <w:rsid w:val="00185CE1"/>
    <w:rsid w:val="001939BB"/>
    <w:rsid w:val="0019552B"/>
    <w:rsid w:val="001B528C"/>
    <w:rsid w:val="001B5848"/>
    <w:rsid w:val="001B655C"/>
    <w:rsid w:val="001B6888"/>
    <w:rsid w:val="001C4065"/>
    <w:rsid w:val="001C4A97"/>
    <w:rsid w:val="001C50E6"/>
    <w:rsid w:val="001D1DF8"/>
    <w:rsid w:val="001D21E7"/>
    <w:rsid w:val="001E75B0"/>
    <w:rsid w:val="001F2A0A"/>
    <w:rsid w:val="001F2DDB"/>
    <w:rsid w:val="0020013A"/>
    <w:rsid w:val="00200562"/>
    <w:rsid w:val="00201D31"/>
    <w:rsid w:val="00203036"/>
    <w:rsid w:val="002049AE"/>
    <w:rsid w:val="0021167D"/>
    <w:rsid w:val="00213180"/>
    <w:rsid w:val="00217887"/>
    <w:rsid w:val="0022132E"/>
    <w:rsid w:val="0022257E"/>
    <w:rsid w:val="00223CA5"/>
    <w:rsid w:val="0023663C"/>
    <w:rsid w:val="00246608"/>
    <w:rsid w:val="0025017B"/>
    <w:rsid w:val="0025028F"/>
    <w:rsid w:val="00251A8B"/>
    <w:rsid w:val="002537BC"/>
    <w:rsid w:val="00256FEC"/>
    <w:rsid w:val="00257C13"/>
    <w:rsid w:val="002600C9"/>
    <w:rsid w:val="0026220B"/>
    <w:rsid w:val="00262AAF"/>
    <w:rsid w:val="00267C1D"/>
    <w:rsid w:val="002703C3"/>
    <w:rsid w:val="00273423"/>
    <w:rsid w:val="00275415"/>
    <w:rsid w:val="002758D8"/>
    <w:rsid w:val="00280F9A"/>
    <w:rsid w:val="00282C44"/>
    <w:rsid w:val="002906DE"/>
    <w:rsid w:val="00292DBE"/>
    <w:rsid w:val="002A4CED"/>
    <w:rsid w:val="002C23F3"/>
    <w:rsid w:val="002C4C15"/>
    <w:rsid w:val="002C66AB"/>
    <w:rsid w:val="002E67EE"/>
    <w:rsid w:val="002F6519"/>
    <w:rsid w:val="00303520"/>
    <w:rsid w:val="00305BB3"/>
    <w:rsid w:val="00307A0C"/>
    <w:rsid w:val="00313043"/>
    <w:rsid w:val="00314FC9"/>
    <w:rsid w:val="003202B4"/>
    <w:rsid w:val="00321268"/>
    <w:rsid w:val="00321A94"/>
    <w:rsid w:val="00322A99"/>
    <w:rsid w:val="00323968"/>
    <w:rsid w:val="00326F04"/>
    <w:rsid w:val="00327EE9"/>
    <w:rsid w:val="0034727B"/>
    <w:rsid w:val="00350364"/>
    <w:rsid w:val="003561F1"/>
    <w:rsid w:val="003611EF"/>
    <w:rsid w:val="0036314B"/>
    <w:rsid w:val="003639CF"/>
    <w:rsid w:val="00366091"/>
    <w:rsid w:val="003740A7"/>
    <w:rsid w:val="00381BE0"/>
    <w:rsid w:val="0038624D"/>
    <w:rsid w:val="00387DDA"/>
    <w:rsid w:val="0039082B"/>
    <w:rsid w:val="0039784B"/>
    <w:rsid w:val="003A093D"/>
    <w:rsid w:val="003A7EEB"/>
    <w:rsid w:val="003B499D"/>
    <w:rsid w:val="003B4ED7"/>
    <w:rsid w:val="003B759E"/>
    <w:rsid w:val="003B7E66"/>
    <w:rsid w:val="003C3859"/>
    <w:rsid w:val="003C70F6"/>
    <w:rsid w:val="003D234B"/>
    <w:rsid w:val="003D61F5"/>
    <w:rsid w:val="003D7626"/>
    <w:rsid w:val="003E0186"/>
    <w:rsid w:val="003E2065"/>
    <w:rsid w:val="003E2D64"/>
    <w:rsid w:val="003E7004"/>
    <w:rsid w:val="003F28E4"/>
    <w:rsid w:val="003F5C95"/>
    <w:rsid w:val="003F7758"/>
    <w:rsid w:val="00402555"/>
    <w:rsid w:val="0041139D"/>
    <w:rsid w:val="00412969"/>
    <w:rsid w:val="00412FC8"/>
    <w:rsid w:val="00414DDF"/>
    <w:rsid w:val="004156BC"/>
    <w:rsid w:val="00421ABA"/>
    <w:rsid w:val="0043199B"/>
    <w:rsid w:val="0044159B"/>
    <w:rsid w:val="004418FE"/>
    <w:rsid w:val="00442F08"/>
    <w:rsid w:val="004475E8"/>
    <w:rsid w:val="00450862"/>
    <w:rsid w:val="00460EAE"/>
    <w:rsid w:val="00462EA8"/>
    <w:rsid w:val="00466B8F"/>
    <w:rsid w:val="00466C32"/>
    <w:rsid w:val="0046776D"/>
    <w:rsid w:val="00470C3C"/>
    <w:rsid w:val="00470CA8"/>
    <w:rsid w:val="00473DC0"/>
    <w:rsid w:val="0048478B"/>
    <w:rsid w:val="0048656D"/>
    <w:rsid w:val="0049230B"/>
    <w:rsid w:val="00495975"/>
    <w:rsid w:val="004B0855"/>
    <w:rsid w:val="004B2B5D"/>
    <w:rsid w:val="004B3AB5"/>
    <w:rsid w:val="004C0B9B"/>
    <w:rsid w:val="004C251A"/>
    <w:rsid w:val="004C3E57"/>
    <w:rsid w:val="004C4342"/>
    <w:rsid w:val="004D046F"/>
    <w:rsid w:val="004D6E62"/>
    <w:rsid w:val="004E3D43"/>
    <w:rsid w:val="004E5458"/>
    <w:rsid w:val="004F2C9B"/>
    <w:rsid w:val="004F31D7"/>
    <w:rsid w:val="00500734"/>
    <w:rsid w:val="00506CC8"/>
    <w:rsid w:val="00511962"/>
    <w:rsid w:val="00512257"/>
    <w:rsid w:val="00520F8F"/>
    <w:rsid w:val="00522087"/>
    <w:rsid w:val="00524F3C"/>
    <w:rsid w:val="00530852"/>
    <w:rsid w:val="00530A9F"/>
    <w:rsid w:val="00540587"/>
    <w:rsid w:val="005452DF"/>
    <w:rsid w:val="005529E6"/>
    <w:rsid w:val="0055398A"/>
    <w:rsid w:val="00555CD5"/>
    <w:rsid w:val="00555D67"/>
    <w:rsid w:val="00556094"/>
    <w:rsid w:val="00561CF0"/>
    <w:rsid w:val="0056565F"/>
    <w:rsid w:val="00566CD8"/>
    <w:rsid w:val="005675E9"/>
    <w:rsid w:val="00572EFD"/>
    <w:rsid w:val="005771B0"/>
    <w:rsid w:val="005814CA"/>
    <w:rsid w:val="005817B8"/>
    <w:rsid w:val="0058226B"/>
    <w:rsid w:val="00583D82"/>
    <w:rsid w:val="00595B59"/>
    <w:rsid w:val="005B53E6"/>
    <w:rsid w:val="005C379E"/>
    <w:rsid w:val="005C75B2"/>
    <w:rsid w:val="005D0B2D"/>
    <w:rsid w:val="005D48D3"/>
    <w:rsid w:val="005D6282"/>
    <w:rsid w:val="005D687A"/>
    <w:rsid w:val="005D7C4C"/>
    <w:rsid w:val="005E5BED"/>
    <w:rsid w:val="005F56D1"/>
    <w:rsid w:val="00600502"/>
    <w:rsid w:val="0060078E"/>
    <w:rsid w:val="00601157"/>
    <w:rsid w:val="00601AF6"/>
    <w:rsid w:val="00605D71"/>
    <w:rsid w:val="00611156"/>
    <w:rsid w:val="00612225"/>
    <w:rsid w:val="00614F89"/>
    <w:rsid w:val="006152C2"/>
    <w:rsid w:val="006308DA"/>
    <w:rsid w:val="00631932"/>
    <w:rsid w:val="0064007B"/>
    <w:rsid w:val="00643788"/>
    <w:rsid w:val="00650D27"/>
    <w:rsid w:val="00660087"/>
    <w:rsid w:val="0067256F"/>
    <w:rsid w:val="0067477E"/>
    <w:rsid w:val="0067485E"/>
    <w:rsid w:val="00680231"/>
    <w:rsid w:val="006810C0"/>
    <w:rsid w:val="006834DB"/>
    <w:rsid w:val="006915E5"/>
    <w:rsid w:val="006A41B8"/>
    <w:rsid w:val="006A69FE"/>
    <w:rsid w:val="006B580F"/>
    <w:rsid w:val="006C10C3"/>
    <w:rsid w:val="006D363D"/>
    <w:rsid w:val="006D3835"/>
    <w:rsid w:val="006D554C"/>
    <w:rsid w:val="006D63B8"/>
    <w:rsid w:val="006E2A9D"/>
    <w:rsid w:val="006E56A5"/>
    <w:rsid w:val="006F4547"/>
    <w:rsid w:val="006F461C"/>
    <w:rsid w:val="00701B04"/>
    <w:rsid w:val="00702C1E"/>
    <w:rsid w:val="00711503"/>
    <w:rsid w:val="007150B1"/>
    <w:rsid w:val="007152A7"/>
    <w:rsid w:val="0071532A"/>
    <w:rsid w:val="0071693F"/>
    <w:rsid w:val="00720EA5"/>
    <w:rsid w:val="00723CA5"/>
    <w:rsid w:val="00723FDC"/>
    <w:rsid w:val="00727C2C"/>
    <w:rsid w:val="007342DB"/>
    <w:rsid w:val="0073501C"/>
    <w:rsid w:val="00735928"/>
    <w:rsid w:val="00765481"/>
    <w:rsid w:val="00765EF4"/>
    <w:rsid w:val="00767508"/>
    <w:rsid w:val="0078188C"/>
    <w:rsid w:val="0078212B"/>
    <w:rsid w:val="00782CC8"/>
    <w:rsid w:val="0078364C"/>
    <w:rsid w:val="007849E0"/>
    <w:rsid w:val="0078530C"/>
    <w:rsid w:val="007864B2"/>
    <w:rsid w:val="007908A2"/>
    <w:rsid w:val="00790902"/>
    <w:rsid w:val="00790928"/>
    <w:rsid w:val="007A0ABB"/>
    <w:rsid w:val="007A0C35"/>
    <w:rsid w:val="007A40B0"/>
    <w:rsid w:val="007A77AF"/>
    <w:rsid w:val="007A78F9"/>
    <w:rsid w:val="007B6024"/>
    <w:rsid w:val="007C279E"/>
    <w:rsid w:val="007C4EA0"/>
    <w:rsid w:val="007C6E0F"/>
    <w:rsid w:val="007D0A41"/>
    <w:rsid w:val="007F2F35"/>
    <w:rsid w:val="007F640A"/>
    <w:rsid w:val="007F76E8"/>
    <w:rsid w:val="0080295F"/>
    <w:rsid w:val="0081003D"/>
    <w:rsid w:val="00811D95"/>
    <w:rsid w:val="00811F60"/>
    <w:rsid w:val="008175FB"/>
    <w:rsid w:val="00820C6F"/>
    <w:rsid w:val="00822410"/>
    <w:rsid w:val="00824BA4"/>
    <w:rsid w:val="0082756F"/>
    <w:rsid w:val="00844DDC"/>
    <w:rsid w:val="008536DA"/>
    <w:rsid w:val="00853B5D"/>
    <w:rsid w:val="00856A47"/>
    <w:rsid w:val="00863B90"/>
    <w:rsid w:val="00865EB8"/>
    <w:rsid w:val="0086798E"/>
    <w:rsid w:val="00867A24"/>
    <w:rsid w:val="008714D9"/>
    <w:rsid w:val="00875D71"/>
    <w:rsid w:val="008845CA"/>
    <w:rsid w:val="008916B0"/>
    <w:rsid w:val="008B2C35"/>
    <w:rsid w:val="008B4949"/>
    <w:rsid w:val="008C128A"/>
    <w:rsid w:val="008C2BE0"/>
    <w:rsid w:val="008C3C1E"/>
    <w:rsid w:val="008C6D48"/>
    <w:rsid w:val="008C7333"/>
    <w:rsid w:val="008D5386"/>
    <w:rsid w:val="008D6CC0"/>
    <w:rsid w:val="008D7F77"/>
    <w:rsid w:val="008E1DB6"/>
    <w:rsid w:val="008F3C55"/>
    <w:rsid w:val="00901E60"/>
    <w:rsid w:val="00902E85"/>
    <w:rsid w:val="00906EBD"/>
    <w:rsid w:val="0091073A"/>
    <w:rsid w:val="00911F7E"/>
    <w:rsid w:val="0091312F"/>
    <w:rsid w:val="009132CB"/>
    <w:rsid w:val="009132D1"/>
    <w:rsid w:val="00914416"/>
    <w:rsid w:val="009242BD"/>
    <w:rsid w:val="009317EF"/>
    <w:rsid w:val="009500FB"/>
    <w:rsid w:val="0095439B"/>
    <w:rsid w:val="00962848"/>
    <w:rsid w:val="00963173"/>
    <w:rsid w:val="00964F40"/>
    <w:rsid w:val="00970E60"/>
    <w:rsid w:val="00971629"/>
    <w:rsid w:val="00981638"/>
    <w:rsid w:val="00987BF5"/>
    <w:rsid w:val="00990D98"/>
    <w:rsid w:val="00990F21"/>
    <w:rsid w:val="00993CF4"/>
    <w:rsid w:val="00994D73"/>
    <w:rsid w:val="0099745F"/>
    <w:rsid w:val="00997659"/>
    <w:rsid w:val="00997849"/>
    <w:rsid w:val="009A1F17"/>
    <w:rsid w:val="009A55CA"/>
    <w:rsid w:val="009A5E50"/>
    <w:rsid w:val="009B0A4F"/>
    <w:rsid w:val="009B1AB3"/>
    <w:rsid w:val="009B29ED"/>
    <w:rsid w:val="009C1EA8"/>
    <w:rsid w:val="009C5275"/>
    <w:rsid w:val="009D3CA9"/>
    <w:rsid w:val="009D4ADE"/>
    <w:rsid w:val="009D70B4"/>
    <w:rsid w:val="009E0104"/>
    <w:rsid w:val="009E46A8"/>
    <w:rsid w:val="009E75F4"/>
    <w:rsid w:val="009E7C40"/>
    <w:rsid w:val="009F0674"/>
    <w:rsid w:val="009F1A46"/>
    <w:rsid w:val="009F262D"/>
    <w:rsid w:val="009F387E"/>
    <w:rsid w:val="009F59CE"/>
    <w:rsid w:val="009F6B24"/>
    <w:rsid w:val="009F79B5"/>
    <w:rsid w:val="00A0325F"/>
    <w:rsid w:val="00A05392"/>
    <w:rsid w:val="00A2427B"/>
    <w:rsid w:val="00A3345D"/>
    <w:rsid w:val="00A3794F"/>
    <w:rsid w:val="00A42AF2"/>
    <w:rsid w:val="00A4446A"/>
    <w:rsid w:val="00A50FDC"/>
    <w:rsid w:val="00A546EF"/>
    <w:rsid w:val="00A56285"/>
    <w:rsid w:val="00A642A5"/>
    <w:rsid w:val="00A6722F"/>
    <w:rsid w:val="00A67727"/>
    <w:rsid w:val="00A7258B"/>
    <w:rsid w:val="00A748CA"/>
    <w:rsid w:val="00A822D1"/>
    <w:rsid w:val="00A87384"/>
    <w:rsid w:val="00A93C39"/>
    <w:rsid w:val="00A957D8"/>
    <w:rsid w:val="00A97D64"/>
    <w:rsid w:val="00AB4B88"/>
    <w:rsid w:val="00AC0053"/>
    <w:rsid w:val="00AC01D9"/>
    <w:rsid w:val="00AC29A3"/>
    <w:rsid w:val="00AD0D28"/>
    <w:rsid w:val="00AE01B5"/>
    <w:rsid w:val="00AE2AAD"/>
    <w:rsid w:val="00AE535E"/>
    <w:rsid w:val="00AE56DF"/>
    <w:rsid w:val="00AF1041"/>
    <w:rsid w:val="00B0226C"/>
    <w:rsid w:val="00B11334"/>
    <w:rsid w:val="00B1281A"/>
    <w:rsid w:val="00B12E49"/>
    <w:rsid w:val="00B22CCE"/>
    <w:rsid w:val="00B261B6"/>
    <w:rsid w:val="00B26918"/>
    <w:rsid w:val="00B27F5F"/>
    <w:rsid w:val="00B33ECC"/>
    <w:rsid w:val="00B34C09"/>
    <w:rsid w:val="00B34C7C"/>
    <w:rsid w:val="00B36B33"/>
    <w:rsid w:val="00B40AC1"/>
    <w:rsid w:val="00B41BFA"/>
    <w:rsid w:val="00B43D35"/>
    <w:rsid w:val="00B45738"/>
    <w:rsid w:val="00B45C59"/>
    <w:rsid w:val="00B5406F"/>
    <w:rsid w:val="00B5622F"/>
    <w:rsid w:val="00B56FFD"/>
    <w:rsid w:val="00B57A69"/>
    <w:rsid w:val="00B60D79"/>
    <w:rsid w:val="00B624E7"/>
    <w:rsid w:val="00B63B7B"/>
    <w:rsid w:val="00B76793"/>
    <w:rsid w:val="00B77070"/>
    <w:rsid w:val="00B854F1"/>
    <w:rsid w:val="00B85D28"/>
    <w:rsid w:val="00BA5E98"/>
    <w:rsid w:val="00BB037D"/>
    <w:rsid w:val="00BB23ED"/>
    <w:rsid w:val="00BB4A11"/>
    <w:rsid w:val="00BB4D96"/>
    <w:rsid w:val="00BC0C10"/>
    <w:rsid w:val="00BC22BB"/>
    <w:rsid w:val="00BC4864"/>
    <w:rsid w:val="00BD3534"/>
    <w:rsid w:val="00BD3DBF"/>
    <w:rsid w:val="00BD6169"/>
    <w:rsid w:val="00BD6618"/>
    <w:rsid w:val="00BE259A"/>
    <w:rsid w:val="00BE37CB"/>
    <w:rsid w:val="00BF09DE"/>
    <w:rsid w:val="00BF5D2D"/>
    <w:rsid w:val="00BF69B5"/>
    <w:rsid w:val="00C040FE"/>
    <w:rsid w:val="00C1089D"/>
    <w:rsid w:val="00C10998"/>
    <w:rsid w:val="00C10F48"/>
    <w:rsid w:val="00C126FB"/>
    <w:rsid w:val="00C13469"/>
    <w:rsid w:val="00C215AD"/>
    <w:rsid w:val="00C24954"/>
    <w:rsid w:val="00C24BAF"/>
    <w:rsid w:val="00C24C6E"/>
    <w:rsid w:val="00C307B4"/>
    <w:rsid w:val="00C32D46"/>
    <w:rsid w:val="00C33F0D"/>
    <w:rsid w:val="00C33FB4"/>
    <w:rsid w:val="00C35356"/>
    <w:rsid w:val="00C3645A"/>
    <w:rsid w:val="00C36BCB"/>
    <w:rsid w:val="00C41CE0"/>
    <w:rsid w:val="00C43EDE"/>
    <w:rsid w:val="00C4496B"/>
    <w:rsid w:val="00C5159A"/>
    <w:rsid w:val="00C5293B"/>
    <w:rsid w:val="00C53AF0"/>
    <w:rsid w:val="00C5692A"/>
    <w:rsid w:val="00C62691"/>
    <w:rsid w:val="00C62F34"/>
    <w:rsid w:val="00C65253"/>
    <w:rsid w:val="00C71C46"/>
    <w:rsid w:val="00C74C51"/>
    <w:rsid w:val="00C7754D"/>
    <w:rsid w:val="00C81BC0"/>
    <w:rsid w:val="00C859E5"/>
    <w:rsid w:val="00C85C7F"/>
    <w:rsid w:val="00C8625B"/>
    <w:rsid w:val="00C87335"/>
    <w:rsid w:val="00C877C4"/>
    <w:rsid w:val="00CA3DFD"/>
    <w:rsid w:val="00CB3A0E"/>
    <w:rsid w:val="00CB657A"/>
    <w:rsid w:val="00CC0CD3"/>
    <w:rsid w:val="00CC3F1B"/>
    <w:rsid w:val="00CC44B6"/>
    <w:rsid w:val="00CC4529"/>
    <w:rsid w:val="00CC6CEF"/>
    <w:rsid w:val="00CD1779"/>
    <w:rsid w:val="00CD5069"/>
    <w:rsid w:val="00CE5D7C"/>
    <w:rsid w:val="00CE6393"/>
    <w:rsid w:val="00CF6FB0"/>
    <w:rsid w:val="00CF7680"/>
    <w:rsid w:val="00D0320F"/>
    <w:rsid w:val="00D0429B"/>
    <w:rsid w:val="00D05BA1"/>
    <w:rsid w:val="00D10E8A"/>
    <w:rsid w:val="00D13566"/>
    <w:rsid w:val="00D15C4E"/>
    <w:rsid w:val="00D2720F"/>
    <w:rsid w:val="00D3052A"/>
    <w:rsid w:val="00D326A3"/>
    <w:rsid w:val="00D3302F"/>
    <w:rsid w:val="00D356FB"/>
    <w:rsid w:val="00D37117"/>
    <w:rsid w:val="00D37EBB"/>
    <w:rsid w:val="00D42D32"/>
    <w:rsid w:val="00D432F1"/>
    <w:rsid w:val="00D43AC2"/>
    <w:rsid w:val="00D43B4D"/>
    <w:rsid w:val="00D43F30"/>
    <w:rsid w:val="00D472EA"/>
    <w:rsid w:val="00D51231"/>
    <w:rsid w:val="00D64834"/>
    <w:rsid w:val="00D7163E"/>
    <w:rsid w:val="00D72C94"/>
    <w:rsid w:val="00D83B78"/>
    <w:rsid w:val="00D86AB0"/>
    <w:rsid w:val="00D928DB"/>
    <w:rsid w:val="00D9298D"/>
    <w:rsid w:val="00D92F07"/>
    <w:rsid w:val="00DA291A"/>
    <w:rsid w:val="00DA5868"/>
    <w:rsid w:val="00DA6429"/>
    <w:rsid w:val="00DC2411"/>
    <w:rsid w:val="00DC5EFA"/>
    <w:rsid w:val="00DD1303"/>
    <w:rsid w:val="00DD1D85"/>
    <w:rsid w:val="00DD5CDD"/>
    <w:rsid w:val="00DD6527"/>
    <w:rsid w:val="00DE7720"/>
    <w:rsid w:val="00DF5B06"/>
    <w:rsid w:val="00E03594"/>
    <w:rsid w:val="00E07F30"/>
    <w:rsid w:val="00E133A3"/>
    <w:rsid w:val="00E16BE6"/>
    <w:rsid w:val="00E17F87"/>
    <w:rsid w:val="00E2022B"/>
    <w:rsid w:val="00E232DB"/>
    <w:rsid w:val="00E25C44"/>
    <w:rsid w:val="00E358A5"/>
    <w:rsid w:val="00E4097C"/>
    <w:rsid w:val="00E41C44"/>
    <w:rsid w:val="00E434A4"/>
    <w:rsid w:val="00E451B5"/>
    <w:rsid w:val="00E45F2E"/>
    <w:rsid w:val="00E50AD6"/>
    <w:rsid w:val="00E51673"/>
    <w:rsid w:val="00E521E5"/>
    <w:rsid w:val="00E55983"/>
    <w:rsid w:val="00E56EF7"/>
    <w:rsid w:val="00E57880"/>
    <w:rsid w:val="00E63AE8"/>
    <w:rsid w:val="00E63D23"/>
    <w:rsid w:val="00E63D9E"/>
    <w:rsid w:val="00E64237"/>
    <w:rsid w:val="00E660A7"/>
    <w:rsid w:val="00E66F02"/>
    <w:rsid w:val="00E704EC"/>
    <w:rsid w:val="00E713B7"/>
    <w:rsid w:val="00E76C9F"/>
    <w:rsid w:val="00E77BDF"/>
    <w:rsid w:val="00E81EE7"/>
    <w:rsid w:val="00E83EFB"/>
    <w:rsid w:val="00E85331"/>
    <w:rsid w:val="00E861CF"/>
    <w:rsid w:val="00E872C5"/>
    <w:rsid w:val="00E9127D"/>
    <w:rsid w:val="00E9224A"/>
    <w:rsid w:val="00E935ED"/>
    <w:rsid w:val="00E9387C"/>
    <w:rsid w:val="00E94436"/>
    <w:rsid w:val="00EA02F6"/>
    <w:rsid w:val="00EA128F"/>
    <w:rsid w:val="00EA40E9"/>
    <w:rsid w:val="00EA41A5"/>
    <w:rsid w:val="00EA43F0"/>
    <w:rsid w:val="00EA64A8"/>
    <w:rsid w:val="00EB3502"/>
    <w:rsid w:val="00EB5468"/>
    <w:rsid w:val="00EC6CE5"/>
    <w:rsid w:val="00ED0285"/>
    <w:rsid w:val="00ED124F"/>
    <w:rsid w:val="00EE27F8"/>
    <w:rsid w:val="00EE6BAE"/>
    <w:rsid w:val="00EF045E"/>
    <w:rsid w:val="00EF0B32"/>
    <w:rsid w:val="00EF492C"/>
    <w:rsid w:val="00EF6524"/>
    <w:rsid w:val="00F05A28"/>
    <w:rsid w:val="00F07318"/>
    <w:rsid w:val="00F108A3"/>
    <w:rsid w:val="00F14958"/>
    <w:rsid w:val="00F15031"/>
    <w:rsid w:val="00F159F6"/>
    <w:rsid w:val="00F16F34"/>
    <w:rsid w:val="00F23F6A"/>
    <w:rsid w:val="00F27452"/>
    <w:rsid w:val="00F33F97"/>
    <w:rsid w:val="00F3476A"/>
    <w:rsid w:val="00F41BAD"/>
    <w:rsid w:val="00F52177"/>
    <w:rsid w:val="00F52872"/>
    <w:rsid w:val="00F54A62"/>
    <w:rsid w:val="00F56E6C"/>
    <w:rsid w:val="00F56F81"/>
    <w:rsid w:val="00F57913"/>
    <w:rsid w:val="00F62B4B"/>
    <w:rsid w:val="00F653A0"/>
    <w:rsid w:val="00F80108"/>
    <w:rsid w:val="00F822B2"/>
    <w:rsid w:val="00F84B33"/>
    <w:rsid w:val="00F93213"/>
    <w:rsid w:val="00F935AA"/>
    <w:rsid w:val="00F9563C"/>
    <w:rsid w:val="00F973E5"/>
    <w:rsid w:val="00FA3EC6"/>
    <w:rsid w:val="00FB19C8"/>
    <w:rsid w:val="00FB33B0"/>
    <w:rsid w:val="00FC6278"/>
    <w:rsid w:val="00FC7030"/>
    <w:rsid w:val="00FD0748"/>
    <w:rsid w:val="00FE055F"/>
    <w:rsid w:val="00FE3017"/>
    <w:rsid w:val="00FF2108"/>
    <w:rsid w:val="00FF29AB"/>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2020-06-04T17:47:00Z</dcterms:created>
  <dcterms:modified xsi:type="dcterms:W3CDTF">2020-06-04T17:47:00Z</dcterms:modified>
</cp:coreProperties>
</file>