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69B10E" w14:textId="77777777" w:rsidR="00577D06" w:rsidRDefault="00EB64CD">
      <w:pPr>
        <w:pStyle w:val="Ttulo"/>
        <w:jc w:val="center"/>
        <w:rPr>
          <w:rFonts w:ascii="Verdana" w:eastAsia="Verdana" w:hAnsi="Verdana" w:cs="Verdana"/>
          <w:b/>
          <w:sz w:val="32"/>
          <w:szCs w:val="32"/>
        </w:rPr>
      </w:pPr>
      <w:r>
        <w:rPr>
          <w:rFonts w:ascii="Verdana" w:eastAsia="Verdana" w:hAnsi="Verdana" w:cs="Verdana"/>
          <w:b/>
          <w:sz w:val="32"/>
          <w:szCs w:val="32"/>
        </w:rPr>
        <w:t>INFORME CNO 591</w:t>
      </w:r>
    </w:p>
    <w:p w14:paraId="43BA61B8" w14:textId="77777777" w:rsidR="00577D06" w:rsidRDefault="00577D06">
      <w:pPr>
        <w:jc w:val="both"/>
        <w:rPr>
          <w:rFonts w:ascii="Verdana" w:eastAsia="Verdana" w:hAnsi="Verdana" w:cs="Verdana"/>
          <w:sz w:val="22"/>
          <w:szCs w:val="22"/>
        </w:rPr>
      </w:pPr>
    </w:p>
    <w:p w14:paraId="60439E97" w14:textId="77777777" w:rsidR="00577D06" w:rsidRDefault="00EB64CD">
      <w:pPr>
        <w:jc w:val="both"/>
        <w:rPr>
          <w:rFonts w:ascii="Verdana" w:eastAsia="Verdana" w:hAnsi="Verdana" w:cs="Verdana"/>
          <w:sz w:val="22"/>
          <w:szCs w:val="22"/>
        </w:rPr>
      </w:pPr>
      <w:r>
        <w:rPr>
          <w:rFonts w:ascii="Verdana" w:eastAsia="Verdana" w:hAnsi="Verdana" w:cs="Verdana"/>
          <w:sz w:val="22"/>
          <w:szCs w:val="22"/>
        </w:rPr>
        <w:t>Fecha: mayo 7 de 2020.</w:t>
      </w:r>
    </w:p>
    <w:p w14:paraId="1D280364" w14:textId="77777777" w:rsidR="00577D06" w:rsidRDefault="00577D06">
      <w:pPr>
        <w:jc w:val="both"/>
        <w:rPr>
          <w:rFonts w:ascii="Verdana" w:eastAsia="Verdana" w:hAnsi="Verdana" w:cs="Verdana"/>
          <w:b/>
          <w:sz w:val="22"/>
          <w:szCs w:val="22"/>
          <w:u w:val="single"/>
        </w:rPr>
      </w:pPr>
    </w:p>
    <w:p w14:paraId="2316C276" w14:textId="77777777" w:rsidR="00577D06" w:rsidRDefault="00EB64CD">
      <w:pPr>
        <w:jc w:val="both"/>
        <w:rPr>
          <w:rFonts w:ascii="Verdana" w:eastAsia="Verdana" w:hAnsi="Verdana" w:cs="Verdana"/>
          <w:b/>
          <w:sz w:val="22"/>
          <w:szCs w:val="22"/>
          <w:u w:val="single"/>
        </w:rPr>
      </w:pPr>
      <w:r>
        <w:rPr>
          <w:rFonts w:ascii="Verdana" w:eastAsia="Verdana" w:hAnsi="Verdana" w:cs="Verdana"/>
          <w:b/>
          <w:sz w:val="22"/>
          <w:szCs w:val="22"/>
          <w:u w:val="single"/>
        </w:rPr>
        <w:t>Aspectos técnicos</w:t>
      </w:r>
      <w:r>
        <w:rPr>
          <w:rFonts w:ascii="Verdana" w:eastAsia="Verdana" w:hAnsi="Verdana" w:cs="Verdana"/>
          <w:b/>
          <w:sz w:val="22"/>
          <w:szCs w:val="22"/>
        </w:rPr>
        <w:t>:</w:t>
      </w:r>
    </w:p>
    <w:p w14:paraId="3B2EE602" w14:textId="77777777" w:rsidR="00577D06" w:rsidRDefault="00577D06">
      <w:pPr>
        <w:jc w:val="both"/>
        <w:rPr>
          <w:rFonts w:ascii="Verdana" w:eastAsia="Verdana" w:hAnsi="Verdana" w:cs="Verdana"/>
          <w:sz w:val="22"/>
          <w:szCs w:val="22"/>
        </w:rPr>
      </w:pPr>
    </w:p>
    <w:p w14:paraId="113ABCF6" w14:textId="77777777" w:rsidR="00577D06" w:rsidRDefault="00EB64CD">
      <w:pPr>
        <w:numPr>
          <w:ilvl w:val="0"/>
          <w:numId w:val="3"/>
        </w:numPr>
        <w:pBdr>
          <w:top w:val="nil"/>
          <w:left w:val="nil"/>
          <w:bottom w:val="nil"/>
          <w:right w:val="nil"/>
          <w:between w:val="nil"/>
        </w:pBdr>
        <w:jc w:val="both"/>
      </w:pPr>
      <w:r>
        <w:rPr>
          <w:rFonts w:ascii="Verdana" w:eastAsia="Verdana" w:hAnsi="Verdana" w:cs="Verdana"/>
          <w:color w:val="000000"/>
          <w:sz w:val="22"/>
          <w:szCs w:val="22"/>
        </w:rPr>
        <w:t>El Subcomité de Recursos Energéticos Renovables-SURER está redactando el documento base del Reglamento para la medición de variables hídricas, que es un proyecto con prioridad 1 de la agenda regulatoria de la CREG para el 2020. El 29 de abril del a</w:t>
      </w:r>
      <w:r>
        <w:rPr>
          <w:rFonts w:ascii="Verdana" w:eastAsia="Verdana" w:hAnsi="Verdana" w:cs="Verdana"/>
          <w:sz w:val="22"/>
          <w:szCs w:val="22"/>
        </w:rPr>
        <w:t>ño en curso se envió el primer borrador de dicho documento, el cual debe ser complementado con los Anexos del estudio de INFOCOL, una vez la Comisión los comparta con el CNO.</w:t>
      </w:r>
    </w:p>
    <w:p w14:paraId="156FE1DE" w14:textId="77777777" w:rsidR="00577D06" w:rsidRDefault="00577D06">
      <w:pPr>
        <w:jc w:val="both"/>
        <w:rPr>
          <w:rFonts w:ascii="Verdana" w:eastAsia="Verdana" w:hAnsi="Verdana" w:cs="Verdana"/>
          <w:sz w:val="22"/>
          <w:szCs w:val="22"/>
        </w:rPr>
      </w:pPr>
    </w:p>
    <w:p w14:paraId="0038B37B" w14:textId="77777777" w:rsidR="00577D06" w:rsidRDefault="00EB64CD">
      <w:pPr>
        <w:numPr>
          <w:ilvl w:val="0"/>
          <w:numId w:val="3"/>
        </w:numPr>
        <w:pBdr>
          <w:top w:val="nil"/>
          <w:left w:val="nil"/>
          <w:bottom w:val="nil"/>
          <w:right w:val="nil"/>
          <w:between w:val="nil"/>
        </w:pBdr>
        <w:jc w:val="both"/>
      </w:pPr>
      <w:r>
        <w:rPr>
          <w:rFonts w:ascii="Verdana" w:eastAsia="Verdana" w:hAnsi="Verdana" w:cs="Verdana"/>
          <w:color w:val="000000"/>
          <w:sz w:val="22"/>
          <w:szCs w:val="22"/>
        </w:rPr>
        <w:t>El SURER y el Comité de Operación construyer</w:t>
      </w:r>
      <w:r>
        <w:rPr>
          <w:rFonts w:ascii="Verdana" w:eastAsia="Verdana" w:hAnsi="Verdana" w:cs="Verdana"/>
          <w:sz w:val="22"/>
          <w:szCs w:val="22"/>
        </w:rPr>
        <w:t>on un formato con la identificación de barreras para el desarrollo de proyectos de generación a partir de Fuentes No Convencionales de Energía Renovable-FNCER, lo anterior por solicitud del Ministerio de Minas y Energía-MINENERGÍA</w:t>
      </w:r>
      <w:r>
        <w:rPr>
          <w:rFonts w:ascii="Verdana" w:eastAsia="Verdana" w:hAnsi="Verdana" w:cs="Verdana"/>
          <w:color w:val="000000"/>
          <w:sz w:val="22"/>
          <w:szCs w:val="22"/>
        </w:rPr>
        <w:t>. E</w:t>
      </w:r>
      <w:r>
        <w:rPr>
          <w:rFonts w:ascii="Verdana" w:eastAsia="Verdana" w:hAnsi="Verdana" w:cs="Verdana"/>
          <w:sz w:val="22"/>
          <w:szCs w:val="22"/>
        </w:rPr>
        <w:t>ste formato</w:t>
      </w:r>
      <w:r>
        <w:rPr>
          <w:rFonts w:ascii="Verdana" w:eastAsia="Verdana" w:hAnsi="Verdana" w:cs="Verdana"/>
          <w:color w:val="000000"/>
          <w:sz w:val="22"/>
          <w:szCs w:val="22"/>
        </w:rPr>
        <w:t xml:space="preserve"> se encuentra adjunto al acta de la reunión CNO 591. </w:t>
      </w:r>
    </w:p>
    <w:p w14:paraId="1A4A2125" w14:textId="77777777" w:rsidR="00577D06" w:rsidRDefault="00577D06">
      <w:pPr>
        <w:jc w:val="both"/>
        <w:rPr>
          <w:rFonts w:ascii="Verdana" w:eastAsia="Verdana" w:hAnsi="Verdana" w:cs="Verdana"/>
          <w:sz w:val="22"/>
          <w:szCs w:val="22"/>
        </w:rPr>
      </w:pPr>
    </w:p>
    <w:p w14:paraId="28E64968" w14:textId="77777777" w:rsidR="00577D06" w:rsidRDefault="00EB64CD">
      <w:pPr>
        <w:numPr>
          <w:ilvl w:val="0"/>
          <w:numId w:val="3"/>
        </w:numPr>
        <w:pBdr>
          <w:top w:val="nil"/>
          <w:left w:val="nil"/>
          <w:bottom w:val="nil"/>
          <w:right w:val="nil"/>
          <w:between w:val="nil"/>
        </w:pBdr>
        <w:jc w:val="both"/>
      </w:pPr>
      <w:r>
        <w:rPr>
          <w:rFonts w:ascii="Verdana" w:eastAsia="Verdana" w:hAnsi="Verdana" w:cs="Verdana"/>
          <w:sz w:val="22"/>
          <w:szCs w:val="22"/>
        </w:rPr>
        <w:t>Se llevó a cabo en el Subcomité de Planeamiento Operativo-SPO</w:t>
      </w:r>
      <w:r>
        <w:rPr>
          <w:rFonts w:ascii="Verdana" w:eastAsia="Verdana" w:hAnsi="Verdana" w:cs="Verdana"/>
          <w:color w:val="000000"/>
          <w:sz w:val="22"/>
          <w:szCs w:val="22"/>
        </w:rPr>
        <w:t xml:space="preserve"> la revisión de algunas sensibilidades al valor de penalización de </w:t>
      </w:r>
      <w:r>
        <w:rPr>
          <w:rFonts w:ascii="Verdana" w:eastAsia="Verdana" w:hAnsi="Verdana" w:cs="Verdana"/>
          <w:sz w:val="22"/>
          <w:szCs w:val="22"/>
        </w:rPr>
        <w:t>la Curva de Aversión al Riesgo-CAR, la cual es considerada en los análisis energéticos</w:t>
      </w:r>
      <w:r>
        <w:rPr>
          <w:rFonts w:ascii="Verdana" w:eastAsia="Verdana" w:hAnsi="Verdana" w:cs="Verdana"/>
          <w:color w:val="000000"/>
          <w:sz w:val="22"/>
          <w:szCs w:val="22"/>
        </w:rPr>
        <w:t xml:space="preserve">. Al respecto, </w:t>
      </w:r>
      <w:r>
        <w:rPr>
          <w:rFonts w:ascii="Verdana" w:eastAsia="Verdana" w:hAnsi="Verdana" w:cs="Verdana"/>
          <w:sz w:val="22"/>
          <w:szCs w:val="22"/>
        </w:rPr>
        <w:t>está</w:t>
      </w:r>
      <w:r>
        <w:rPr>
          <w:rFonts w:ascii="Verdana" w:eastAsia="Verdana" w:hAnsi="Verdana" w:cs="Verdana"/>
          <w:color w:val="000000"/>
          <w:sz w:val="22"/>
          <w:szCs w:val="22"/>
        </w:rPr>
        <w:t xml:space="preserve"> pendiente una última </w:t>
      </w:r>
      <w:r>
        <w:rPr>
          <w:rFonts w:ascii="Verdana" w:eastAsia="Verdana" w:hAnsi="Verdana" w:cs="Verdana"/>
          <w:sz w:val="22"/>
          <w:szCs w:val="22"/>
        </w:rPr>
        <w:t>revisión</w:t>
      </w:r>
      <w:r>
        <w:rPr>
          <w:rFonts w:ascii="Verdana" w:eastAsia="Verdana" w:hAnsi="Verdana" w:cs="Verdana"/>
          <w:color w:val="000000"/>
          <w:sz w:val="22"/>
          <w:szCs w:val="22"/>
        </w:rPr>
        <w:t xml:space="preserve"> por parte de los miembros del SPO para ad</w:t>
      </w:r>
      <w:r>
        <w:rPr>
          <w:rFonts w:ascii="Verdana" w:eastAsia="Verdana" w:hAnsi="Verdana" w:cs="Verdana"/>
          <w:sz w:val="22"/>
          <w:szCs w:val="22"/>
        </w:rPr>
        <w:t>optar la curva considerada por el CND-XM</w:t>
      </w:r>
      <w:r>
        <w:rPr>
          <w:rFonts w:ascii="Verdana" w:eastAsia="Verdana" w:hAnsi="Verdana" w:cs="Verdana"/>
          <w:color w:val="000000"/>
          <w:sz w:val="22"/>
          <w:szCs w:val="22"/>
        </w:rPr>
        <w:t>.</w:t>
      </w:r>
    </w:p>
    <w:p w14:paraId="259AEF22" w14:textId="77777777" w:rsidR="00577D06" w:rsidRDefault="00577D06">
      <w:pPr>
        <w:pBdr>
          <w:top w:val="nil"/>
          <w:left w:val="nil"/>
          <w:bottom w:val="nil"/>
          <w:right w:val="nil"/>
          <w:between w:val="nil"/>
        </w:pBdr>
        <w:ind w:left="360" w:hanging="708"/>
        <w:jc w:val="both"/>
        <w:rPr>
          <w:rFonts w:ascii="Verdana" w:eastAsia="Verdana" w:hAnsi="Verdana" w:cs="Verdana"/>
          <w:color w:val="000000"/>
          <w:sz w:val="22"/>
          <w:szCs w:val="22"/>
        </w:rPr>
      </w:pPr>
    </w:p>
    <w:p w14:paraId="43D4BAED" w14:textId="77777777" w:rsidR="00577D06" w:rsidRDefault="00EB64CD">
      <w:pPr>
        <w:numPr>
          <w:ilvl w:val="0"/>
          <w:numId w:val="3"/>
        </w:numPr>
        <w:pBdr>
          <w:top w:val="nil"/>
          <w:left w:val="nil"/>
          <w:bottom w:val="nil"/>
          <w:right w:val="nil"/>
          <w:between w:val="nil"/>
        </w:pBdr>
        <w:jc w:val="both"/>
      </w:pPr>
      <w:r>
        <w:rPr>
          <w:rFonts w:ascii="Verdana" w:eastAsia="Verdana" w:hAnsi="Verdana" w:cs="Verdana"/>
          <w:color w:val="000000"/>
          <w:sz w:val="22"/>
          <w:szCs w:val="22"/>
        </w:rPr>
        <w:t>En el Subcomité de Plantas-SP del Consejo se manifestó por parte de GECELCA el incremento del número de eventos de rampa, encendidos y apagados de</w:t>
      </w:r>
      <w:r>
        <w:rPr>
          <w:rFonts w:ascii="Verdana" w:eastAsia="Verdana" w:hAnsi="Verdana" w:cs="Verdana"/>
          <w:sz w:val="22"/>
          <w:szCs w:val="22"/>
        </w:rPr>
        <w:t xml:space="preserve"> Termoguajira</w:t>
      </w:r>
      <w:r>
        <w:rPr>
          <w:rFonts w:ascii="Verdana" w:eastAsia="Verdana" w:hAnsi="Verdana" w:cs="Verdana"/>
          <w:color w:val="000000"/>
          <w:sz w:val="22"/>
          <w:szCs w:val="22"/>
        </w:rPr>
        <w:t xml:space="preserve">, lo cual modifica la manera de operar de </w:t>
      </w:r>
      <w:r>
        <w:rPr>
          <w:rFonts w:ascii="Verdana" w:eastAsia="Verdana" w:hAnsi="Verdana" w:cs="Verdana"/>
          <w:sz w:val="22"/>
          <w:szCs w:val="22"/>
        </w:rPr>
        <w:t>dichas</w:t>
      </w:r>
      <w:r>
        <w:rPr>
          <w:rFonts w:ascii="Verdana" w:eastAsia="Verdana" w:hAnsi="Verdana" w:cs="Verdana"/>
          <w:color w:val="000000"/>
          <w:sz w:val="22"/>
          <w:szCs w:val="22"/>
        </w:rPr>
        <w:t xml:space="preserve"> unidades. Teniendo en cu</w:t>
      </w:r>
      <w:r>
        <w:rPr>
          <w:rFonts w:ascii="Verdana" w:eastAsia="Verdana" w:hAnsi="Verdana" w:cs="Verdana"/>
          <w:sz w:val="22"/>
          <w:szCs w:val="22"/>
        </w:rPr>
        <w:t xml:space="preserve">enta la importancia de esta planta para la atención segura y confiable de la demanda de la subárea Guajira-Cesar-Magdalena (GCM), se acordó en el SP estudiar los efectos de dichos “ciclajes” para esta fracción del SIN, y revisar la posibilidad de modificar algunos parámetros para incrementar la flexibilidad de la planta sin afectar su vida útil.      </w:t>
      </w:r>
      <w:r>
        <w:rPr>
          <w:rFonts w:ascii="Verdana" w:eastAsia="Verdana" w:hAnsi="Verdana" w:cs="Verdana"/>
          <w:color w:val="000000"/>
          <w:sz w:val="22"/>
          <w:szCs w:val="22"/>
        </w:rPr>
        <w:t xml:space="preserve"> </w:t>
      </w:r>
    </w:p>
    <w:p w14:paraId="5313EC30" w14:textId="77777777" w:rsidR="00577D06" w:rsidRDefault="00577D06">
      <w:pPr>
        <w:rPr>
          <w:rFonts w:ascii="Verdana" w:eastAsia="Verdana" w:hAnsi="Verdana" w:cs="Verdana"/>
          <w:sz w:val="22"/>
          <w:szCs w:val="22"/>
        </w:rPr>
      </w:pPr>
    </w:p>
    <w:p w14:paraId="3E58E253" w14:textId="77777777" w:rsidR="00577D06" w:rsidRDefault="00EB64CD">
      <w:pPr>
        <w:numPr>
          <w:ilvl w:val="0"/>
          <w:numId w:val="3"/>
        </w:numPr>
        <w:pBdr>
          <w:top w:val="nil"/>
          <w:left w:val="nil"/>
          <w:bottom w:val="nil"/>
          <w:right w:val="nil"/>
          <w:between w:val="nil"/>
        </w:pBdr>
        <w:jc w:val="both"/>
      </w:pPr>
      <w:r>
        <w:rPr>
          <w:rFonts w:ascii="Verdana" w:eastAsia="Verdana" w:hAnsi="Verdana" w:cs="Verdana"/>
          <w:sz w:val="22"/>
          <w:szCs w:val="22"/>
        </w:rPr>
        <w:t xml:space="preserve">En el Subcomité de Análisis y Planeación Eléctrica-SAPE y los Comités de Operación, Transmisión y Distribución, se presentaron los Informes de Planeamiento Operativo Eléctrico de Mediano Plazo-IPOEMP y Trimestral de Restricciones-ITR. Respecto al estado de la red, las conclusiones de los estudios no han cambiado con relación a la información publicada por el CND en el mes de diciembre de 2019. No obstante, se definió por parte del SAPE analizar los efectos para el control de tensión de la futura red de 500 kV en la subárea Occidental (periodos de demanda mínima) y la posibilidad de instalar elementos de compensación inductiva en el corredor Ocaña-La Loma-Copey 500 kV.   </w:t>
      </w:r>
    </w:p>
    <w:p w14:paraId="72EF71C6" w14:textId="77777777" w:rsidR="00577D06" w:rsidRDefault="00577D06">
      <w:pPr>
        <w:pBdr>
          <w:top w:val="nil"/>
          <w:left w:val="nil"/>
          <w:bottom w:val="nil"/>
          <w:right w:val="nil"/>
          <w:between w:val="nil"/>
        </w:pBdr>
        <w:ind w:left="360"/>
        <w:jc w:val="both"/>
        <w:rPr>
          <w:rFonts w:ascii="Verdana" w:eastAsia="Verdana" w:hAnsi="Verdana" w:cs="Verdana"/>
          <w:sz w:val="22"/>
          <w:szCs w:val="22"/>
        </w:rPr>
      </w:pPr>
    </w:p>
    <w:p w14:paraId="66ECC126" w14:textId="77777777" w:rsidR="00577D06" w:rsidRDefault="00EB64CD">
      <w:pPr>
        <w:pBdr>
          <w:top w:val="nil"/>
          <w:left w:val="nil"/>
          <w:bottom w:val="nil"/>
          <w:right w:val="nil"/>
          <w:between w:val="nil"/>
        </w:pBdr>
        <w:ind w:left="360"/>
        <w:jc w:val="both"/>
        <w:rPr>
          <w:rFonts w:ascii="Verdana" w:eastAsia="Verdana" w:hAnsi="Verdana" w:cs="Verdana"/>
          <w:sz w:val="22"/>
          <w:szCs w:val="22"/>
        </w:rPr>
      </w:pPr>
      <w:r>
        <w:rPr>
          <w:rFonts w:ascii="Verdana" w:eastAsia="Verdana" w:hAnsi="Verdana" w:cs="Verdana"/>
          <w:sz w:val="22"/>
          <w:szCs w:val="22"/>
        </w:rPr>
        <w:t xml:space="preserve">Adicionalmente, se informó por parte del CND la revisión, junto con Ecuador, del Esquema de Separación de Áreas, dado los eventos recientes que tuvo dicho país y sus implicaciones para el Sistema de Potencia colombiano. </w:t>
      </w:r>
    </w:p>
    <w:p w14:paraId="23BAB156" w14:textId="77777777" w:rsidR="00577D06" w:rsidRDefault="00577D06">
      <w:pPr>
        <w:pBdr>
          <w:top w:val="nil"/>
          <w:left w:val="nil"/>
          <w:bottom w:val="nil"/>
          <w:right w:val="nil"/>
          <w:between w:val="nil"/>
        </w:pBdr>
        <w:ind w:left="360"/>
        <w:jc w:val="both"/>
        <w:rPr>
          <w:rFonts w:ascii="Verdana" w:eastAsia="Verdana" w:hAnsi="Verdana" w:cs="Verdana"/>
          <w:sz w:val="22"/>
          <w:szCs w:val="22"/>
        </w:rPr>
      </w:pPr>
    </w:p>
    <w:p w14:paraId="4C32049C" w14:textId="77777777" w:rsidR="00577D06" w:rsidRDefault="00EB64CD">
      <w:pPr>
        <w:numPr>
          <w:ilvl w:val="0"/>
          <w:numId w:val="3"/>
        </w:numPr>
        <w:pBdr>
          <w:top w:val="nil"/>
          <w:left w:val="nil"/>
          <w:bottom w:val="nil"/>
          <w:right w:val="nil"/>
          <w:between w:val="nil"/>
        </w:pBdr>
        <w:jc w:val="both"/>
      </w:pPr>
      <w:r>
        <w:rPr>
          <w:rFonts w:ascii="Verdana" w:eastAsia="Verdana" w:hAnsi="Verdana" w:cs="Verdana"/>
          <w:color w:val="000000"/>
          <w:sz w:val="22"/>
          <w:szCs w:val="22"/>
        </w:rPr>
        <w:t>EPM manifestó que en el mes de junio de 2020 iniciaría el proceso de instalación de varios dispositivos DF</w:t>
      </w:r>
      <w:r>
        <w:rPr>
          <w:rFonts w:ascii="Verdana" w:eastAsia="Verdana" w:hAnsi="Verdana" w:cs="Verdana"/>
          <w:sz w:val="22"/>
          <w:szCs w:val="22"/>
        </w:rPr>
        <w:t>ACTS</w:t>
      </w:r>
      <w:r>
        <w:rPr>
          <w:rFonts w:ascii="Verdana" w:eastAsia="Verdana" w:hAnsi="Verdana" w:cs="Verdana"/>
          <w:color w:val="000000"/>
          <w:sz w:val="22"/>
          <w:szCs w:val="22"/>
        </w:rPr>
        <w:t xml:space="preserve"> en su red del STR como parte de un proyecto piloto</w:t>
      </w:r>
      <w:r>
        <w:rPr>
          <w:rFonts w:ascii="Verdana" w:eastAsia="Verdana" w:hAnsi="Verdana" w:cs="Verdana"/>
          <w:sz w:val="22"/>
          <w:szCs w:val="22"/>
        </w:rPr>
        <w:t>. En este sentido, el Subcomité de Análisis y Planeación Eléctrica-SAPE recomendó formular un “Acuerdo particular” para facilitar la incorporación de esta tecnología y validar sus beneficios técnicos para el control de restricciones. Por lo anterior, se espera para la próxima reunión del Consejo someter para su aprobación dicho Acuerdo</w:t>
      </w:r>
      <w:r>
        <w:rPr>
          <w:rFonts w:ascii="Verdana" w:eastAsia="Verdana" w:hAnsi="Verdana" w:cs="Verdana"/>
          <w:color w:val="000000"/>
          <w:sz w:val="22"/>
          <w:szCs w:val="22"/>
        </w:rPr>
        <w:t>.</w:t>
      </w:r>
    </w:p>
    <w:p w14:paraId="35E7C2BE" w14:textId="77777777" w:rsidR="00577D06" w:rsidRDefault="00577D06">
      <w:pPr>
        <w:pBdr>
          <w:top w:val="nil"/>
          <w:left w:val="nil"/>
          <w:bottom w:val="nil"/>
          <w:right w:val="nil"/>
          <w:between w:val="nil"/>
        </w:pBdr>
        <w:ind w:left="360"/>
        <w:jc w:val="both"/>
        <w:rPr>
          <w:rFonts w:ascii="Verdana" w:eastAsia="Verdana" w:hAnsi="Verdana" w:cs="Verdana"/>
          <w:sz w:val="22"/>
          <w:szCs w:val="22"/>
        </w:rPr>
      </w:pPr>
    </w:p>
    <w:p w14:paraId="1726C659" w14:textId="77777777" w:rsidR="00577D06" w:rsidRDefault="00EB64CD">
      <w:pPr>
        <w:numPr>
          <w:ilvl w:val="0"/>
          <w:numId w:val="3"/>
        </w:numPr>
        <w:pBdr>
          <w:top w:val="nil"/>
          <w:left w:val="nil"/>
          <w:bottom w:val="nil"/>
          <w:right w:val="nil"/>
          <w:between w:val="nil"/>
        </w:pBdr>
        <w:jc w:val="both"/>
      </w:pPr>
      <w:r>
        <w:rPr>
          <w:rFonts w:ascii="Verdana" w:eastAsia="Verdana" w:hAnsi="Verdana" w:cs="Verdana"/>
          <w:sz w:val="22"/>
          <w:szCs w:val="22"/>
        </w:rPr>
        <w:t>El Subcomité de Protecciones-SPROTEC llevará a cabo una socialización del Anexo 7 del Acuerdo 1214, el cual establece el procedimiento para la elaboración y aprobación del estudio de coordinación de protecciones para nuevos proyectos. La presentación de este Anexo se hará al público en general virtualmente el día 15 de mayo del año en curso y tiene como objetivo reducir el número de versiones que actualmente tiene que analizar el CND cuando se presenta un estudio de coordinación de protecciones.</w:t>
      </w:r>
    </w:p>
    <w:p w14:paraId="4593F735" w14:textId="77777777" w:rsidR="00577D06" w:rsidRDefault="00577D06">
      <w:pPr>
        <w:pBdr>
          <w:top w:val="nil"/>
          <w:left w:val="nil"/>
          <w:bottom w:val="nil"/>
          <w:right w:val="nil"/>
          <w:between w:val="nil"/>
        </w:pBdr>
        <w:ind w:left="708"/>
        <w:rPr>
          <w:rFonts w:ascii="Verdana" w:eastAsia="Verdana" w:hAnsi="Verdana" w:cs="Verdana"/>
          <w:color w:val="000000"/>
          <w:sz w:val="22"/>
          <w:szCs w:val="22"/>
        </w:rPr>
      </w:pPr>
    </w:p>
    <w:p w14:paraId="587F92E8" w14:textId="77777777" w:rsidR="00577D06" w:rsidRDefault="00EB64CD">
      <w:pPr>
        <w:numPr>
          <w:ilvl w:val="0"/>
          <w:numId w:val="3"/>
        </w:numPr>
        <w:pBdr>
          <w:top w:val="nil"/>
          <w:left w:val="nil"/>
          <w:bottom w:val="nil"/>
          <w:right w:val="nil"/>
          <w:between w:val="nil"/>
        </w:pBdr>
        <w:jc w:val="both"/>
      </w:pPr>
      <w:r>
        <w:rPr>
          <w:rFonts w:ascii="Verdana" w:eastAsia="Verdana" w:hAnsi="Verdana" w:cs="Verdana"/>
          <w:sz w:val="22"/>
          <w:szCs w:val="22"/>
        </w:rPr>
        <w:t>Está pendiente</w:t>
      </w:r>
      <w:r>
        <w:rPr>
          <w:rFonts w:ascii="Verdana" w:eastAsia="Verdana" w:hAnsi="Verdana" w:cs="Verdana"/>
          <w:color w:val="000000"/>
          <w:sz w:val="22"/>
          <w:szCs w:val="22"/>
        </w:rPr>
        <w:t xml:space="preserve"> convocar nuevamente el grupo de seguimiento del área Oriental, una vez la Unidad y </w:t>
      </w:r>
      <w:r>
        <w:rPr>
          <w:rFonts w:ascii="Verdana" w:eastAsia="Verdana" w:hAnsi="Verdana" w:cs="Verdana"/>
          <w:sz w:val="22"/>
          <w:szCs w:val="22"/>
        </w:rPr>
        <w:t>el CND</w:t>
      </w:r>
      <w:r>
        <w:rPr>
          <w:rFonts w:ascii="Verdana" w:eastAsia="Verdana" w:hAnsi="Verdana" w:cs="Verdana"/>
          <w:color w:val="000000"/>
          <w:sz w:val="22"/>
          <w:szCs w:val="22"/>
        </w:rPr>
        <w:t xml:space="preserve"> evalúen con los agentes involucrados los posibles escenarios de entrada en servicio de los proyectos de la zona, se realicen conjuntamente los análisis eléctricos y se tenga certeza sobre las decisiones del Tribunal Administrativo de Cundinamarca y el Consejo de Estado.</w:t>
      </w:r>
    </w:p>
    <w:p w14:paraId="3133A247" w14:textId="77777777" w:rsidR="00577D06" w:rsidRDefault="00577D06">
      <w:pPr>
        <w:pBdr>
          <w:top w:val="nil"/>
          <w:left w:val="nil"/>
          <w:bottom w:val="nil"/>
          <w:right w:val="nil"/>
          <w:between w:val="nil"/>
        </w:pBdr>
        <w:ind w:left="360"/>
        <w:jc w:val="both"/>
        <w:rPr>
          <w:rFonts w:ascii="Verdana" w:eastAsia="Verdana" w:hAnsi="Verdana" w:cs="Verdana"/>
          <w:sz w:val="22"/>
          <w:szCs w:val="22"/>
        </w:rPr>
      </w:pPr>
    </w:p>
    <w:p w14:paraId="24E54906" w14:textId="77777777" w:rsidR="00577D06" w:rsidRDefault="00EB64CD">
      <w:pPr>
        <w:numPr>
          <w:ilvl w:val="0"/>
          <w:numId w:val="3"/>
        </w:numPr>
        <w:pBdr>
          <w:top w:val="nil"/>
          <w:left w:val="nil"/>
          <w:bottom w:val="nil"/>
          <w:right w:val="nil"/>
          <w:between w:val="nil"/>
        </w:pBdr>
        <w:jc w:val="both"/>
      </w:pPr>
      <w:r>
        <w:rPr>
          <w:rFonts w:ascii="Verdana" w:eastAsia="Verdana" w:hAnsi="Verdana" w:cs="Verdana"/>
          <w:sz w:val="22"/>
          <w:szCs w:val="22"/>
        </w:rPr>
        <w:t xml:space="preserve">En el Comité de Operación se solicitó a la UPME actualizar los escenarios de crecimiento de la demanda de energía eléctrica, dada la actual situación de consumo producto del coronavirus COVID 19. Vale la pena mencionar que los resultados de los ejercicios de planeamiento operativo eléctrico y energético que lleva a cabo el CND en las diferentes escalas de tiempo, corto, mediano y largo plazo, dependen de dicha proyección.   </w:t>
      </w:r>
    </w:p>
    <w:p w14:paraId="0B2F2CBF" w14:textId="77777777" w:rsidR="00577D06" w:rsidRDefault="00577D06">
      <w:pPr>
        <w:pBdr>
          <w:top w:val="nil"/>
          <w:left w:val="nil"/>
          <w:bottom w:val="nil"/>
          <w:right w:val="nil"/>
          <w:between w:val="nil"/>
        </w:pBdr>
        <w:ind w:left="360"/>
        <w:jc w:val="both"/>
        <w:rPr>
          <w:rFonts w:ascii="Verdana" w:eastAsia="Verdana" w:hAnsi="Verdana" w:cs="Verdana"/>
          <w:sz w:val="22"/>
          <w:szCs w:val="22"/>
        </w:rPr>
      </w:pPr>
    </w:p>
    <w:p w14:paraId="2BD44C64" w14:textId="77777777" w:rsidR="00577D06" w:rsidRDefault="00EB64CD">
      <w:pPr>
        <w:numPr>
          <w:ilvl w:val="0"/>
          <w:numId w:val="3"/>
        </w:numPr>
        <w:pBdr>
          <w:top w:val="nil"/>
          <w:left w:val="nil"/>
          <w:bottom w:val="nil"/>
          <w:right w:val="nil"/>
          <w:between w:val="nil"/>
        </w:pBdr>
        <w:jc w:val="both"/>
      </w:pPr>
      <w:r>
        <w:rPr>
          <w:rFonts w:ascii="Verdana" w:eastAsia="Verdana" w:hAnsi="Verdana" w:cs="Verdana"/>
          <w:sz w:val="22"/>
          <w:szCs w:val="22"/>
        </w:rPr>
        <w:t>El CND y CNO</w:t>
      </w:r>
      <w:r>
        <w:rPr>
          <w:rFonts w:ascii="Verdana" w:eastAsia="Verdana" w:hAnsi="Verdana" w:cs="Verdana"/>
          <w:color w:val="000000"/>
          <w:sz w:val="22"/>
          <w:szCs w:val="22"/>
        </w:rPr>
        <w:t xml:space="preserve"> </w:t>
      </w:r>
      <w:r>
        <w:rPr>
          <w:rFonts w:ascii="Verdana" w:eastAsia="Verdana" w:hAnsi="Verdana" w:cs="Verdana"/>
          <w:sz w:val="22"/>
          <w:szCs w:val="22"/>
        </w:rPr>
        <w:t xml:space="preserve">se reunieron con </w:t>
      </w:r>
      <w:r>
        <w:rPr>
          <w:rFonts w:ascii="Verdana" w:eastAsia="Verdana" w:hAnsi="Verdana" w:cs="Verdana"/>
          <w:color w:val="000000"/>
          <w:sz w:val="22"/>
          <w:szCs w:val="22"/>
        </w:rPr>
        <w:t>la ANDI</w:t>
      </w:r>
      <w:r>
        <w:rPr>
          <w:rFonts w:ascii="Verdana" w:eastAsia="Verdana" w:hAnsi="Verdana" w:cs="Verdana"/>
          <w:sz w:val="22"/>
          <w:szCs w:val="22"/>
        </w:rPr>
        <w:t xml:space="preserve"> y los grandes consumidores </w:t>
      </w:r>
      <w:r>
        <w:rPr>
          <w:rFonts w:ascii="Verdana" w:eastAsia="Verdana" w:hAnsi="Verdana" w:cs="Verdana"/>
          <w:color w:val="000000"/>
          <w:sz w:val="22"/>
          <w:szCs w:val="22"/>
        </w:rPr>
        <w:t>CERROMATOSO, INTERCOR, TUBOS CARIBE y DIACO.</w:t>
      </w:r>
      <w:r>
        <w:rPr>
          <w:rFonts w:ascii="Verdana" w:eastAsia="Verdana" w:hAnsi="Verdana" w:cs="Verdana"/>
          <w:sz w:val="22"/>
          <w:szCs w:val="22"/>
        </w:rPr>
        <w:t xml:space="preserve"> En ella XM </w:t>
      </w:r>
      <w:r>
        <w:rPr>
          <w:rFonts w:ascii="Verdana" w:eastAsia="Verdana" w:hAnsi="Verdana" w:cs="Verdana"/>
          <w:color w:val="000000"/>
          <w:sz w:val="22"/>
          <w:szCs w:val="22"/>
        </w:rPr>
        <w:t xml:space="preserve">presentó el </w:t>
      </w:r>
      <w:r>
        <w:rPr>
          <w:rFonts w:ascii="Verdana" w:eastAsia="Verdana" w:hAnsi="Verdana" w:cs="Verdana"/>
          <w:sz w:val="22"/>
          <w:szCs w:val="22"/>
        </w:rPr>
        <w:t>A</w:t>
      </w:r>
      <w:r>
        <w:rPr>
          <w:rFonts w:ascii="Verdana" w:eastAsia="Verdana" w:hAnsi="Verdana" w:cs="Verdana"/>
          <w:color w:val="000000"/>
          <w:sz w:val="22"/>
          <w:szCs w:val="22"/>
        </w:rPr>
        <w:t>cuerdo 1233 y los beneficios que ha tenido</w:t>
      </w:r>
      <w:r>
        <w:rPr>
          <w:rFonts w:ascii="Verdana" w:eastAsia="Verdana" w:hAnsi="Verdana" w:cs="Verdana"/>
          <w:sz w:val="22"/>
          <w:szCs w:val="22"/>
        </w:rPr>
        <w:t xml:space="preserve"> para la operación del SIN</w:t>
      </w:r>
      <w:r>
        <w:rPr>
          <w:rFonts w:ascii="Verdana" w:eastAsia="Verdana" w:hAnsi="Verdana" w:cs="Verdana"/>
          <w:color w:val="000000"/>
          <w:sz w:val="22"/>
          <w:szCs w:val="22"/>
        </w:rPr>
        <w:t>. Asimismo</w:t>
      </w:r>
      <w:r>
        <w:rPr>
          <w:rFonts w:ascii="Verdana" w:eastAsia="Verdana" w:hAnsi="Verdana" w:cs="Verdana"/>
          <w:sz w:val="22"/>
          <w:szCs w:val="22"/>
        </w:rPr>
        <w:t>, las cargas especiales</w:t>
      </w:r>
      <w:r>
        <w:rPr>
          <w:rFonts w:ascii="Verdana" w:eastAsia="Verdana" w:hAnsi="Verdana" w:cs="Verdana"/>
          <w:color w:val="000000"/>
          <w:sz w:val="22"/>
          <w:szCs w:val="22"/>
        </w:rPr>
        <w:t xml:space="preserve"> </w:t>
      </w:r>
      <w:r>
        <w:rPr>
          <w:rFonts w:ascii="Verdana" w:eastAsia="Verdana" w:hAnsi="Verdana" w:cs="Verdana"/>
          <w:sz w:val="22"/>
          <w:szCs w:val="22"/>
        </w:rPr>
        <w:t>socializaron</w:t>
      </w:r>
      <w:r>
        <w:rPr>
          <w:rFonts w:ascii="Verdana" w:eastAsia="Verdana" w:hAnsi="Verdana" w:cs="Verdana"/>
          <w:color w:val="000000"/>
          <w:sz w:val="22"/>
          <w:szCs w:val="22"/>
        </w:rPr>
        <w:t xml:space="preserve"> sus procesos </w:t>
      </w:r>
      <w:r>
        <w:rPr>
          <w:rFonts w:ascii="Verdana" w:eastAsia="Verdana" w:hAnsi="Verdana" w:cs="Verdana"/>
          <w:sz w:val="22"/>
          <w:szCs w:val="22"/>
        </w:rPr>
        <w:t>productivos</w:t>
      </w:r>
      <w:r>
        <w:rPr>
          <w:rFonts w:ascii="Verdana" w:eastAsia="Verdana" w:hAnsi="Verdana" w:cs="Verdana"/>
          <w:color w:val="000000"/>
          <w:sz w:val="22"/>
          <w:szCs w:val="22"/>
        </w:rPr>
        <w:t xml:space="preserve"> y las dificultades</w:t>
      </w:r>
      <w:r>
        <w:rPr>
          <w:rFonts w:ascii="Verdana" w:eastAsia="Verdana" w:hAnsi="Verdana" w:cs="Verdana"/>
          <w:sz w:val="22"/>
          <w:szCs w:val="22"/>
        </w:rPr>
        <w:t>, que, a juicio de ellos, tienen</w:t>
      </w:r>
      <w:r>
        <w:rPr>
          <w:rFonts w:ascii="Verdana" w:eastAsia="Verdana" w:hAnsi="Verdana" w:cs="Verdana"/>
          <w:color w:val="000000"/>
          <w:sz w:val="22"/>
          <w:szCs w:val="22"/>
        </w:rPr>
        <w:t xml:space="preserve"> para </w:t>
      </w:r>
      <w:r>
        <w:rPr>
          <w:rFonts w:ascii="Verdana" w:eastAsia="Verdana" w:hAnsi="Verdana" w:cs="Verdana"/>
          <w:sz w:val="22"/>
          <w:szCs w:val="22"/>
        </w:rPr>
        <w:t>realizar</w:t>
      </w:r>
      <w:r>
        <w:rPr>
          <w:rFonts w:ascii="Verdana" w:eastAsia="Verdana" w:hAnsi="Verdana" w:cs="Verdana"/>
          <w:color w:val="000000"/>
          <w:sz w:val="22"/>
          <w:szCs w:val="22"/>
        </w:rPr>
        <w:t xml:space="preserve"> un buen </w:t>
      </w:r>
      <w:r>
        <w:rPr>
          <w:rFonts w:ascii="Verdana" w:eastAsia="Verdana" w:hAnsi="Verdana" w:cs="Verdana"/>
          <w:sz w:val="22"/>
          <w:szCs w:val="22"/>
        </w:rPr>
        <w:t>pronóstico</w:t>
      </w:r>
      <w:r>
        <w:rPr>
          <w:rFonts w:ascii="Verdana" w:eastAsia="Verdana" w:hAnsi="Verdana" w:cs="Verdana"/>
          <w:color w:val="000000"/>
          <w:sz w:val="22"/>
          <w:szCs w:val="22"/>
        </w:rPr>
        <w:t xml:space="preserve"> de la demanda</w:t>
      </w:r>
      <w:r>
        <w:rPr>
          <w:rFonts w:ascii="Verdana" w:eastAsia="Verdana" w:hAnsi="Verdana" w:cs="Verdana"/>
          <w:sz w:val="22"/>
          <w:szCs w:val="22"/>
        </w:rPr>
        <w:t xml:space="preserve">. También </w:t>
      </w:r>
      <w:r>
        <w:rPr>
          <w:rFonts w:ascii="Verdana" w:eastAsia="Verdana" w:hAnsi="Verdana" w:cs="Verdana"/>
          <w:color w:val="000000"/>
          <w:sz w:val="22"/>
          <w:szCs w:val="22"/>
        </w:rPr>
        <w:t>manif</w:t>
      </w:r>
      <w:r>
        <w:rPr>
          <w:rFonts w:ascii="Verdana" w:eastAsia="Verdana" w:hAnsi="Verdana" w:cs="Verdana"/>
          <w:sz w:val="22"/>
          <w:szCs w:val="22"/>
        </w:rPr>
        <w:t>estaron su</w:t>
      </w:r>
      <w:r>
        <w:rPr>
          <w:rFonts w:ascii="Verdana" w:eastAsia="Verdana" w:hAnsi="Verdana" w:cs="Verdana"/>
          <w:color w:val="000000"/>
          <w:sz w:val="22"/>
          <w:szCs w:val="22"/>
        </w:rPr>
        <w:t xml:space="preserve"> </w:t>
      </w:r>
      <w:r>
        <w:rPr>
          <w:rFonts w:ascii="Verdana" w:eastAsia="Verdana" w:hAnsi="Verdana" w:cs="Verdana"/>
          <w:sz w:val="22"/>
          <w:szCs w:val="22"/>
        </w:rPr>
        <w:t>preocupación ante una eventual penalización que defina la CREG tomando como referencia</w:t>
      </w:r>
      <w:r>
        <w:rPr>
          <w:rFonts w:ascii="Verdana" w:eastAsia="Verdana" w:hAnsi="Verdana" w:cs="Verdana"/>
          <w:color w:val="000000"/>
          <w:sz w:val="22"/>
          <w:szCs w:val="22"/>
        </w:rPr>
        <w:t xml:space="preserve"> el </w:t>
      </w:r>
      <w:r>
        <w:rPr>
          <w:rFonts w:ascii="Verdana" w:eastAsia="Verdana" w:hAnsi="Verdana" w:cs="Verdana"/>
          <w:sz w:val="22"/>
          <w:szCs w:val="22"/>
        </w:rPr>
        <w:t>A</w:t>
      </w:r>
      <w:r>
        <w:rPr>
          <w:rFonts w:ascii="Verdana" w:eastAsia="Verdana" w:hAnsi="Verdana" w:cs="Verdana"/>
          <w:color w:val="000000"/>
          <w:sz w:val="22"/>
          <w:szCs w:val="22"/>
        </w:rPr>
        <w:t>cuerdo 1233.</w:t>
      </w:r>
      <w:r>
        <w:rPr>
          <w:rFonts w:ascii="Verdana" w:eastAsia="Verdana" w:hAnsi="Verdana" w:cs="Verdana"/>
          <w:sz w:val="22"/>
          <w:szCs w:val="22"/>
        </w:rPr>
        <w:t xml:space="preserve"> En este sentido, la ANDI solicitó al Consejo la derogación de dicho Acuerdo, a lo que e</w:t>
      </w:r>
      <w:r>
        <w:rPr>
          <w:rFonts w:ascii="Verdana" w:eastAsia="Verdana" w:hAnsi="Verdana" w:cs="Verdana"/>
          <w:color w:val="000000"/>
          <w:sz w:val="22"/>
          <w:szCs w:val="22"/>
        </w:rPr>
        <w:t>l CNO res</w:t>
      </w:r>
      <w:r>
        <w:rPr>
          <w:rFonts w:ascii="Verdana" w:eastAsia="Verdana" w:hAnsi="Verdana" w:cs="Verdana"/>
          <w:sz w:val="22"/>
          <w:szCs w:val="22"/>
        </w:rPr>
        <w:t>pondió que ello no era posible, dados sus beneficios y el tiempo que lleva implementado (un mes).</w:t>
      </w:r>
      <w:r>
        <w:rPr>
          <w:rFonts w:ascii="Verdana" w:eastAsia="Verdana" w:hAnsi="Verdana" w:cs="Verdana"/>
          <w:color w:val="000000"/>
          <w:sz w:val="22"/>
          <w:szCs w:val="22"/>
        </w:rPr>
        <w:t xml:space="preserve"> </w:t>
      </w:r>
    </w:p>
    <w:p w14:paraId="0A836A3A" w14:textId="77777777" w:rsidR="00577D06" w:rsidRDefault="00577D06">
      <w:pPr>
        <w:pBdr>
          <w:top w:val="nil"/>
          <w:left w:val="nil"/>
          <w:bottom w:val="nil"/>
          <w:right w:val="nil"/>
          <w:between w:val="nil"/>
        </w:pBdr>
        <w:ind w:left="360"/>
        <w:jc w:val="both"/>
        <w:rPr>
          <w:rFonts w:ascii="Verdana" w:eastAsia="Verdana" w:hAnsi="Verdana" w:cs="Verdana"/>
          <w:sz w:val="22"/>
          <w:szCs w:val="22"/>
        </w:rPr>
      </w:pPr>
    </w:p>
    <w:p w14:paraId="6E8EFB00" w14:textId="77777777" w:rsidR="00577D06" w:rsidRDefault="00EB64CD">
      <w:pPr>
        <w:pBdr>
          <w:top w:val="nil"/>
          <w:left w:val="nil"/>
          <w:bottom w:val="nil"/>
          <w:right w:val="nil"/>
          <w:between w:val="nil"/>
        </w:pBdr>
        <w:ind w:left="360"/>
        <w:jc w:val="both"/>
        <w:rPr>
          <w:rFonts w:ascii="Verdana" w:eastAsia="Verdana" w:hAnsi="Verdana" w:cs="Verdana"/>
          <w:color w:val="000000"/>
          <w:sz w:val="22"/>
          <w:szCs w:val="22"/>
        </w:rPr>
      </w:pPr>
      <w:r>
        <w:rPr>
          <w:rFonts w:ascii="Verdana" w:eastAsia="Verdana" w:hAnsi="Verdana" w:cs="Verdana"/>
          <w:sz w:val="22"/>
          <w:szCs w:val="22"/>
        </w:rPr>
        <w:t xml:space="preserve">Adicionalmente, </w:t>
      </w:r>
      <w:r>
        <w:rPr>
          <w:rFonts w:ascii="Verdana" w:eastAsia="Verdana" w:hAnsi="Verdana" w:cs="Verdana"/>
          <w:color w:val="000000"/>
          <w:sz w:val="22"/>
          <w:szCs w:val="22"/>
        </w:rPr>
        <w:t>INTERCOR solicit</w:t>
      </w:r>
      <w:r>
        <w:rPr>
          <w:rFonts w:ascii="Verdana" w:eastAsia="Verdana" w:hAnsi="Verdana" w:cs="Verdana"/>
          <w:sz w:val="22"/>
          <w:szCs w:val="22"/>
        </w:rPr>
        <w:t>ó</w:t>
      </w:r>
      <w:r>
        <w:rPr>
          <w:rFonts w:ascii="Verdana" w:eastAsia="Verdana" w:hAnsi="Verdana" w:cs="Verdana"/>
          <w:color w:val="000000"/>
          <w:sz w:val="22"/>
          <w:szCs w:val="22"/>
        </w:rPr>
        <w:t xml:space="preserve"> ayuda </w:t>
      </w:r>
      <w:r>
        <w:rPr>
          <w:rFonts w:ascii="Verdana" w:eastAsia="Verdana" w:hAnsi="Verdana" w:cs="Verdana"/>
          <w:sz w:val="22"/>
          <w:szCs w:val="22"/>
        </w:rPr>
        <w:t>a</w:t>
      </w:r>
      <w:r>
        <w:rPr>
          <w:rFonts w:ascii="Verdana" w:eastAsia="Verdana" w:hAnsi="Verdana" w:cs="Verdana"/>
          <w:color w:val="000000"/>
          <w:sz w:val="22"/>
          <w:szCs w:val="22"/>
        </w:rPr>
        <w:t xml:space="preserve"> su comercializador para mejorar </w:t>
      </w:r>
      <w:r>
        <w:rPr>
          <w:rFonts w:ascii="Verdana" w:eastAsia="Verdana" w:hAnsi="Verdana" w:cs="Verdana"/>
          <w:sz w:val="22"/>
          <w:szCs w:val="22"/>
        </w:rPr>
        <w:t>e</w:t>
      </w:r>
      <w:r>
        <w:rPr>
          <w:rFonts w:ascii="Verdana" w:eastAsia="Verdana" w:hAnsi="Verdana" w:cs="Verdana"/>
          <w:color w:val="000000"/>
          <w:sz w:val="22"/>
          <w:szCs w:val="22"/>
        </w:rPr>
        <w:t xml:space="preserve"> incorporar modelos matemáticos para la realización de</w:t>
      </w:r>
      <w:r>
        <w:rPr>
          <w:rFonts w:ascii="Verdana" w:eastAsia="Verdana" w:hAnsi="Verdana" w:cs="Verdana"/>
          <w:sz w:val="22"/>
          <w:szCs w:val="22"/>
        </w:rPr>
        <w:t xml:space="preserve"> sus </w:t>
      </w:r>
      <w:r>
        <w:rPr>
          <w:rFonts w:ascii="Verdana" w:eastAsia="Verdana" w:hAnsi="Verdana" w:cs="Verdana"/>
          <w:color w:val="000000"/>
          <w:sz w:val="22"/>
          <w:szCs w:val="22"/>
        </w:rPr>
        <w:t>pronósticos de demanda.</w:t>
      </w:r>
    </w:p>
    <w:p w14:paraId="7E401739" w14:textId="77777777" w:rsidR="00577D06" w:rsidRDefault="00EB64CD">
      <w:pPr>
        <w:pBdr>
          <w:top w:val="nil"/>
          <w:left w:val="nil"/>
          <w:bottom w:val="nil"/>
          <w:right w:val="nil"/>
          <w:between w:val="nil"/>
        </w:pBdr>
        <w:ind w:left="360"/>
        <w:jc w:val="both"/>
        <w:rPr>
          <w:rFonts w:ascii="Verdana" w:eastAsia="Verdana" w:hAnsi="Verdana" w:cs="Verdana"/>
          <w:color w:val="000000"/>
          <w:sz w:val="22"/>
          <w:szCs w:val="22"/>
        </w:rPr>
      </w:pPr>
      <w:r>
        <w:rPr>
          <w:rFonts w:ascii="Verdana" w:eastAsia="Verdana" w:hAnsi="Verdana" w:cs="Verdana"/>
          <w:color w:val="000000"/>
          <w:sz w:val="22"/>
          <w:szCs w:val="22"/>
        </w:rPr>
        <w:t xml:space="preserve"> </w:t>
      </w:r>
    </w:p>
    <w:p w14:paraId="7BC7D905" w14:textId="77777777" w:rsidR="00577D06" w:rsidRDefault="00EB64CD">
      <w:pPr>
        <w:pBdr>
          <w:top w:val="nil"/>
          <w:left w:val="nil"/>
          <w:bottom w:val="nil"/>
          <w:right w:val="nil"/>
          <w:between w:val="nil"/>
        </w:pBdr>
        <w:ind w:left="360"/>
        <w:jc w:val="both"/>
        <w:rPr>
          <w:rFonts w:ascii="Verdana" w:eastAsia="Verdana" w:hAnsi="Verdana" w:cs="Verdana"/>
          <w:color w:val="000000"/>
          <w:sz w:val="22"/>
          <w:szCs w:val="22"/>
        </w:rPr>
      </w:pPr>
      <w:r>
        <w:rPr>
          <w:rFonts w:ascii="Verdana" w:eastAsia="Verdana" w:hAnsi="Verdana" w:cs="Verdana"/>
          <w:sz w:val="22"/>
          <w:szCs w:val="22"/>
        </w:rPr>
        <w:t>Finalmente, el Consejo aclaró que el Acuerdo</w:t>
      </w:r>
      <w:r>
        <w:rPr>
          <w:rFonts w:ascii="Verdana" w:eastAsia="Verdana" w:hAnsi="Verdana" w:cs="Verdana"/>
          <w:color w:val="000000"/>
          <w:sz w:val="22"/>
          <w:szCs w:val="22"/>
        </w:rPr>
        <w:t xml:space="preserve"> continuará vigente</w:t>
      </w:r>
      <w:r>
        <w:rPr>
          <w:rFonts w:ascii="Verdana" w:eastAsia="Verdana" w:hAnsi="Verdana" w:cs="Verdana"/>
          <w:sz w:val="22"/>
          <w:szCs w:val="22"/>
        </w:rPr>
        <w:t xml:space="preserve">, no genera ninguna penalización económica </w:t>
      </w:r>
      <w:r>
        <w:rPr>
          <w:rFonts w:ascii="Verdana" w:eastAsia="Verdana" w:hAnsi="Verdana" w:cs="Verdana"/>
          <w:color w:val="000000"/>
          <w:sz w:val="22"/>
          <w:szCs w:val="22"/>
        </w:rPr>
        <w:t>y llam</w:t>
      </w:r>
      <w:r>
        <w:rPr>
          <w:rFonts w:ascii="Verdana" w:eastAsia="Verdana" w:hAnsi="Verdana" w:cs="Verdana"/>
          <w:sz w:val="22"/>
          <w:szCs w:val="22"/>
        </w:rPr>
        <w:t xml:space="preserve">ó la atención, en la misma línea de INTERCOR, a </w:t>
      </w:r>
      <w:r>
        <w:rPr>
          <w:rFonts w:ascii="Verdana" w:eastAsia="Verdana" w:hAnsi="Verdana" w:cs="Verdana"/>
          <w:color w:val="000000"/>
          <w:sz w:val="22"/>
          <w:szCs w:val="22"/>
        </w:rPr>
        <w:t xml:space="preserve">mejorar </w:t>
      </w:r>
      <w:r>
        <w:rPr>
          <w:rFonts w:ascii="Verdana" w:eastAsia="Verdana" w:hAnsi="Verdana" w:cs="Verdana"/>
          <w:sz w:val="22"/>
          <w:szCs w:val="22"/>
        </w:rPr>
        <w:t>los</w:t>
      </w:r>
      <w:r>
        <w:rPr>
          <w:rFonts w:ascii="Verdana" w:eastAsia="Verdana" w:hAnsi="Verdana" w:cs="Verdana"/>
          <w:color w:val="000000"/>
          <w:sz w:val="22"/>
          <w:szCs w:val="22"/>
        </w:rPr>
        <w:t xml:space="preserve"> pronósticos.</w:t>
      </w:r>
    </w:p>
    <w:p w14:paraId="3CDD83A3" w14:textId="77777777" w:rsidR="00577D06" w:rsidRDefault="00577D06">
      <w:pPr>
        <w:pBdr>
          <w:top w:val="nil"/>
          <w:left w:val="nil"/>
          <w:bottom w:val="nil"/>
          <w:right w:val="nil"/>
          <w:between w:val="nil"/>
        </w:pBdr>
        <w:ind w:left="708"/>
        <w:rPr>
          <w:rFonts w:ascii="Verdana" w:eastAsia="Verdana" w:hAnsi="Verdana" w:cs="Verdana"/>
          <w:color w:val="000000"/>
          <w:sz w:val="22"/>
          <w:szCs w:val="22"/>
        </w:rPr>
      </w:pPr>
    </w:p>
    <w:p w14:paraId="190FD092" w14:textId="77777777" w:rsidR="00577D06" w:rsidRDefault="00EB64CD">
      <w:pPr>
        <w:numPr>
          <w:ilvl w:val="0"/>
          <w:numId w:val="3"/>
        </w:numPr>
        <w:pBdr>
          <w:top w:val="nil"/>
          <w:left w:val="nil"/>
          <w:bottom w:val="nil"/>
          <w:right w:val="nil"/>
          <w:between w:val="nil"/>
        </w:pBdr>
        <w:jc w:val="both"/>
      </w:pPr>
      <w:r>
        <w:rPr>
          <w:rFonts w:ascii="Verdana" w:eastAsia="Verdana" w:hAnsi="Verdana" w:cs="Verdana"/>
          <w:sz w:val="22"/>
          <w:szCs w:val="22"/>
        </w:rPr>
        <w:t>En el Comité de Distribución el CND presentó el estado de las acciones pendientes por parte de los Operadores de Red-OR CEDENAR y ELECTROHUILA, asociadas a la coordinación de protecciones y que ponen en riesgo la atención de la demanda del SIN. Teniendo en cuenta lo anterior, se definió un Plan de acción con los dos OR el cual será monitoreado por el Consejo.</w:t>
      </w:r>
    </w:p>
    <w:p w14:paraId="0EC1280A" w14:textId="77777777" w:rsidR="00577D06" w:rsidRDefault="00577D06">
      <w:pPr>
        <w:pBdr>
          <w:top w:val="nil"/>
          <w:left w:val="nil"/>
          <w:bottom w:val="nil"/>
          <w:right w:val="nil"/>
          <w:between w:val="nil"/>
        </w:pBdr>
        <w:ind w:left="360"/>
        <w:jc w:val="both"/>
        <w:rPr>
          <w:rFonts w:ascii="Verdana" w:eastAsia="Verdana" w:hAnsi="Verdana" w:cs="Verdana"/>
          <w:sz w:val="22"/>
          <w:szCs w:val="22"/>
        </w:rPr>
      </w:pPr>
    </w:p>
    <w:p w14:paraId="2329C78C" w14:textId="77777777" w:rsidR="00577D06" w:rsidRDefault="00EB64CD">
      <w:pPr>
        <w:numPr>
          <w:ilvl w:val="0"/>
          <w:numId w:val="3"/>
        </w:numPr>
        <w:pBdr>
          <w:top w:val="nil"/>
          <w:left w:val="nil"/>
          <w:bottom w:val="nil"/>
          <w:right w:val="nil"/>
          <w:between w:val="nil"/>
        </w:pBdr>
        <w:jc w:val="both"/>
      </w:pPr>
      <w:r>
        <w:rPr>
          <w:rFonts w:ascii="Verdana" w:eastAsia="Verdana" w:hAnsi="Verdana" w:cs="Verdana"/>
          <w:sz w:val="22"/>
          <w:szCs w:val="22"/>
        </w:rPr>
        <w:t>El 19 de mayo se socializará con los diferentes Comités y Subcomités del CNO la segunda versión del estudio de Flexibilidad por parte del CND. Dicho análisis es fundamental para establecer si la generación intermitente que está aprobada a la fecha por la Unidad, afecta o no la seguridad y estabilidad del SIN.</w:t>
      </w:r>
    </w:p>
    <w:p w14:paraId="14D91D61" w14:textId="77777777" w:rsidR="00577D06" w:rsidRDefault="00577D06">
      <w:pPr>
        <w:pBdr>
          <w:top w:val="nil"/>
          <w:left w:val="nil"/>
          <w:bottom w:val="nil"/>
          <w:right w:val="nil"/>
          <w:between w:val="nil"/>
        </w:pBdr>
        <w:ind w:left="360"/>
        <w:jc w:val="both"/>
        <w:rPr>
          <w:rFonts w:ascii="Verdana" w:eastAsia="Verdana" w:hAnsi="Verdana" w:cs="Verdana"/>
          <w:sz w:val="22"/>
          <w:szCs w:val="22"/>
        </w:rPr>
      </w:pPr>
    </w:p>
    <w:p w14:paraId="6848CBB5" w14:textId="77777777" w:rsidR="00577D06" w:rsidRDefault="00EB64CD">
      <w:pPr>
        <w:numPr>
          <w:ilvl w:val="0"/>
          <w:numId w:val="3"/>
        </w:numPr>
        <w:pBdr>
          <w:top w:val="nil"/>
          <w:left w:val="nil"/>
          <w:bottom w:val="nil"/>
          <w:right w:val="nil"/>
          <w:between w:val="nil"/>
        </w:pBdr>
        <w:jc w:val="both"/>
      </w:pPr>
      <w:r>
        <w:rPr>
          <w:rFonts w:ascii="Verdana" w:eastAsia="Verdana" w:hAnsi="Verdana" w:cs="Verdana"/>
          <w:color w:val="000000"/>
          <w:sz w:val="22"/>
          <w:szCs w:val="22"/>
        </w:rPr>
        <w:t>Se recibió comunicación de Cerromatoso, donde el gran c</w:t>
      </w:r>
      <w:r>
        <w:rPr>
          <w:rFonts w:ascii="Verdana" w:eastAsia="Verdana" w:hAnsi="Verdana" w:cs="Verdana"/>
          <w:sz w:val="22"/>
          <w:szCs w:val="22"/>
        </w:rPr>
        <w:t xml:space="preserve">onsumidor </w:t>
      </w:r>
      <w:r>
        <w:rPr>
          <w:rFonts w:ascii="Verdana" w:eastAsia="Verdana" w:hAnsi="Verdana" w:cs="Verdana"/>
          <w:color w:val="000000"/>
          <w:sz w:val="22"/>
          <w:szCs w:val="22"/>
        </w:rPr>
        <w:t xml:space="preserve">expone sus </w:t>
      </w:r>
      <w:r>
        <w:rPr>
          <w:rFonts w:ascii="Verdana" w:eastAsia="Verdana" w:hAnsi="Verdana" w:cs="Verdana"/>
          <w:sz w:val="22"/>
          <w:szCs w:val="22"/>
        </w:rPr>
        <w:t>preocupaciones respecto al Acuerdo</w:t>
      </w:r>
      <w:r>
        <w:rPr>
          <w:rFonts w:ascii="Verdana" w:eastAsia="Verdana" w:hAnsi="Verdana" w:cs="Verdana"/>
          <w:color w:val="000000"/>
          <w:sz w:val="22"/>
          <w:szCs w:val="22"/>
        </w:rPr>
        <w:t xml:space="preserve"> 1303</w:t>
      </w:r>
      <w:r>
        <w:rPr>
          <w:rFonts w:ascii="Verdana" w:eastAsia="Verdana" w:hAnsi="Verdana" w:cs="Verdana"/>
          <w:sz w:val="22"/>
          <w:szCs w:val="22"/>
        </w:rPr>
        <w:t>. Específicamente s</w:t>
      </w:r>
      <w:r>
        <w:rPr>
          <w:rFonts w:ascii="Verdana" w:eastAsia="Verdana" w:hAnsi="Verdana" w:cs="Verdana"/>
          <w:color w:val="000000"/>
          <w:sz w:val="22"/>
          <w:szCs w:val="22"/>
        </w:rPr>
        <w:t>olicitan</w:t>
      </w:r>
      <w:r>
        <w:rPr>
          <w:rFonts w:ascii="Verdana" w:eastAsia="Verdana" w:hAnsi="Verdana" w:cs="Verdana"/>
          <w:sz w:val="22"/>
          <w:szCs w:val="22"/>
        </w:rPr>
        <w:t>:</w:t>
      </w:r>
    </w:p>
    <w:p w14:paraId="4BBBC4CE" w14:textId="77777777" w:rsidR="00577D06" w:rsidRDefault="00577D06">
      <w:pPr>
        <w:pBdr>
          <w:top w:val="nil"/>
          <w:left w:val="nil"/>
          <w:bottom w:val="nil"/>
          <w:right w:val="nil"/>
          <w:between w:val="nil"/>
        </w:pBdr>
        <w:ind w:left="360"/>
        <w:jc w:val="both"/>
        <w:rPr>
          <w:rFonts w:ascii="Arial" w:eastAsia="Arial" w:hAnsi="Arial" w:cs="Arial"/>
          <w:sz w:val="23"/>
          <w:szCs w:val="23"/>
        </w:rPr>
      </w:pPr>
    </w:p>
    <w:p w14:paraId="7D79FBCF" w14:textId="77777777" w:rsidR="00577D06" w:rsidRDefault="00EB64CD">
      <w:pPr>
        <w:numPr>
          <w:ilvl w:val="0"/>
          <w:numId w:val="1"/>
        </w:numPr>
        <w:pBdr>
          <w:top w:val="nil"/>
          <w:left w:val="nil"/>
          <w:bottom w:val="nil"/>
          <w:right w:val="nil"/>
          <w:between w:val="nil"/>
        </w:pBdr>
        <w:jc w:val="both"/>
        <w:rPr>
          <w:rFonts w:ascii="Verdana" w:eastAsia="Verdana" w:hAnsi="Verdana" w:cs="Verdana"/>
          <w:color w:val="000000"/>
          <w:sz w:val="22"/>
          <w:szCs w:val="22"/>
        </w:rPr>
      </w:pPr>
      <w:r>
        <w:rPr>
          <w:rFonts w:ascii="Verdana" w:eastAsia="Verdana" w:hAnsi="Verdana" w:cs="Verdana"/>
          <w:color w:val="000000"/>
          <w:sz w:val="22"/>
          <w:szCs w:val="22"/>
        </w:rPr>
        <w:t xml:space="preserve">Ampliar el límite de desviación de la demanda para procesos pirometalúrgicos al </w:t>
      </w:r>
      <w:r>
        <w:rPr>
          <w:rFonts w:ascii="Verdana" w:eastAsia="Verdana" w:hAnsi="Verdana" w:cs="Verdana"/>
          <w:sz w:val="22"/>
          <w:szCs w:val="22"/>
        </w:rPr>
        <w:t>10 %</w:t>
      </w:r>
      <w:r>
        <w:rPr>
          <w:rFonts w:ascii="Verdana" w:eastAsia="Verdana" w:hAnsi="Verdana" w:cs="Verdana"/>
          <w:color w:val="000000"/>
          <w:sz w:val="22"/>
          <w:szCs w:val="22"/>
        </w:rPr>
        <w:t xml:space="preserve">, como es el caso de </w:t>
      </w:r>
      <w:r>
        <w:rPr>
          <w:rFonts w:ascii="Verdana" w:eastAsia="Verdana" w:hAnsi="Verdana" w:cs="Verdana"/>
          <w:sz w:val="22"/>
          <w:szCs w:val="22"/>
        </w:rPr>
        <w:t>Cerromatoso</w:t>
      </w:r>
      <w:r>
        <w:rPr>
          <w:rFonts w:ascii="Verdana" w:eastAsia="Verdana" w:hAnsi="Verdana" w:cs="Verdana"/>
          <w:color w:val="000000"/>
          <w:sz w:val="22"/>
          <w:szCs w:val="22"/>
        </w:rPr>
        <w:t xml:space="preserve">. </w:t>
      </w:r>
    </w:p>
    <w:p w14:paraId="4BBE2065" w14:textId="77777777" w:rsidR="00577D06" w:rsidRDefault="00577D06">
      <w:pPr>
        <w:pBdr>
          <w:top w:val="nil"/>
          <w:left w:val="nil"/>
          <w:bottom w:val="nil"/>
          <w:right w:val="nil"/>
          <w:between w:val="nil"/>
        </w:pBdr>
        <w:ind w:left="720"/>
        <w:jc w:val="both"/>
        <w:rPr>
          <w:rFonts w:ascii="Verdana" w:eastAsia="Verdana" w:hAnsi="Verdana" w:cs="Verdana"/>
          <w:sz w:val="22"/>
          <w:szCs w:val="22"/>
        </w:rPr>
      </w:pPr>
    </w:p>
    <w:p w14:paraId="57EDA79E" w14:textId="77777777" w:rsidR="00577D06" w:rsidRDefault="00EB64CD">
      <w:pPr>
        <w:numPr>
          <w:ilvl w:val="0"/>
          <w:numId w:val="1"/>
        </w:numPr>
        <w:pBdr>
          <w:top w:val="nil"/>
          <w:left w:val="nil"/>
          <w:bottom w:val="nil"/>
          <w:right w:val="nil"/>
          <w:between w:val="nil"/>
        </w:pBdr>
        <w:jc w:val="both"/>
        <w:rPr>
          <w:rFonts w:ascii="Verdana" w:eastAsia="Verdana" w:hAnsi="Verdana" w:cs="Verdana"/>
          <w:color w:val="000000"/>
          <w:sz w:val="22"/>
          <w:szCs w:val="22"/>
        </w:rPr>
      </w:pPr>
      <w:r>
        <w:rPr>
          <w:rFonts w:ascii="Verdana" w:eastAsia="Verdana" w:hAnsi="Verdana" w:cs="Verdana"/>
          <w:color w:val="000000"/>
          <w:sz w:val="22"/>
          <w:szCs w:val="22"/>
        </w:rPr>
        <w:t xml:space="preserve">Ampliar los días de desviación consecutivos durante las paradas programadas (con rampas de arranque y parada), a tres (3) días continuos. </w:t>
      </w:r>
    </w:p>
    <w:p w14:paraId="53444BF0" w14:textId="77777777" w:rsidR="00577D06" w:rsidRDefault="00577D06">
      <w:pPr>
        <w:pBdr>
          <w:top w:val="nil"/>
          <w:left w:val="nil"/>
          <w:bottom w:val="nil"/>
          <w:right w:val="nil"/>
          <w:between w:val="nil"/>
        </w:pBdr>
        <w:ind w:left="720"/>
        <w:jc w:val="both"/>
        <w:rPr>
          <w:rFonts w:ascii="Verdana" w:eastAsia="Verdana" w:hAnsi="Verdana" w:cs="Verdana"/>
          <w:sz w:val="22"/>
          <w:szCs w:val="22"/>
        </w:rPr>
      </w:pPr>
    </w:p>
    <w:p w14:paraId="7E221378" w14:textId="77777777" w:rsidR="00577D06" w:rsidRDefault="00EB64CD">
      <w:pPr>
        <w:numPr>
          <w:ilvl w:val="0"/>
          <w:numId w:val="1"/>
        </w:numPr>
        <w:pBdr>
          <w:top w:val="nil"/>
          <w:left w:val="nil"/>
          <w:bottom w:val="nil"/>
          <w:right w:val="nil"/>
          <w:between w:val="nil"/>
        </w:pBdr>
        <w:jc w:val="both"/>
        <w:rPr>
          <w:rFonts w:ascii="Verdana" w:eastAsia="Verdana" w:hAnsi="Verdana" w:cs="Verdana"/>
          <w:color w:val="000000"/>
          <w:sz w:val="22"/>
          <w:szCs w:val="22"/>
        </w:rPr>
      </w:pPr>
      <w:r>
        <w:rPr>
          <w:rFonts w:ascii="Verdana" w:eastAsia="Verdana" w:hAnsi="Verdana" w:cs="Verdana"/>
          <w:sz w:val="22"/>
          <w:szCs w:val="22"/>
        </w:rPr>
        <w:t>Participar</w:t>
      </w:r>
      <w:r>
        <w:rPr>
          <w:rFonts w:ascii="Verdana" w:eastAsia="Verdana" w:hAnsi="Verdana" w:cs="Verdana"/>
          <w:color w:val="000000"/>
          <w:sz w:val="22"/>
          <w:szCs w:val="22"/>
        </w:rPr>
        <w:t xml:space="preserve"> en una próxima reunión del CNO para </w:t>
      </w:r>
      <w:r>
        <w:rPr>
          <w:rFonts w:ascii="Verdana" w:eastAsia="Verdana" w:hAnsi="Verdana" w:cs="Verdana"/>
          <w:sz w:val="22"/>
          <w:szCs w:val="22"/>
        </w:rPr>
        <w:t>explicar detalladamente sus solicitudes</w:t>
      </w:r>
      <w:r>
        <w:rPr>
          <w:rFonts w:ascii="Verdana" w:eastAsia="Verdana" w:hAnsi="Verdana" w:cs="Verdana"/>
          <w:color w:val="000000"/>
          <w:sz w:val="22"/>
          <w:szCs w:val="22"/>
        </w:rPr>
        <w:t xml:space="preserve">, sin perjuicio de que el </w:t>
      </w:r>
      <w:r>
        <w:rPr>
          <w:rFonts w:ascii="Verdana" w:eastAsia="Verdana" w:hAnsi="Verdana" w:cs="Verdana"/>
          <w:sz w:val="22"/>
          <w:szCs w:val="22"/>
        </w:rPr>
        <w:t>Consejo</w:t>
      </w:r>
      <w:r>
        <w:rPr>
          <w:rFonts w:ascii="Verdana" w:eastAsia="Verdana" w:hAnsi="Verdana" w:cs="Verdana"/>
          <w:color w:val="000000"/>
          <w:sz w:val="22"/>
          <w:szCs w:val="22"/>
        </w:rPr>
        <w:t xml:space="preserve"> considere e incluya de manera permanente, la participación de los Usuarios No Regulados conectados al STN en su</w:t>
      </w:r>
      <w:r>
        <w:rPr>
          <w:rFonts w:ascii="Verdana" w:eastAsia="Verdana" w:hAnsi="Verdana" w:cs="Verdana"/>
          <w:sz w:val="22"/>
          <w:szCs w:val="22"/>
        </w:rPr>
        <w:t>s Subcomités y Comités</w:t>
      </w:r>
      <w:r>
        <w:rPr>
          <w:rFonts w:ascii="Verdana" w:eastAsia="Verdana" w:hAnsi="Verdana" w:cs="Verdana"/>
          <w:color w:val="000000"/>
          <w:sz w:val="22"/>
          <w:szCs w:val="22"/>
        </w:rPr>
        <w:t>.</w:t>
      </w:r>
    </w:p>
    <w:p w14:paraId="7C51E843" w14:textId="77777777" w:rsidR="00577D06" w:rsidRDefault="00577D06">
      <w:pPr>
        <w:pBdr>
          <w:top w:val="nil"/>
          <w:left w:val="nil"/>
          <w:bottom w:val="nil"/>
          <w:right w:val="nil"/>
          <w:between w:val="nil"/>
        </w:pBdr>
        <w:ind w:left="360" w:hanging="708"/>
        <w:jc w:val="both"/>
        <w:rPr>
          <w:rFonts w:ascii="Verdana" w:eastAsia="Verdana" w:hAnsi="Verdana" w:cs="Verdana"/>
          <w:color w:val="000000"/>
          <w:sz w:val="22"/>
          <w:szCs w:val="22"/>
        </w:rPr>
      </w:pPr>
    </w:p>
    <w:p w14:paraId="6D485457" w14:textId="1A5A2AA5" w:rsidR="00577D06" w:rsidRDefault="00EB64CD">
      <w:pPr>
        <w:jc w:val="both"/>
        <w:rPr>
          <w:rFonts w:ascii="Verdana" w:eastAsia="Verdana" w:hAnsi="Verdana" w:cs="Verdana"/>
          <w:b/>
          <w:sz w:val="22"/>
          <w:szCs w:val="22"/>
        </w:rPr>
      </w:pPr>
      <w:r>
        <w:rPr>
          <w:rFonts w:ascii="Verdana" w:eastAsia="Verdana" w:hAnsi="Verdana" w:cs="Verdana"/>
          <w:b/>
          <w:sz w:val="22"/>
          <w:szCs w:val="22"/>
          <w:u w:val="single"/>
        </w:rPr>
        <w:t>Agenda de la reunión CAC</w:t>
      </w:r>
      <w:r w:rsidR="00B54F54">
        <w:rPr>
          <w:rFonts w:ascii="Verdana" w:eastAsia="Verdana" w:hAnsi="Verdana" w:cs="Verdana"/>
          <w:b/>
          <w:sz w:val="22"/>
          <w:szCs w:val="22"/>
          <w:u w:val="single"/>
        </w:rPr>
        <w:t>S</w:t>
      </w:r>
      <w:r>
        <w:rPr>
          <w:rFonts w:ascii="Verdana" w:eastAsia="Verdana" w:hAnsi="Verdana" w:cs="Verdana"/>
          <w:b/>
          <w:sz w:val="22"/>
          <w:szCs w:val="22"/>
          <w:u w:val="single"/>
        </w:rPr>
        <w:t>SE 51</w:t>
      </w:r>
      <w:r>
        <w:rPr>
          <w:rFonts w:ascii="Verdana" w:eastAsia="Verdana" w:hAnsi="Verdana" w:cs="Verdana"/>
          <w:b/>
          <w:sz w:val="22"/>
          <w:szCs w:val="22"/>
        </w:rPr>
        <w:t>:</w:t>
      </w:r>
    </w:p>
    <w:p w14:paraId="0AD86D25" w14:textId="77777777" w:rsidR="00577D06" w:rsidRDefault="00577D06">
      <w:pPr>
        <w:pBdr>
          <w:top w:val="nil"/>
          <w:left w:val="nil"/>
          <w:bottom w:val="nil"/>
          <w:right w:val="nil"/>
          <w:between w:val="nil"/>
        </w:pBdr>
        <w:ind w:left="720" w:hanging="708"/>
        <w:jc w:val="both"/>
        <w:rPr>
          <w:rFonts w:ascii="Verdana" w:eastAsia="Verdana" w:hAnsi="Verdana" w:cs="Verdana"/>
          <w:sz w:val="22"/>
          <w:szCs w:val="22"/>
        </w:rPr>
      </w:pPr>
    </w:p>
    <w:p w14:paraId="2BDFC855" w14:textId="680B5908" w:rsidR="00577D06" w:rsidRDefault="00EB64CD">
      <w:pPr>
        <w:pBdr>
          <w:top w:val="nil"/>
          <w:left w:val="nil"/>
          <w:bottom w:val="nil"/>
          <w:right w:val="nil"/>
          <w:between w:val="nil"/>
        </w:pBdr>
        <w:ind w:left="720" w:hanging="708"/>
        <w:jc w:val="both"/>
        <w:rPr>
          <w:rFonts w:ascii="Verdana" w:eastAsia="Verdana" w:hAnsi="Verdana" w:cs="Verdana"/>
          <w:sz w:val="22"/>
          <w:szCs w:val="22"/>
        </w:rPr>
      </w:pPr>
      <w:r>
        <w:rPr>
          <w:rFonts w:ascii="Verdana" w:eastAsia="Verdana" w:hAnsi="Verdana" w:cs="Verdana"/>
          <w:sz w:val="22"/>
          <w:szCs w:val="22"/>
        </w:rPr>
        <w:t>El temario desarrollado en la última reunión del CACS</w:t>
      </w:r>
      <w:r w:rsidR="00331F95">
        <w:rPr>
          <w:rFonts w:ascii="Verdana" w:eastAsia="Verdana" w:hAnsi="Verdana" w:cs="Verdana"/>
          <w:sz w:val="22"/>
          <w:szCs w:val="22"/>
        </w:rPr>
        <w:t>S</w:t>
      </w:r>
      <w:r>
        <w:rPr>
          <w:rFonts w:ascii="Verdana" w:eastAsia="Verdana" w:hAnsi="Verdana" w:cs="Verdana"/>
          <w:sz w:val="22"/>
          <w:szCs w:val="22"/>
        </w:rPr>
        <w:t>E fue la siguiente:</w:t>
      </w:r>
    </w:p>
    <w:p w14:paraId="43153EF1" w14:textId="77777777" w:rsidR="00577D06" w:rsidRDefault="00577D06">
      <w:pPr>
        <w:pBdr>
          <w:top w:val="nil"/>
          <w:left w:val="nil"/>
          <w:bottom w:val="nil"/>
          <w:right w:val="nil"/>
          <w:between w:val="nil"/>
        </w:pBdr>
        <w:jc w:val="both"/>
        <w:rPr>
          <w:rFonts w:ascii="Verdana" w:eastAsia="Verdana" w:hAnsi="Verdana" w:cs="Verdana"/>
          <w:sz w:val="22"/>
          <w:szCs w:val="22"/>
        </w:rPr>
      </w:pPr>
    </w:p>
    <w:p w14:paraId="211C8A21" w14:textId="77777777" w:rsidR="00577D06" w:rsidRDefault="00EB64CD">
      <w:pPr>
        <w:numPr>
          <w:ilvl w:val="0"/>
          <w:numId w:val="2"/>
        </w:numPr>
        <w:pBdr>
          <w:top w:val="nil"/>
          <w:left w:val="nil"/>
          <w:bottom w:val="nil"/>
          <w:right w:val="nil"/>
          <w:between w:val="nil"/>
        </w:pBdr>
        <w:jc w:val="both"/>
        <w:rPr>
          <w:rFonts w:ascii="Verdana" w:eastAsia="Verdana" w:hAnsi="Verdana" w:cs="Verdana"/>
          <w:sz w:val="22"/>
          <w:szCs w:val="22"/>
        </w:rPr>
      </w:pPr>
      <w:r>
        <w:rPr>
          <w:rFonts w:ascii="Verdana" w:eastAsia="Verdana" w:hAnsi="Verdana" w:cs="Verdana"/>
          <w:sz w:val="22"/>
          <w:szCs w:val="22"/>
        </w:rPr>
        <w:t>Situación climática (IDEAM).</w:t>
      </w:r>
    </w:p>
    <w:p w14:paraId="5EEBE103" w14:textId="77777777" w:rsidR="00577D06" w:rsidRDefault="00577D06">
      <w:pPr>
        <w:pBdr>
          <w:top w:val="nil"/>
          <w:left w:val="nil"/>
          <w:bottom w:val="nil"/>
          <w:right w:val="nil"/>
          <w:between w:val="nil"/>
        </w:pBdr>
        <w:ind w:left="720"/>
        <w:jc w:val="both"/>
        <w:rPr>
          <w:rFonts w:ascii="Verdana" w:eastAsia="Verdana" w:hAnsi="Verdana" w:cs="Verdana"/>
          <w:sz w:val="22"/>
          <w:szCs w:val="22"/>
        </w:rPr>
      </w:pPr>
    </w:p>
    <w:p w14:paraId="1A2425CE" w14:textId="77777777" w:rsidR="00577D06" w:rsidRDefault="00EB64CD">
      <w:pPr>
        <w:numPr>
          <w:ilvl w:val="0"/>
          <w:numId w:val="2"/>
        </w:numPr>
        <w:pBdr>
          <w:top w:val="nil"/>
          <w:left w:val="nil"/>
          <w:bottom w:val="nil"/>
          <w:right w:val="nil"/>
          <w:between w:val="nil"/>
        </w:pBdr>
        <w:jc w:val="both"/>
        <w:rPr>
          <w:rFonts w:ascii="Verdana" w:eastAsia="Verdana" w:hAnsi="Verdana" w:cs="Verdana"/>
          <w:sz w:val="22"/>
          <w:szCs w:val="22"/>
        </w:rPr>
      </w:pPr>
      <w:r>
        <w:rPr>
          <w:rFonts w:ascii="Verdana" w:eastAsia="Verdana" w:hAnsi="Verdana" w:cs="Verdana"/>
          <w:sz w:val="22"/>
          <w:szCs w:val="22"/>
        </w:rPr>
        <w:t>S</w:t>
      </w:r>
      <w:r>
        <w:rPr>
          <w:rFonts w:ascii="Verdana" w:eastAsia="Verdana" w:hAnsi="Verdana" w:cs="Verdana"/>
          <w:color w:val="000000"/>
          <w:sz w:val="22"/>
          <w:szCs w:val="22"/>
        </w:rPr>
        <w:t xml:space="preserve">ituación energética actual y </w:t>
      </w:r>
      <w:r>
        <w:rPr>
          <w:rFonts w:ascii="Verdana" w:eastAsia="Verdana" w:hAnsi="Verdana" w:cs="Verdana"/>
          <w:sz w:val="22"/>
          <w:szCs w:val="22"/>
        </w:rPr>
        <w:t>panorama energético</w:t>
      </w:r>
      <w:r>
        <w:rPr>
          <w:rFonts w:ascii="Verdana" w:eastAsia="Verdana" w:hAnsi="Verdana" w:cs="Verdana"/>
          <w:color w:val="000000"/>
          <w:sz w:val="22"/>
          <w:szCs w:val="22"/>
        </w:rPr>
        <w:t xml:space="preserve"> de mediano plazo (CND).</w:t>
      </w:r>
    </w:p>
    <w:p w14:paraId="77CB1105" w14:textId="77777777" w:rsidR="00577D06" w:rsidRDefault="00577D06">
      <w:pPr>
        <w:pBdr>
          <w:top w:val="nil"/>
          <w:left w:val="nil"/>
          <w:bottom w:val="nil"/>
          <w:right w:val="nil"/>
          <w:between w:val="nil"/>
        </w:pBdr>
        <w:ind w:left="720"/>
        <w:jc w:val="both"/>
        <w:rPr>
          <w:rFonts w:ascii="Verdana" w:eastAsia="Verdana" w:hAnsi="Verdana" w:cs="Verdana"/>
          <w:sz w:val="22"/>
          <w:szCs w:val="22"/>
        </w:rPr>
      </w:pPr>
    </w:p>
    <w:p w14:paraId="4458EE11" w14:textId="77777777" w:rsidR="00577D06" w:rsidRDefault="00EB64CD">
      <w:pPr>
        <w:numPr>
          <w:ilvl w:val="0"/>
          <w:numId w:val="2"/>
        </w:numPr>
        <w:pBdr>
          <w:top w:val="nil"/>
          <w:left w:val="nil"/>
          <w:bottom w:val="nil"/>
          <w:right w:val="nil"/>
          <w:between w:val="nil"/>
        </w:pBdr>
        <w:jc w:val="both"/>
        <w:rPr>
          <w:rFonts w:ascii="Verdana" w:eastAsia="Verdana" w:hAnsi="Verdana" w:cs="Verdana"/>
          <w:sz w:val="22"/>
          <w:szCs w:val="22"/>
        </w:rPr>
      </w:pPr>
      <w:r>
        <w:rPr>
          <w:rFonts w:ascii="Verdana" w:eastAsia="Verdana" w:hAnsi="Verdana" w:cs="Verdana"/>
          <w:sz w:val="22"/>
          <w:szCs w:val="22"/>
        </w:rPr>
        <w:t>A</w:t>
      </w:r>
      <w:r>
        <w:rPr>
          <w:rFonts w:ascii="Verdana" w:eastAsia="Verdana" w:hAnsi="Verdana" w:cs="Verdana"/>
          <w:color w:val="000000"/>
          <w:sz w:val="22"/>
          <w:szCs w:val="22"/>
        </w:rPr>
        <w:t>ctividades desarrollad</w:t>
      </w:r>
      <w:r>
        <w:rPr>
          <w:rFonts w:ascii="Verdana" w:eastAsia="Verdana" w:hAnsi="Verdana" w:cs="Verdana"/>
          <w:sz w:val="22"/>
          <w:szCs w:val="22"/>
        </w:rPr>
        <w:t xml:space="preserve">as por el Consejo </w:t>
      </w:r>
      <w:r>
        <w:rPr>
          <w:rFonts w:ascii="Verdana" w:eastAsia="Verdana" w:hAnsi="Verdana" w:cs="Verdana"/>
          <w:color w:val="000000"/>
          <w:sz w:val="22"/>
          <w:szCs w:val="22"/>
        </w:rPr>
        <w:t xml:space="preserve">durante la emergencia actual producto del COVID </w:t>
      </w:r>
      <w:r>
        <w:rPr>
          <w:rFonts w:ascii="Verdana" w:eastAsia="Verdana" w:hAnsi="Verdana" w:cs="Verdana"/>
          <w:sz w:val="22"/>
          <w:szCs w:val="22"/>
        </w:rPr>
        <w:t>19</w:t>
      </w:r>
      <w:r>
        <w:rPr>
          <w:rFonts w:ascii="Verdana" w:eastAsia="Verdana" w:hAnsi="Verdana" w:cs="Verdana"/>
          <w:color w:val="000000"/>
          <w:sz w:val="22"/>
          <w:szCs w:val="22"/>
        </w:rPr>
        <w:t xml:space="preserve">, los </w:t>
      </w:r>
      <w:r>
        <w:rPr>
          <w:rFonts w:ascii="Verdana" w:eastAsia="Verdana" w:hAnsi="Verdana" w:cs="Verdana"/>
          <w:sz w:val="22"/>
          <w:szCs w:val="22"/>
        </w:rPr>
        <w:t>A</w:t>
      </w:r>
      <w:r>
        <w:rPr>
          <w:rFonts w:ascii="Verdana" w:eastAsia="Verdana" w:hAnsi="Verdana" w:cs="Verdana"/>
          <w:color w:val="000000"/>
          <w:sz w:val="22"/>
          <w:szCs w:val="22"/>
        </w:rPr>
        <w:t xml:space="preserve">cuerdos aprobados y al análisis de la resolución CREG 80 </w:t>
      </w:r>
      <w:r>
        <w:rPr>
          <w:rFonts w:ascii="Verdana" w:eastAsia="Verdana" w:hAnsi="Verdana" w:cs="Verdana"/>
          <w:sz w:val="22"/>
          <w:szCs w:val="22"/>
        </w:rPr>
        <w:t>en consulta</w:t>
      </w:r>
      <w:r>
        <w:rPr>
          <w:rFonts w:ascii="Verdana" w:eastAsia="Verdana" w:hAnsi="Verdana" w:cs="Verdana"/>
          <w:color w:val="000000"/>
          <w:sz w:val="22"/>
          <w:szCs w:val="22"/>
        </w:rPr>
        <w:t xml:space="preserve"> </w:t>
      </w:r>
      <w:r>
        <w:rPr>
          <w:rFonts w:ascii="Verdana" w:eastAsia="Verdana" w:hAnsi="Verdana" w:cs="Verdana"/>
          <w:sz w:val="22"/>
          <w:szCs w:val="22"/>
        </w:rPr>
        <w:t>como fundamento al</w:t>
      </w:r>
      <w:r>
        <w:rPr>
          <w:rFonts w:ascii="Verdana" w:eastAsia="Verdana" w:hAnsi="Verdana" w:cs="Verdana"/>
          <w:color w:val="000000"/>
          <w:sz w:val="22"/>
          <w:szCs w:val="22"/>
        </w:rPr>
        <w:t xml:space="preserve"> concepto solicitado (CNO).  </w:t>
      </w:r>
    </w:p>
    <w:sectPr w:rsidR="00577D06">
      <w:headerReference w:type="default" r:id="rId7"/>
      <w:footerReference w:type="default" r:id="rId8"/>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8CADFF" w14:textId="77777777" w:rsidR="002176C8" w:rsidRDefault="002176C8">
      <w:r>
        <w:separator/>
      </w:r>
    </w:p>
  </w:endnote>
  <w:endnote w:type="continuationSeparator" w:id="0">
    <w:p w14:paraId="63EF076A" w14:textId="77777777" w:rsidR="002176C8" w:rsidRDefault="00217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E2BDD" w14:textId="77777777" w:rsidR="00577D06" w:rsidRDefault="00EB64CD">
    <w:pPr>
      <w:pBdr>
        <w:top w:val="nil"/>
        <w:left w:val="nil"/>
        <w:bottom w:val="nil"/>
        <w:right w:val="nil"/>
        <w:between w:val="nil"/>
      </w:pBdr>
      <w:tabs>
        <w:tab w:val="center" w:pos="4252"/>
        <w:tab w:val="right" w:pos="8504"/>
      </w:tabs>
      <w:rPr>
        <w:rFonts w:ascii="Verdana" w:eastAsia="Verdana" w:hAnsi="Verdana" w:cs="Verdana"/>
        <w:i/>
        <w:color w:val="000000"/>
        <w:sz w:val="16"/>
        <w:szCs w:val="16"/>
      </w:rPr>
    </w:pPr>
    <w:r>
      <w:rPr>
        <w:rFonts w:ascii="Verdana" w:eastAsia="Verdana" w:hAnsi="Verdana" w:cs="Verdana"/>
        <w:i/>
        <w:color w:val="000000"/>
        <w:sz w:val="16"/>
        <w:szCs w:val="16"/>
      </w:rPr>
      <w:t>Informe CNO 591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75B95" w14:textId="77777777" w:rsidR="002176C8" w:rsidRDefault="002176C8">
      <w:r>
        <w:separator/>
      </w:r>
    </w:p>
  </w:footnote>
  <w:footnote w:type="continuationSeparator" w:id="0">
    <w:p w14:paraId="0C376F9A" w14:textId="77777777" w:rsidR="002176C8" w:rsidRDefault="00217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E1C91" w14:textId="77777777" w:rsidR="00577D06" w:rsidRDefault="00577D06">
    <w:pPr>
      <w:pBdr>
        <w:top w:val="nil"/>
        <w:left w:val="nil"/>
        <w:bottom w:val="nil"/>
        <w:right w:val="nil"/>
        <w:between w:val="nil"/>
      </w:pBdr>
      <w:tabs>
        <w:tab w:val="center" w:pos="4419"/>
        <w:tab w:val="left" w:pos="7180"/>
      </w:tabs>
      <w:rPr>
        <w:b/>
        <w:color w:val="000000"/>
        <w:sz w:val="40"/>
        <w:szCs w:val="40"/>
      </w:rPr>
    </w:pPr>
  </w:p>
  <w:p w14:paraId="64BAEB72" w14:textId="77777777" w:rsidR="00577D06" w:rsidRDefault="00EB64CD">
    <w:pPr>
      <w:pBdr>
        <w:top w:val="nil"/>
        <w:left w:val="nil"/>
        <w:bottom w:val="nil"/>
        <w:right w:val="nil"/>
        <w:between w:val="nil"/>
      </w:pBdr>
      <w:tabs>
        <w:tab w:val="center" w:pos="4419"/>
        <w:tab w:val="left" w:pos="7180"/>
      </w:tabs>
      <w:rPr>
        <w:b/>
        <w:color w:val="000000"/>
        <w:sz w:val="40"/>
        <w:szCs w:val="40"/>
      </w:rPr>
    </w:pPr>
    <w:r>
      <w:rPr>
        <w:b/>
        <w:color w:val="000000"/>
        <w:sz w:val="40"/>
        <w:szCs w:val="40"/>
      </w:rPr>
      <w:tab/>
    </w:r>
    <w:r>
      <w:rPr>
        <w:b/>
        <w:color w:val="000000"/>
        <w:sz w:val="40"/>
        <w:szCs w:val="40"/>
      </w:rPr>
      <w:tab/>
    </w:r>
    <w:r>
      <w:rPr>
        <w:noProof/>
      </w:rPr>
      <w:drawing>
        <wp:anchor distT="0" distB="0" distL="114300" distR="114300" simplePos="0" relativeHeight="251658240" behindDoc="0" locked="0" layoutInCell="1" hidden="0" allowOverlap="1" wp14:anchorId="0AC9B488" wp14:editId="771F8DC9">
          <wp:simplePos x="0" y="0"/>
          <wp:positionH relativeFrom="column">
            <wp:posOffset>2011679</wp:posOffset>
          </wp:positionH>
          <wp:positionV relativeFrom="paragraph">
            <wp:posOffset>-445133</wp:posOffset>
          </wp:positionV>
          <wp:extent cx="1827530" cy="695325"/>
          <wp:effectExtent l="0" t="0" r="0" b="0"/>
          <wp:wrapSquare wrapText="bothSides" distT="0" distB="0" distL="114300" distR="114300"/>
          <wp:docPr id="1" name="image1.png" descr="cid:image002.jpg@01D3D593.164EAD00"/>
          <wp:cNvGraphicFramePr/>
          <a:graphic xmlns:a="http://schemas.openxmlformats.org/drawingml/2006/main">
            <a:graphicData uri="http://schemas.openxmlformats.org/drawingml/2006/picture">
              <pic:pic xmlns:pic="http://schemas.openxmlformats.org/drawingml/2006/picture">
                <pic:nvPicPr>
                  <pic:cNvPr id="0" name="image1.png" descr="cid:image002.jpg@01D3D593.164EAD00"/>
                  <pic:cNvPicPr preferRelativeResize="0"/>
                </pic:nvPicPr>
                <pic:blipFill>
                  <a:blip r:embed="rId1"/>
                  <a:srcRect/>
                  <a:stretch>
                    <a:fillRect/>
                  </a:stretch>
                </pic:blipFill>
                <pic:spPr>
                  <a:xfrm>
                    <a:off x="0" y="0"/>
                    <a:ext cx="1827530"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E57D0"/>
    <w:multiLevelType w:val="multilevel"/>
    <w:tmpl w:val="F8AC7EE8"/>
    <w:lvl w:ilvl="0">
      <w:start w:val="1"/>
      <w:numFmt w:val="decimal"/>
      <w:lvlText w:val="%1."/>
      <w:lvlJc w:val="left"/>
      <w:pPr>
        <w:ind w:left="360" w:hanging="360"/>
      </w:pPr>
      <w:rPr>
        <w:rFonts w:ascii="Verdana" w:eastAsia="Verdana" w:hAnsi="Verdana" w:cs="Verdana"/>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CCD5F64"/>
    <w:multiLevelType w:val="multilevel"/>
    <w:tmpl w:val="9C46D5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C866B31"/>
    <w:multiLevelType w:val="multilevel"/>
    <w:tmpl w:val="2520BE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D06"/>
    <w:rsid w:val="002176C8"/>
    <w:rsid w:val="00331F95"/>
    <w:rsid w:val="003963BA"/>
    <w:rsid w:val="00577D06"/>
    <w:rsid w:val="00B54F54"/>
    <w:rsid w:val="00EB64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4B7E3"/>
  <w15:docId w15:val="{395FB846-1690-43E1-AC3B-9D373D7AC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jc w:val="both"/>
      <w:outlineLvl w:val="0"/>
    </w:pPr>
  </w:style>
  <w:style w:type="paragraph" w:styleId="Ttulo2">
    <w:name w:val="heading 2"/>
    <w:basedOn w:val="Normal"/>
    <w:next w:val="Normal"/>
    <w:uiPriority w:val="9"/>
    <w:semiHidden/>
    <w:unhideWhenUsed/>
    <w:qFormat/>
    <w:pPr>
      <w:keepNext/>
      <w:keepLines/>
      <w:spacing w:before="40"/>
      <w:outlineLvl w:val="1"/>
    </w:pPr>
    <w:rPr>
      <w:rFonts w:ascii="Cambria" w:eastAsia="Cambria" w:hAnsi="Cambria" w:cs="Cambria"/>
      <w:color w:val="366091"/>
      <w:sz w:val="26"/>
      <w:szCs w:val="26"/>
    </w:rPr>
  </w:style>
  <w:style w:type="paragraph" w:styleId="Ttulo3">
    <w:name w:val="heading 3"/>
    <w:basedOn w:val="Normal"/>
    <w:next w:val="Normal"/>
    <w:uiPriority w:val="9"/>
    <w:semiHidden/>
    <w:unhideWhenUsed/>
    <w:qFormat/>
    <w:pPr>
      <w:keepNext/>
      <w:keepLines/>
      <w:spacing w:before="40"/>
      <w:outlineLvl w:val="2"/>
    </w:pPr>
    <w:rPr>
      <w:rFonts w:ascii="Cambria" w:eastAsia="Cambria" w:hAnsi="Cambria" w:cs="Cambria"/>
      <w:color w:val="243F61"/>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spacing w:before="240" w:after="60"/>
      <w:outlineLvl w:val="4"/>
    </w:pPr>
    <w:rPr>
      <w:b/>
      <w:i/>
      <w:sz w:val="26"/>
      <w:szCs w:val="26"/>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Pr>
      <w:rFonts w:ascii="Cambria" w:eastAsia="Cambria" w:hAnsi="Cambria" w:cs="Cambria"/>
      <w:sz w:val="56"/>
      <w:szCs w:val="5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1120</Words>
  <Characters>6164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Adriana Perez</cp:lastModifiedBy>
  <cp:revision>2</cp:revision>
  <dcterms:created xsi:type="dcterms:W3CDTF">2020-05-07T12:53:00Z</dcterms:created>
  <dcterms:modified xsi:type="dcterms:W3CDTF">2020-05-07T12:53:00Z</dcterms:modified>
</cp:coreProperties>
</file>