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202C" w14:textId="2EEFB951"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INFORME CNO 5</w:t>
      </w:r>
      <w:r w:rsidR="005F56D1" w:rsidRPr="00D3052A">
        <w:rPr>
          <w:rFonts w:ascii="Verdana" w:eastAsia="Verdana" w:hAnsi="Verdana" w:cs="Verdana"/>
          <w:b/>
          <w:sz w:val="32"/>
          <w:szCs w:val="32"/>
        </w:rPr>
        <w:t>8</w:t>
      </w:r>
      <w:r w:rsidR="0044159B">
        <w:rPr>
          <w:rFonts w:ascii="Verdana" w:eastAsia="Verdana" w:hAnsi="Verdana" w:cs="Verdana"/>
          <w:b/>
          <w:sz w:val="32"/>
          <w:szCs w:val="32"/>
        </w:rPr>
        <w:t>5</w:t>
      </w:r>
    </w:p>
    <w:p w14:paraId="2938B4BE" w14:textId="77777777" w:rsidR="0078364C" w:rsidRPr="00D3052A" w:rsidRDefault="0078364C" w:rsidP="00556094">
      <w:pPr>
        <w:jc w:val="both"/>
        <w:rPr>
          <w:rFonts w:ascii="Verdana" w:eastAsia="Verdana" w:hAnsi="Verdana" w:cs="Verdana"/>
          <w:sz w:val="22"/>
          <w:szCs w:val="22"/>
        </w:rPr>
      </w:pPr>
    </w:p>
    <w:p w14:paraId="6E0C8BBC" w14:textId="389D3A6B" w:rsidR="00112C06" w:rsidRPr="00D3052A" w:rsidRDefault="00112C06">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44159B">
        <w:rPr>
          <w:rFonts w:ascii="Verdana" w:eastAsia="Verdana" w:hAnsi="Verdana" w:cs="Verdana"/>
          <w:sz w:val="22"/>
          <w:szCs w:val="22"/>
        </w:rPr>
        <w:t>marzo 5</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1E7EB3B9" w14:textId="77777777" w:rsidR="0078364C" w:rsidRPr="00D3052A" w:rsidRDefault="0078364C">
      <w:pPr>
        <w:jc w:val="both"/>
        <w:rPr>
          <w:rFonts w:ascii="Verdana" w:eastAsia="Verdana" w:hAnsi="Verdana" w:cs="Verdana"/>
          <w:b/>
          <w:sz w:val="22"/>
          <w:szCs w:val="22"/>
          <w:u w:val="single"/>
        </w:rPr>
      </w:pPr>
    </w:p>
    <w:p w14:paraId="7183085F" w14:textId="7F7AA0FB" w:rsidR="00112C06" w:rsidRPr="00D3052A" w:rsidRDefault="00112C06">
      <w:pPr>
        <w:jc w:val="both"/>
        <w:rPr>
          <w:rFonts w:ascii="Verdana" w:eastAsia="Verdana" w:hAnsi="Verdana" w:cs="Verdana"/>
          <w:b/>
          <w:sz w:val="22"/>
          <w:szCs w:val="22"/>
          <w:u w:val="single"/>
        </w:rPr>
      </w:pPr>
      <w:r w:rsidRPr="00D3052A">
        <w:rPr>
          <w:rFonts w:ascii="Verdana" w:eastAsia="Verdana" w:hAnsi="Verdana" w:cs="Verdana"/>
          <w:b/>
          <w:sz w:val="22"/>
          <w:szCs w:val="22"/>
          <w:u w:val="single"/>
        </w:rPr>
        <w:t>ASPECTOS ADMINISTRATIVOS:</w:t>
      </w:r>
    </w:p>
    <w:p w14:paraId="740BC901" w14:textId="77777777" w:rsidR="00282C44" w:rsidRPr="00D3052A" w:rsidRDefault="00282C44">
      <w:pPr>
        <w:autoSpaceDE w:val="0"/>
        <w:autoSpaceDN w:val="0"/>
        <w:adjustRightInd w:val="0"/>
        <w:jc w:val="both"/>
        <w:rPr>
          <w:rFonts w:ascii="Verdana" w:eastAsia="Verdana" w:hAnsi="Verdana" w:cs="Verdana"/>
          <w:sz w:val="22"/>
          <w:szCs w:val="22"/>
        </w:rPr>
      </w:pPr>
    </w:p>
    <w:p w14:paraId="457FA286" w14:textId="187BDB4C" w:rsidR="00D3052A" w:rsidRDefault="00D3052A" w:rsidP="00E94436">
      <w:pPr>
        <w:pStyle w:val="Prrafodelista"/>
        <w:autoSpaceDE w:val="0"/>
        <w:autoSpaceDN w:val="0"/>
        <w:adjustRightInd w:val="0"/>
        <w:ind w:left="360"/>
        <w:jc w:val="both"/>
        <w:rPr>
          <w:rFonts w:ascii="Verdana" w:eastAsia="Verdana" w:hAnsi="Verdana" w:cs="Verdana"/>
          <w:sz w:val="22"/>
          <w:szCs w:val="22"/>
        </w:rPr>
      </w:pPr>
    </w:p>
    <w:p w14:paraId="1E23B4EA" w14:textId="05C4DCB5" w:rsidR="00AC29A3" w:rsidRPr="0044159B" w:rsidRDefault="0039784B" w:rsidP="00C8625B">
      <w:pPr>
        <w:pStyle w:val="Prrafodelista"/>
        <w:numPr>
          <w:ilvl w:val="0"/>
          <w:numId w:val="35"/>
        </w:numPr>
        <w:autoSpaceDE w:val="0"/>
        <w:autoSpaceDN w:val="0"/>
        <w:adjustRightInd w:val="0"/>
        <w:jc w:val="both"/>
        <w:rPr>
          <w:rFonts w:ascii="Verdana" w:eastAsia="Verdana" w:hAnsi="Verdana" w:cs="Verdana"/>
          <w:sz w:val="22"/>
          <w:szCs w:val="22"/>
        </w:rPr>
      </w:pPr>
      <w:r>
        <w:rPr>
          <w:rFonts w:ascii="Verdana" w:eastAsia="Verdana" w:hAnsi="Verdana" w:cs="Verdana"/>
          <w:sz w:val="22"/>
          <w:szCs w:val="22"/>
        </w:rPr>
        <w:t>El Consejo</w:t>
      </w:r>
      <w:r w:rsidR="001F2A0A">
        <w:rPr>
          <w:rFonts w:ascii="Verdana" w:eastAsia="Verdana" w:hAnsi="Verdana" w:cs="Verdana"/>
          <w:sz w:val="22"/>
          <w:szCs w:val="22"/>
        </w:rPr>
        <w:t xml:space="preserve"> informó a ASOCODIS la situación motivada por la </w:t>
      </w:r>
      <w:r w:rsidR="006810C0">
        <w:rPr>
          <w:rFonts w:ascii="Verdana" w:eastAsia="Verdana" w:hAnsi="Verdana" w:cs="Verdana"/>
          <w:sz w:val="22"/>
          <w:szCs w:val="22"/>
        </w:rPr>
        <w:t xml:space="preserve">decisión </w:t>
      </w:r>
      <w:r w:rsidR="001F2A0A">
        <w:rPr>
          <w:rFonts w:ascii="Verdana" w:eastAsia="Verdana" w:hAnsi="Verdana" w:cs="Verdana"/>
          <w:sz w:val="22"/>
          <w:szCs w:val="22"/>
        </w:rPr>
        <w:t xml:space="preserve">de DISPAC </w:t>
      </w:r>
      <w:r w:rsidR="006810C0">
        <w:rPr>
          <w:rFonts w:ascii="Verdana" w:eastAsia="Verdana" w:hAnsi="Verdana" w:cs="Verdana"/>
          <w:sz w:val="22"/>
          <w:szCs w:val="22"/>
        </w:rPr>
        <w:t xml:space="preserve">de no conformar </w:t>
      </w:r>
      <w:r w:rsidR="001F2A0A">
        <w:rPr>
          <w:rFonts w:ascii="Verdana" w:eastAsia="Verdana" w:hAnsi="Verdana" w:cs="Verdana"/>
          <w:sz w:val="22"/>
          <w:szCs w:val="22"/>
        </w:rPr>
        <w:t xml:space="preserve">el CNO como representante de los </w:t>
      </w:r>
      <w:r w:rsidR="006810C0">
        <w:rPr>
          <w:rFonts w:ascii="Verdana" w:eastAsia="Verdana" w:hAnsi="Verdana" w:cs="Verdana"/>
          <w:sz w:val="22"/>
          <w:szCs w:val="22"/>
        </w:rPr>
        <w:t>O</w:t>
      </w:r>
      <w:r w:rsidR="001F2A0A">
        <w:rPr>
          <w:rFonts w:ascii="Verdana" w:eastAsia="Verdana" w:hAnsi="Verdana" w:cs="Verdana"/>
          <w:sz w:val="22"/>
          <w:szCs w:val="22"/>
        </w:rPr>
        <w:t>peradores de Red</w:t>
      </w:r>
      <w:r w:rsidR="006810C0">
        <w:rPr>
          <w:rFonts w:ascii="Verdana" w:eastAsia="Verdana" w:hAnsi="Verdana" w:cs="Verdana"/>
          <w:sz w:val="22"/>
          <w:szCs w:val="22"/>
        </w:rPr>
        <w:t>-OR</w:t>
      </w:r>
      <w:r w:rsidR="001F2A0A">
        <w:rPr>
          <w:rFonts w:ascii="Verdana" w:eastAsia="Verdana" w:hAnsi="Verdana" w:cs="Verdana"/>
          <w:sz w:val="22"/>
          <w:szCs w:val="22"/>
        </w:rPr>
        <w:t xml:space="preserve">. </w:t>
      </w:r>
      <w:r w:rsidR="00AC29A3" w:rsidRPr="0044159B">
        <w:rPr>
          <w:rFonts w:ascii="Verdana" w:eastAsia="Verdana" w:hAnsi="Verdana" w:cs="Verdana"/>
          <w:sz w:val="22"/>
          <w:szCs w:val="22"/>
        </w:rPr>
        <w:t xml:space="preserve">Por lo anterior, </w:t>
      </w:r>
      <w:r w:rsidR="00D3052A" w:rsidRPr="0044159B">
        <w:rPr>
          <w:rFonts w:ascii="Verdana" w:eastAsia="Verdana" w:hAnsi="Verdana" w:cs="Verdana"/>
          <w:sz w:val="22"/>
          <w:szCs w:val="22"/>
        </w:rPr>
        <w:t xml:space="preserve">se convocará a una nueva elección </w:t>
      </w:r>
      <w:r w:rsidR="006810C0">
        <w:rPr>
          <w:rFonts w:ascii="Verdana" w:eastAsia="Verdana" w:hAnsi="Verdana" w:cs="Verdana"/>
          <w:sz w:val="22"/>
          <w:szCs w:val="22"/>
        </w:rPr>
        <w:t xml:space="preserve">para seleccionar </w:t>
      </w:r>
      <w:r w:rsidR="00D3052A" w:rsidRPr="0044159B">
        <w:rPr>
          <w:rFonts w:ascii="Verdana" w:eastAsia="Verdana" w:hAnsi="Verdana" w:cs="Verdana"/>
          <w:sz w:val="22"/>
          <w:szCs w:val="22"/>
        </w:rPr>
        <w:t xml:space="preserve">el miembro por </w:t>
      </w:r>
      <w:r w:rsidR="00AC29A3" w:rsidRPr="0044159B">
        <w:rPr>
          <w:rFonts w:ascii="Verdana" w:eastAsia="Verdana" w:hAnsi="Verdana" w:cs="Verdana"/>
          <w:sz w:val="22"/>
          <w:szCs w:val="22"/>
        </w:rPr>
        <w:t xml:space="preserve">elección </w:t>
      </w:r>
      <w:r w:rsidR="00D3052A" w:rsidRPr="0044159B">
        <w:rPr>
          <w:rFonts w:ascii="Verdana" w:eastAsia="Verdana" w:hAnsi="Verdana" w:cs="Verdana"/>
          <w:sz w:val="22"/>
          <w:szCs w:val="22"/>
        </w:rPr>
        <w:t xml:space="preserve">que represente </w:t>
      </w:r>
      <w:r w:rsidR="00AC29A3" w:rsidRPr="0044159B">
        <w:rPr>
          <w:rFonts w:ascii="Verdana" w:eastAsia="Verdana" w:hAnsi="Verdana" w:cs="Verdana"/>
          <w:sz w:val="22"/>
          <w:szCs w:val="22"/>
        </w:rPr>
        <w:t>a los distribuidor</w:t>
      </w:r>
      <w:r w:rsidR="00660087">
        <w:rPr>
          <w:rFonts w:ascii="Verdana" w:eastAsia="Verdana" w:hAnsi="Verdana" w:cs="Verdana"/>
          <w:sz w:val="22"/>
          <w:szCs w:val="22"/>
        </w:rPr>
        <w:t>es</w:t>
      </w:r>
      <w:r w:rsidR="00AC29A3" w:rsidRPr="0044159B">
        <w:rPr>
          <w:rFonts w:ascii="Verdana" w:eastAsia="Verdana" w:hAnsi="Verdana" w:cs="Verdana"/>
          <w:sz w:val="22"/>
          <w:szCs w:val="22"/>
        </w:rPr>
        <w:t xml:space="preserve"> que no realicen prioritariamente </w:t>
      </w:r>
      <w:r w:rsidR="006810C0">
        <w:rPr>
          <w:rFonts w:ascii="Verdana" w:eastAsia="Verdana" w:hAnsi="Verdana" w:cs="Verdana"/>
          <w:sz w:val="22"/>
          <w:szCs w:val="22"/>
        </w:rPr>
        <w:t xml:space="preserve">la </w:t>
      </w:r>
      <w:r w:rsidR="00AC29A3" w:rsidRPr="0044159B">
        <w:rPr>
          <w:rFonts w:ascii="Verdana" w:eastAsia="Verdana" w:hAnsi="Verdana" w:cs="Verdana"/>
          <w:sz w:val="22"/>
          <w:szCs w:val="22"/>
        </w:rPr>
        <w:t>actividad de generación</w:t>
      </w:r>
      <w:r w:rsidR="006810C0">
        <w:rPr>
          <w:rFonts w:ascii="Verdana" w:eastAsia="Verdana" w:hAnsi="Verdana" w:cs="Verdana"/>
          <w:sz w:val="22"/>
          <w:szCs w:val="22"/>
        </w:rPr>
        <w:t>.</w:t>
      </w:r>
      <w:r w:rsidR="001F2A0A">
        <w:rPr>
          <w:rFonts w:ascii="Verdana" w:eastAsia="Verdana" w:hAnsi="Verdana" w:cs="Verdana"/>
          <w:sz w:val="22"/>
          <w:szCs w:val="22"/>
        </w:rPr>
        <w:t xml:space="preserve"> </w:t>
      </w:r>
      <w:r w:rsidR="006810C0">
        <w:rPr>
          <w:rFonts w:ascii="Verdana" w:eastAsia="Verdana" w:hAnsi="Verdana" w:cs="Verdana"/>
          <w:sz w:val="22"/>
          <w:szCs w:val="22"/>
        </w:rPr>
        <w:t>Se espera la respuesta de este gremio para llevar a cabo dicha elección</w:t>
      </w:r>
      <w:r w:rsidR="001F2A0A">
        <w:rPr>
          <w:rFonts w:ascii="Verdana" w:eastAsia="Verdana" w:hAnsi="Verdana" w:cs="Verdana"/>
          <w:sz w:val="22"/>
          <w:szCs w:val="22"/>
        </w:rPr>
        <w:t>.</w:t>
      </w:r>
    </w:p>
    <w:p w14:paraId="140A1F88" w14:textId="0AA3B17D" w:rsidR="00D9298D" w:rsidRPr="00D9298D" w:rsidRDefault="00AC29A3" w:rsidP="007A40B0">
      <w:pPr>
        <w:jc w:val="both"/>
        <w:rPr>
          <w:rFonts w:ascii="Verdana" w:eastAsia="Verdana" w:hAnsi="Verdana" w:cs="Verdana"/>
          <w:bCs/>
          <w:sz w:val="22"/>
          <w:szCs w:val="22"/>
          <w:u w:val="single"/>
        </w:rPr>
      </w:pPr>
      <w:r w:rsidRPr="0044159B">
        <w:rPr>
          <w:rFonts w:ascii="Verdana" w:eastAsia="Verdana" w:hAnsi="Verdana" w:cs="Verdana"/>
          <w:sz w:val="22"/>
          <w:szCs w:val="22"/>
        </w:rPr>
        <w:t xml:space="preserve"> </w:t>
      </w:r>
    </w:p>
    <w:p w14:paraId="43EE1A47" w14:textId="7C608F21" w:rsidR="00112C06" w:rsidRPr="00D3052A" w:rsidRDefault="00112C06">
      <w:pPr>
        <w:jc w:val="both"/>
        <w:rPr>
          <w:rFonts w:ascii="Verdana" w:eastAsia="Verdana" w:hAnsi="Verdana" w:cs="Verdana"/>
          <w:b/>
          <w:sz w:val="22"/>
          <w:szCs w:val="22"/>
          <w:u w:val="single"/>
        </w:rPr>
      </w:pPr>
      <w:r w:rsidRPr="00D3052A">
        <w:rPr>
          <w:rFonts w:ascii="Verdana" w:eastAsia="Verdana" w:hAnsi="Verdana" w:cs="Verdana"/>
          <w:b/>
          <w:sz w:val="22"/>
          <w:szCs w:val="22"/>
          <w:u w:val="single"/>
        </w:rPr>
        <w:t>ASPECTOS TÉCNICOS:</w:t>
      </w:r>
    </w:p>
    <w:p w14:paraId="662C38BD" w14:textId="77777777" w:rsidR="005F56D1" w:rsidRPr="00D3052A" w:rsidRDefault="005F56D1" w:rsidP="007A40B0">
      <w:pPr>
        <w:jc w:val="both"/>
        <w:rPr>
          <w:rFonts w:ascii="Verdana" w:hAnsi="Verdana"/>
          <w:bCs/>
          <w:sz w:val="22"/>
          <w:szCs w:val="22"/>
        </w:rPr>
      </w:pPr>
    </w:p>
    <w:p w14:paraId="4474CFE9" w14:textId="13185739" w:rsidR="0073501C" w:rsidRDefault="006810C0" w:rsidP="00612225">
      <w:pPr>
        <w:pStyle w:val="Prrafodelista"/>
        <w:numPr>
          <w:ilvl w:val="0"/>
          <w:numId w:val="35"/>
        </w:numPr>
        <w:jc w:val="both"/>
        <w:rPr>
          <w:rFonts w:ascii="Verdana" w:hAnsi="Verdana"/>
          <w:bCs/>
          <w:sz w:val="22"/>
          <w:szCs w:val="22"/>
        </w:rPr>
      </w:pPr>
      <w:r>
        <w:rPr>
          <w:rFonts w:ascii="Verdana" w:hAnsi="Verdana"/>
          <w:bCs/>
          <w:sz w:val="22"/>
          <w:szCs w:val="22"/>
        </w:rPr>
        <w:t xml:space="preserve">El CND presentó en el Subcomité de Análisis y Planeación Eléctrica-SAPE y </w:t>
      </w:r>
      <w:r w:rsidR="00F822B2">
        <w:rPr>
          <w:rFonts w:ascii="Verdana" w:hAnsi="Verdana"/>
          <w:bCs/>
          <w:sz w:val="22"/>
          <w:szCs w:val="22"/>
        </w:rPr>
        <w:t xml:space="preserve">en </w:t>
      </w:r>
      <w:r>
        <w:rPr>
          <w:rFonts w:ascii="Verdana" w:hAnsi="Verdana"/>
          <w:bCs/>
          <w:sz w:val="22"/>
          <w:szCs w:val="22"/>
        </w:rPr>
        <w:t xml:space="preserve">el Comité de Operación-CO, los resultados de los análisis eléctricos </w:t>
      </w:r>
      <w:r w:rsidR="000970DA">
        <w:rPr>
          <w:rFonts w:ascii="Verdana" w:hAnsi="Verdana"/>
          <w:bCs/>
          <w:sz w:val="22"/>
          <w:szCs w:val="22"/>
        </w:rPr>
        <w:t xml:space="preserve">para </w:t>
      </w:r>
      <w:r>
        <w:rPr>
          <w:rFonts w:ascii="Verdana" w:hAnsi="Verdana"/>
          <w:bCs/>
          <w:sz w:val="22"/>
          <w:szCs w:val="22"/>
        </w:rPr>
        <w:t xml:space="preserve">el área Oriental </w:t>
      </w:r>
      <w:r w:rsidR="00F822B2">
        <w:rPr>
          <w:rFonts w:ascii="Verdana" w:hAnsi="Verdana"/>
          <w:bCs/>
          <w:sz w:val="22"/>
          <w:szCs w:val="22"/>
        </w:rPr>
        <w:t>considerando</w:t>
      </w:r>
      <w:r w:rsidR="009132CB">
        <w:rPr>
          <w:rFonts w:ascii="Verdana" w:hAnsi="Verdana"/>
          <w:bCs/>
          <w:sz w:val="22"/>
          <w:szCs w:val="22"/>
        </w:rPr>
        <w:t xml:space="preserve"> </w:t>
      </w:r>
      <w:r>
        <w:rPr>
          <w:rFonts w:ascii="Verdana" w:hAnsi="Verdana"/>
          <w:bCs/>
          <w:sz w:val="22"/>
          <w:szCs w:val="22"/>
        </w:rPr>
        <w:t xml:space="preserve">la inspección </w:t>
      </w:r>
      <w:r w:rsidR="009132CB">
        <w:rPr>
          <w:rFonts w:ascii="Verdana" w:hAnsi="Verdana"/>
          <w:bCs/>
          <w:sz w:val="22"/>
          <w:szCs w:val="22"/>
        </w:rPr>
        <w:t xml:space="preserve">entre las cotas 1673.2 y 1023 de la infraestructura de conducción de las plantas PARAISO y GUACA-PAGUA (tanque de aquietamiento y </w:t>
      </w:r>
      <w:r w:rsidR="000970DA">
        <w:rPr>
          <w:rFonts w:ascii="Verdana" w:hAnsi="Verdana"/>
          <w:bCs/>
          <w:sz w:val="22"/>
          <w:szCs w:val="22"/>
        </w:rPr>
        <w:t>túnel</w:t>
      </w:r>
      <w:r w:rsidR="009132CB">
        <w:rPr>
          <w:rFonts w:ascii="Verdana" w:hAnsi="Verdana"/>
          <w:bCs/>
          <w:sz w:val="22"/>
          <w:szCs w:val="22"/>
        </w:rPr>
        <w:t xml:space="preserve"> de conducción hacia Guaca). Si bien los trabajos estaban planteados</w:t>
      </w:r>
      <w:r w:rsidR="00F822B2">
        <w:rPr>
          <w:rFonts w:ascii="Verdana" w:hAnsi="Verdana"/>
          <w:bCs/>
          <w:sz w:val="22"/>
          <w:szCs w:val="22"/>
        </w:rPr>
        <w:t xml:space="preserve"> para ejecutarse entre el 05 y 09 de marzo</w:t>
      </w:r>
      <w:r w:rsidR="00EE6BAE">
        <w:rPr>
          <w:rFonts w:ascii="Verdana" w:hAnsi="Verdana"/>
          <w:bCs/>
          <w:sz w:val="22"/>
          <w:szCs w:val="22"/>
        </w:rPr>
        <w:t xml:space="preserve"> de 2019</w:t>
      </w:r>
      <w:r w:rsidR="00F822B2">
        <w:rPr>
          <w:rFonts w:ascii="Verdana" w:hAnsi="Verdana"/>
          <w:bCs/>
          <w:sz w:val="22"/>
          <w:szCs w:val="22"/>
        </w:rPr>
        <w:t>, se decidió por parte de</w:t>
      </w:r>
      <w:r w:rsidR="000970DA">
        <w:rPr>
          <w:rFonts w:ascii="Verdana" w:hAnsi="Verdana"/>
          <w:bCs/>
          <w:sz w:val="22"/>
          <w:szCs w:val="22"/>
        </w:rPr>
        <w:t xml:space="preserve"> ENEL-EMGESA </w:t>
      </w:r>
      <w:r w:rsidR="00F822B2">
        <w:rPr>
          <w:rFonts w:ascii="Verdana" w:hAnsi="Verdana"/>
          <w:bCs/>
          <w:sz w:val="22"/>
          <w:szCs w:val="22"/>
        </w:rPr>
        <w:t xml:space="preserve">reprogramarlos para </w:t>
      </w:r>
      <w:r w:rsidR="00EE6BAE">
        <w:rPr>
          <w:rFonts w:ascii="Verdana" w:hAnsi="Verdana"/>
          <w:bCs/>
          <w:sz w:val="22"/>
          <w:szCs w:val="22"/>
        </w:rPr>
        <w:t>el periodo comprendido entre el 20 y 24 de marzo del año en curso (fin de semana con lunes festivo). Lo anterior</w:t>
      </w:r>
      <w:r w:rsidR="00660087">
        <w:rPr>
          <w:rFonts w:ascii="Verdana" w:hAnsi="Verdana"/>
          <w:bCs/>
          <w:sz w:val="22"/>
          <w:szCs w:val="22"/>
        </w:rPr>
        <w:t>,</w:t>
      </w:r>
      <w:r w:rsidR="00EE6BAE">
        <w:rPr>
          <w:rFonts w:ascii="Verdana" w:hAnsi="Verdana"/>
          <w:bCs/>
          <w:sz w:val="22"/>
          <w:szCs w:val="22"/>
        </w:rPr>
        <w:t xml:space="preserve"> teniendo en cuenta los requerimientos de unidades equivalentes del área Oriental</w:t>
      </w:r>
      <w:r w:rsidR="000970DA">
        <w:rPr>
          <w:rFonts w:ascii="Verdana" w:hAnsi="Verdana"/>
          <w:bCs/>
          <w:sz w:val="22"/>
          <w:szCs w:val="22"/>
        </w:rPr>
        <w:t xml:space="preserve"> y la disminución de las mismas si su demanda de potencia activa y reactiva es menor</w:t>
      </w:r>
      <w:r w:rsidR="0073501C">
        <w:rPr>
          <w:rFonts w:ascii="Verdana" w:hAnsi="Verdana"/>
          <w:bCs/>
          <w:sz w:val="22"/>
          <w:szCs w:val="22"/>
        </w:rPr>
        <w:t xml:space="preserve"> (</w:t>
      </w:r>
      <w:r w:rsidR="0039784B">
        <w:rPr>
          <w:rFonts w:ascii="Verdana" w:hAnsi="Verdana"/>
          <w:bCs/>
          <w:sz w:val="22"/>
          <w:szCs w:val="22"/>
        </w:rPr>
        <w:t xml:space="preserve">el </w:t>
      </w:r>
      <w:r w:rsidR="0073501C">
        <w:rPr>
          <w:rFonts w:ascii="Verdana" w:hAnsi="Verdana"/>
          <w:bCs/>
          <w:sz w:val="22"/>
          <w:szCs w:val="22"/>
        </w:rPr>
        <w:t>requerimiento de unidades oscilaría entre 11 y 13 unidades)</w:t>
      </w:r>
      <w:r w:rsidR="000970DA">
        <w:rPr>
          <w:rFonts w:ascii="Verdana" w:hAnsi="Verdana"/>
          <w:bCs/>
          <w:sz w:val="22"/>
          <w:szCs w:val="22"/>
        </w:rPr>
        <w:t>.</w:t>
      </w:r>
    </w:p>
    <w:p w14:paraId="00A51B84" w14:textId="77777777" w:rsidR="0073501C" w:rsidRDefault="0073501C" w:rsidP="0073501C">
      <w:pPr>
        <w:pStyle w:val="Prrafodelista"/>
        <w:ind w:left="360"/>
        <w:jc w:val="both"/>
        <w:rPr>
          <w:rFonts w:ascii="Verdana" w:hAnsi="Verdana"/>
          <w:bCs/>
          <w:sz w:val="22"/>
          <w:szCs w:val="22"/>
        </w:rPr>
      </w:pPr>
    </w:p>
    <w:p w14:paraId="1079D47B" w14:textId="44DCBDFC" w:rsidR="002049AE" w:rsidRDefault="0073501C" w:rsidP="0073501C">
      <w:pPr>
        <w:pStyle w:val="Prrafodelista"/>
        <w:ind w:left="360"/>
        <w:jc w:val="both"/>
        <w:rPr>
          <w:rFonts w:ascii="Verdana" w:hAnsi="Verdana"/>
          <w:bCs/>
          <w:sz w:val="22"/>
          <w:szCs w:val="22"/>
        </w:rPr>
      </w:pPr>
      <w:r>
        <w:rPr>
          <w:rFonts w:ascii="Verdana" w:hAnsi="Verdana"/>
          <w:bCs/>
          <w:sz w:val="22"/>
          <w:szCs w:val="22"/>
        </w:rPr>
        <w:t>Vale la pena mencionar que, si bien la demanda del área Oriental entre el 20 y 24 de marzo es menor</w:t>
      </w:r>
      <w:r w:rsidR="002049AE">
        <w:rPr>
          <w:rFonts w:ascii="Verdana" w:hAnsi="Verdana"/>
          <w:bCs/>
          <w:sz w:val="22"/>
          <w:szCs w:val="22"/>
        </w:rPr>
        <w:t xml:space="preserve">, al igual que </w:t>
      </w:r>
      <w:r>
        <w:rPr>
          <w:rFonts w:ascii="Verdana" w:hAnsi="Verdana"/>
          <w:bCs/>
          <w:sz w:val="22"/>
          <w:szCs w:val="22"/>
        </w:rPr>
        <w:t xml:space="preserve">su requerimiento de unidades equivalentes, se tendrán disponibles durante la inspección 14.6 unidades de un total de 22.2. </w:t>
      </w:r>
      <w:r w:rsidR="002049AE">
        <w:rPr>
          <w:rFonts w:ascii="Verdana" w:hAnsi="Verdana"/>
          <w:bCs/>
          <w:sz w:val="22"/>
          <w:szCs w:val="22"/>
        </w:rPr>
        <w:t>Es decir</w:t>
      </w:r>
      <w:r>
        <w:rPr>
          <w:rFonts w:ascii="Verdana" w:hAnsi="Verdana"/>
          <w:bCs/>
          <w:sz w:val="22"/>
          <w:szCs w:val="22"/>
        </w:rPr>
        <w:t>, la probabilidad de no contar</w:t>
      </w:r>
      <w:r w:rsidR="002049AE">
        <w:rPr>
          <w:rFonts w:ascii="Verdana" w:hAnsi="Verdana"/>
          <w:bCs/>
          <w:sz w:val="22"/>
          <w:szCs w:val="22"/>
        </w:rPr>
        <w:t xml:space="preserve"> con la generación de seguridad para el control de tensión y soporte de potencia reactiva se incrementa. Por lo anterior, el SAPE recomendó las siguientes medidas adicionales:</w:t>
      </w:r>
    </w:p>
    <w:p w14:paraId="64902304" w14:textId="2CD92F87" w:rsidR="0073501C" w:rsidRDefault="0073501C" w:rsidP="007A40B0">
      <w:pPr>
        <w:pStyle w:val="Prrafodelista"/>
        <w:ind w:left="360"/>
        <w:jc w:val="both"/>
        <w:rPr>
          <w:rFonts w:ascii="Verdana" w:hAnsi="Verdana"/>
          <w:bCs/>
          <w:sz w:val="22"/>
          <w:szCs w:val="22"/>
        </w:rPr>
      </w:pPr>
      <w:r>
        <w:rPr>
          <w:rFonts w:ascii="Verdana" w:hAnsi="Verdana"/>
          <w:bCs/>
          <w:sz w:val="22"/>
          <w:szCs w:val="22"/>
        </w:rPr>
        <w:t xml:space="preserve">   </w:t>
      </w:r>
      <w:r w:rsidR="000970DA">
        <w:rPr>
          <w:rFonts w:ascii="Verdana" w:hAnsi="Verdana"/>
          <w:bCs/>
          <w:sz w:val="22"/>
          <w:szCs w:val="22"/>
        </w:rPr>
        <w:t xml:space="preserve"> </w:t>
      </w:r>
    </w:p>
    <w:p w14:paraId="500F71A7" w14:textId="63714184" w:rsidR="002049AE" w:rsidRPr="002049AE" w:rsidRDefault="002049AE" w:rsidP="002049AE">
      <w:pPr>
        <w:pStyle w:val="Prrafodelista"/>
        <w:numPr>
          <w:ilvl w:val="0"/>
          <w:numId w:val="40"/>
        </w:numPr>
        <w:jc w:val="both"/>
        <w:rPr>
          <w:rFonts w:ascii="Verdana" w:hAnsi="Verdana"/>
          <w:bCs/>
          <w:sz w:val="22"/>
          <w:szCs w:val="22"/>
        </w:rPr>
      </w:pPr>
      <w:r w:rsidRPr="002049AE">
        <w:rPr>
          <w:rFonts w:ascii="Verdana" w:hAnsi="Verdana"/>
          <w:bCs/>
          <w:sz w:val="22"/>
          <w:szCs w:val="22"/>
        </w:rPr>
        <w:t>A</w:t>
      </w:r>
      <w:r>
        <w:rPr>
          <w:rFonts w:ascii="Verdana" w:hAnsi="Verdana"/>
          <w:bCs/>
          <w:sz w:val="22"/>
          <w:szCs w:val="22"/>
        </w:rPr>
        <w:t>finar</w:t>
      </w:r>
      <w:r w:rsidRPr="002049AE">
        <w:rPr>
          <w:rFonts w:ascii="Verdana" w:hAnsi="Verdana"/>
          <w:bCs/>
          <w:sz w:val="22"/>
          <w:szCs w:val="22"/>
        </w:rPr>
        <w:t xml:space="preserve"> los pronósticos de demanda de CODENSA y EMSA para la fecha del mantenimiento de PAGUA. Adicionalmente, gestionar con los grandes usuarios del área Oriental (</w:t>
      </w:r>
      <w:r>
        <w:rPr>
          <w:rFonts w:ascii="Verdana" w:hAnsi="Verdana"/>
          <w:bCs/>
          <w:sz w:val="22"/>
          <w:szCs w:val="22"/>
        </w:rPr>
        <w:t>ECOPETROL</w:t>
      </w:r>
      <w:r w:rsidRPr="002049AE">
        <w:rPr>
          <w:rFonts w:ascii="Verdana" w:hAnsi="Verdana"/>
          <w:bCs/>
          <w:sz w:val="22"/>
          <w:szCs w:val="22"/>
        </w:rPr>
        <w:t xml:space="preserve"> entre ellos), una reducción </w:t>
      </w:r>
      <w:r>
        <w:rPr>
          <w:rFonts w:ascii="Verdana" w:hAnsi="Verdana"/>
          <w:bCs/>
          <w:sz w:val="22"/>
          <w:szCs w:val="22"/>
        </w:rPr>
        <w:t xml:space="preserve">significativa </w:t>
      </w:r>
      <w:r w:rsidRPr="002049AE">
        <w:rPr>
          <w:rFonts w:ascii="Verdana" w:hAnsi="Verdana"/>
          <w:bCs/>
          <w:sz w:val="22"/>
          <w:szCs w:val="22"/>
        </w:rPr>
        <w:t xml:space="preserve">de su </w:t>
      </w:r>
      <w:r>
        <w:rPr>
          <w:rFonts w:ascii="Verdana" w:hAnsi="Verdana"/>
          <w:bCs/>
          <w:sz w:val="22"/>
          <w:szCs w:val="22"/>
        </w:rPr>
        <w:t>“</w:t>
      </w:r>
      <w:r w:rsidRPr="002049AE">
        <w:rPr>
          <w:rFonts w:ascii="Verdana" w:hAnsi="Verdana"/>
          <w:bCs/>
          <w:sz w:val="22"/>
          <w:szCs w:val="22"/>
        </w:rPr>
        <w:t>alimentación</w:t>
      </w:r>
      <w:r>
        <w:rPr>
          <w:rFonts w:ascii="Verdana" w:hAnsi="Verdana"/>
          <w:bCs/>
          <w:sz w:val="22"/>
          <w:szCs w:val="22"/>
        </w:rPr>
        <w:t>”</w:t>
      </w:r>
      <w:r w:rsidRPr="002049AE">
        <w:rPr>
          <w:rFonts w:ascii="Verdana" w:hAnsi="Verdana"/>
          <w:bCs/>
          <w:sz w:val="22"/>
          <w:szCs w:val="22"/>
        </w:rPr>
        <w:t xml:space="preserve"> por parte del </w:t>
      </w:r>
      <w:r>
        <w:rPr>
          <w:rFonts w:ascii="Verdana" w:hAnsi="Verdana"/>
          <w:bCs/>
          <w:sz w:val="22"/>
          <w:szCs w:val="22"/>
        </w:rPr>
        <w:t>Sistema Interconectado Nacional-</w:t>
      </w:r>
      <w:r w:rsidRPr="002049AE">
        <w:rPr>
          <w:rFonts w:ascii="Verdana" w:hAnsi="Verdana"/>
          <w:bCs/>
          <w:sz w:val="22"/>
          <w:szCs w:val="22"/>
        </w:rPr>
        <w:t>SIN (incremento de la autogeneración).</w:t>
      </w:r>
    </w:p>
    <w:p w14:paraId="7B8802B5" w14:textId="77777777" w:rsidR="002049AE" w:rsidRPr="002049AE" w:rsidRDefault="002049AE" w:rsidP="007A40B0">
      <w:pPr>
        <w:pStyle w:val="Prrafodelista"/>
        <w:ind w:left="720"/>
        <w:jc w:val="both"/>
        <w:rPr>
          <w:rFonts w:ascii="Verdana" w:hAnsi="Verdana"/>
          <w:bCs/>
          <w:sz w:val="22"/>
          <w:szCs w:val="22"/>
        </w:rPr>
      </w:pPr>
    </w:p>
    <w:p w14:paraId="6F2B4ABD" w14:textId="5B38AE95" w:rsidR="006810C0" w:rsidRDefault="002049AE" w:rsidP="002049AE">
      <w:pPr>
        <w:pStyle w:val="Prrafodelista"/>
        <w:numPr>
          <w:ilvl w:val="0"/>
          <w:numId w:val="40"/>
        </w:numPr>
        <w:jc w:val="both"/>
        <w:rPr>
          <w:rFonts w:ascii="Verdana" w:hAnsi="Verdana"/>
          <w:bCs/>
          <w:sz w:val="22"/>
          <w:szCs w:val="22"/>
        </w:rPr>
      </w:pPr>
      <w:r w:rsidRPr="002049AE">
        <w:rPr>
          <w:rFonts w:ascii="Verdana" w:hAnsi="Verdana"/>
          <w:bCs/>
          <w:sz w:val="22"/>
          <w:szCs w:val="22"/>
        </w:rPr>
        <w:t>Gestionar la antigua cadena del Río Bogotá, de tal forma que ante la indisponibilidad de PAGUA se pueda, dependiendo del recurso, generar con las plantas de CASALACO. Adicionalmente, incrementar la Capacidad Efectiva Neta-CEN de alguna de estas plantas.</w:t>
      </w:r>
    </w:p>
    <w:p w14:paraId="7AA0A71F" w14:textId="77777777" w:rsidR="002049AE" w:rsidRPr="007A40B0" w:rsidRDefault="002049AE" w:rsidP="007A40B0">
      <w:pPr>
        <w:pStyle w:val="Prrafodelista"/>
        <w:rPr>
          <w:rFonts w:ascii="Verdana" w:hAnsi="Verdana"/>
          <w:bCs/>
          <w:sz w:val="22"/>
          <w:szCs w:val="22"/>
        </w:rPr>
      </w:pPr>
    </w:p>
    <w:p w14:paraId="6FA57018" w14:textId="27D6DDFB" w:rsidR="002049AE" w:rsidRDefault="002049AE" w:rsidP="002049AE">
      <w:pPr>
        <w:pStyle w:val="Prrafodelista"/>
        <w:numPr>
          <w:ilvl w:val="0"/>
          <w:numId w:val="40"/>
        </w:numPr>
        <w:jc w:val="both"/>
        <w:rPr>
          <w:rFonts w:ascii="Verdana" w:hAnsi="Verdana"/>
          <w:bCs/>
          <w:sz w:val="22"/>
          <w:szCs w:val="22"/>
        </w:rPr>
      </w:pPr>
      <w:r w:rsidRPr="002049AE">
        <w:rPr>
          <w:rFonts w:ascii="Verdana" w:hAnsi="Verdana"/>
          <w:bCs/>
          <w:sz w:val="22"/>
          <w:szCs w:val="22"/>
        </w:rPr>
        <w:t>Teniendo en cuenta los requerimientos de potencia reactiva del área Oriental</w:t>
      </w:r>
      <w:r>
        <w:rPr>
          <w:rFonts w:ascii="Verdana" w:hAnsi="Verdana"/>
          <w:bCs/>
          <w:sz w:val="22"/>
          <w:szCs w:val="22"/>
        </w:rPr>
        <w:t xml:space="preserve"> y su demanda</w:t>
      </w:r>
      <w:r w:rsidRPr="002049AE">
        <w:rPr>
          <w:rFonts w:ascii="Verdana" w:hAnsi="Verdana"/>
          <w:bCs/>
          <w:sz w:val="22"/>
          <w:szCs w:val="22"/>
        </w:rPr>
        <w:t>, estudiar la posibilidad de tener un punto de flotación mayor en los dispositivos FACTS (SVC Tunal y STATCOM Primavera). Lo anterior para garantizar una inyección permanente de potencia reactiva, sin que se comprometa la reserva dinámica del área.</w:t>
      </w:r>
    </w:p>
    <w:p w14:paraId="790EA977" w14:textId="77777777" w:rsidR="00660087" w:rsidRPr="007A40B0" w:rsidRDefault="00660087" w:rsidP="007A40B0">
      <w:pPr>
        <w:jc w:val="both"/>
        <w:rPr>
          <w:rFonts w:ascii="Verdana" w:hAnsi="Verdana"/>
          <w:bCs/>
          <w:sz w:val="22"/>
          <w:szCs w:val="22"/>
        </w:rPr>
      </w:pPr>
    </w:p>
    <w:p w14:paraId="288E6AB7" w14:textId="38ACD014" w:rsidR="002049AE" w:rsidRDefault="0039784B" w:rsidP="007A40B0">
      <w:pPr>
        <w:pStyle w:val="Prrafodelista"/>
        <w:numPr>
          <w:ilvl w:val="0"/>
          <w:numId w:val="40"/>
        </w:numPr>
        <w:jc w:val="both"/>
        <w:rPr>
          <w:rFonts w:ascii="Verdana" w:hAnsi="Verdana"/>
          <w:bCs/>
          <w:sz w:val="22"/>
          <w:szCs w:val="22"/>
        </w:rPr>
      </w:pPr>
      <w:r>
        <w:rPr>
          <w:rFonts w:ascii="Verdana" w:hAnsi="Verdana"/>
          <w:bCs/>
          <w:sz w:val="22"/>
          <w:szCs w:val="22"/>
        </w:rPr>
        <w:lastRenderedPageBreak/>
        <w:t>Habilitación</w:t>
      </w:r>
      <w:r w:rsidR="002049AE" w:rsidRPr="002049AE">
        <w:rPr>
          <w:rFonts w:ascii="Verdana" w:hAnsi="Verdana"/>
          <w:bCs/>
          <w:sz w:val="22"/>
          <w:szCs w:val="22"/>
        </w:rPr>
        <w:t xml:space="preserve"> </w:t>
      </w:r>
      <w:r>
        <w:rPr>
          <w:rFonts w:ascii="Verdana" w:hAnsi="Verdana"/>
          <w:bCs/>
          <w:sz w:val="22"/>
          <w:szCs w:val="22"/>
        </w:rPr>
        <w:t>d</w:t>
      </w:r>
      <w:r w:rsidR="002049AE" w:rsidRPr="002049AE">
        <w:rPr>
          <w:rFonts w:ascii="Verdana" w:hAnsi="Verdana"/>
          <w:bCs/>
          <w:sz w:val="22"/>
          <w:szCs w:val="22"/>
        </w:rPr>
        <w:t xml:space="preserve">el plan de desconexión de demanda establecido para el mantenimiento de Guavio, </w:t>
      </w:r>
      <w:r w:rsidR="002049AE">
        <w:rPr>
          <w:rFonts w:ascii="Verdana" w:hAnsi="Verdana"/>
          <w:bCs/>
          <w:sz w:val="22"/>
          <w:szCs w:val="22"/>
        </w:rPr>
        <w:t xml:space="preserve">si se </w:t>
      </w:r>
      <w:r w:rsidR="002049AE" w:rsidRPr="002049AE">
        <w:rPr>
          <w:rFonts w:ascii="Verdana" w:hAnsi="Verdana"/>
          <w:bCs/>
          <w:sz w:val="22"/>
          <w:szCs w:val="22"/>
        </w:rPr>
        <w:t>present</w:t>
      </w:r>
      <w:r w:rsidR="002049AE">
        <w:rPr>
          <w:rFonts w:ascii="Verdana" w:hAnsi="Verdana"/>
          <w:bCs/>
          <w:sz w:val="22"/>
          <w:szCs w:val="22"/>
        </w:rPr>
        <w:t>a</w:t>
      </w:r>
      <w:r w:rsidR="002049AE" w:rsidRPr="002049AE">
        <w:rPr>
          <w:rFonts w:ascii="Verdana" w:hAnsi="Verdana"/>
          <w:bCs/>
          <w:sz w:val="22"/>
          <w:szCs w:val="22"/>
        </w:rPr>
        <w:t xml:space="preserve"> la </w:t>
      </w:r>
      <w:r>
        <w:rPr>
          <w:rFonts w:ascii="Verdana" w:hAnsi="Verdana"/>
          <w:bCs/>
          <w:sz w:val="22"/>
          <w:szCs w:val="22"/>
        </w:rPr>
        <w:t>falla</w:t>
      </w:r>
      <w:r w:rsidR="002049AE" w:rsidRPr="002049AE">
        <w:rPr>
          <w:rFonts w:ascii="Verdana" w:hAnsi="Verdana"/>
          <w:bCs/>
          <w:sz w:val="22"/>
          <w:szCs w:val="22"/>
        </w:rPr>
        <w:t xml:space="preserve"> de la línea Primavera-Bacatá 500 kV. Asimismo, no permitir mantenimientos adicionales a nivel de STN y STR.</w:t>
      </w:r>
    </w:p>
    <w:p w14:paraId="0E3E4802" w14:textId="065D1A6B" w:rsidR="006810C0" w:rsidRDefault="006810C0" w:rsidP="006810C0">
      <w:pPr>
        <w:pStyle w:val="Prrafodelista"/>
        <w:ind w:left="360"/>
        <w:jc w:val="both"/>
        <w:rPr>
          <w:rFonts w:ascii="Verdana" w:hAnsi="Verdana"/>
          <w:bCs/>
          <w:sz w:val="22"/>
          <w:szCs w:val="22"/>
        </w:rPr>
      </w:pPr>
    </w:p>
    <w:p w14:paraId="3CCB3C5C" w14:textId="1BADD64F" w:rsidR="006810C0" w:rsidRDefault="002049AE" w:rsidP="006810C0">
      <w:pPr>
        <w:pStyle w:val="Prrafodelista"/>
        <w:ind w:left="360"/>
        <w:jc w:val="both"/>
        <w:rPr>
          <w:rFonts w:ascii="Verdana" w:hAnsi="Verdana"/>
          <w:bCs/>
          <w:sz w:val="22"/>
          <w:szCs w:val="22"/>
        </w:rPr>
      </w:pPr>
      <w:r>
        <w:rPr>
          <w:rFonts w:ascii="Verdana" w:hAnsi="Verdana"/>
          <w:bCs/>
          <w:sz w:val="22"/>
          <w:szCs w:val="22"/>
        </w:rPr>
        <w:t xml:space="preserve">Finalmente se debe </w:t>
      </w:r>
      <w:r w:rsidR="000D12E1">
        <w:rPr>
          <w:rFonts w:ascii="Verdana" w:hAnsi="Verdana"/>
          <w:bCs/>
          <w:sz w:val="22"/>
          <w:szCs w:val="22"/>
        </w:rPr>
        <w:t xml:space="preserve">considerar que, en función de los resultados de la inspección en PAGUA, se podría tener indisponible por mayor tiempo a estas dos plantas, lo cual sumado a los trabajos “intake” de Chivor, podría repercutir eléctrica y energéticamente sobre la seguridad y confiabilidad del área Oriental. Por lo anterior se conformará un grupo de </w:t>
      </w:r>
      <w:r w:rsidR="007A40B0">
        <w:rPr>
          <w:rFonts w:ascii="Verdana" w:hAnsi="Verdana"/>
          <w:bCs/>
          <w:sz w:val="22"/>
          <w:szCs w:val="22"/>
        </w:rPr>
        <w:t>coordinación</w:t>
      </w:r>
      <w:r w:rsidR="00080889">
        <w:rPr>
          <w:rFonts w:ascii="Verdana" w:hAnsi="Verdana"/>
          <w:bCs/>
          <w:sz w:val="22"/>
          <w:szCs w:val="22"/>
        </w:rPr>
        <w:t>, el cual estará constituido por el CND, ENEL-EMGESA, ENEL-CODENSA, EMSA, ISA-INTERCOLOMBIA, EPM, GEB, ECOPETROL y el CNO.</w:t>
      </w:r>
    </w:p>
    <w:p w14:paraId="6D58C49B" w14:textId="017B7017" w:rsidR="004E3D43" w:rsidRDefault="004E3D43" w:rsidP="006810C0">
      <w:pPr>
        <w:pStyle w:val="Prrafodelista"/>
        <w:ind w:left="360"/>
        <w:jc w:val="both"/>
        <w:rPr>
          <w:rFonts w:ascii="Verdana" w:hAnsi="Verdana"/>
          <w:bCs/>
          <w:sz w:val="22"/>
          <w:szCs w:val="22"/>
        </w:rPr>
      </w:pPr>
    </w:p>
    <w:p w14:paraId="7787C68B" w14:textId="2BCBE0FE" w:rsidR="004E3D43" w:rsidRPr="007A40B0" w:rsidRDefault="004E3D43" w:rsidP="007A40B0">
      <w:pPr>
        <w:pStyle w:val="Prrafodelista"/>
        <w:numPr>
          <w:ilvl w:val="0"/>
          <w:numId w:val="35"/>
        </w:numPr>
        <w:jc w:val="both"/>
        <w:rPr>
          <w:rFonts w:ascii="Verdana" w:hAnsi="Verdana"/>
          <w:bCs/>
          <w:sz w:val="22"/>
          <w:szCs w:val="22"/>
        </w:rPr>
      </w:pPr>
      <w:r>
        <w:rPr>
          <w:rFonts w:ascii="Verdana" w:hAnsi="Verdana"/>
          <w:bCs/>
          <w:sz w:val="22"/>
          <w:szCs w:val="22"/>
        </w:rPr>
        <w:t xml:space="preserve">Entre el 03 y 23 de abril del año en curso se llevará a cabo un mantenimiento en el campo Cusiana, el cual disminuye su capacidad de producción de 236.25 a 33.75 MPCD. Teniendo en cuenta que esta intervención podría ocasionar limitaciones de suministro de gas para las plantas térmicas del interior y las mismas unidades de ECOPETROL, y considerando también los resultados de la inspección de las plantas Paraíso y Guaca por parte de ENEL-EMGESA y la misma situación energética del SIN, se sugiere monitorear este mantenimiento en el grupo de </w:t>
      </w:r>
      <w:r w:rsidR="007A40B0">
        <w:rPr>
          <w:rFonts w:ascii="Verdana" w:hAnsi="Verdana"/>
          <w:bCs/>
          <w:sz w:val="22"/>
          <w:szCs w:val="22"/>
        </w:rPr>
        <w:t xml:space="preserve">coordinación </w:t>
      </w:r>
      <w:r>
        <w:rPr>
          <w:rFonts w:ascii="Verdana" w:hAnsi="Verdana"/>
          <w:bCs/>
          <w:sz w:val="22"/>
          <w:szCs w:val="22"/>
        </w:rPr>
        <w:t xml:space="preserve">referenciado anteriormente.     </w:t>
      </w:r>
    </w:p>
    <w:p w14:paraId="28F84670" w14:textId="7C89A213" w:rsidR="006810C0" w:rsidRDefault="006810C0" w:rsidP="000D12E1">
      <w:pPr>
        <w:jc w:val="both"/>
        <w:rPr>
          <w:rFonts w:ascii="Verdana" w:hAnsi="Verdana"/>
          <w:bCs/>
          <w:sz w:val="22"/>
          <w:szCs w:val="22"/>
        </w:rPr>
      </w:pPr>
    </w:p>
    <w:p w14:paraId="1BCF26A9" w14:textId="2A734852" w:rsidR="0039784B" w:rsidRDefault="0039784B" w:rsidP="00612225">
      <w:pPr>
        <w:pStyle w:val="Prrafodelista"/>
        <w:numPr>
          <w:ilvl w:val="0"/>
          <w:numId w:val="35"/>
        </w:numPr>
        <w:jc w:val="both"/>
        <w:rPr>
          <w:rFonts w:ascii="Verdana" w:hAnsi="Verdana"/>
          <w:bCs/>
          <w:sz w:val="22"/>
          <w:szCs w:val="22"/>
        </w:rPr>
      </w:pPr>
      <w:r w:rsidRPr="0039784B">
        <w:rPr>
          <w:rFonts w:ascii="Verdana" w:hAnsi="Verdana"/>
          <w:bCs/>
          <w:sz w:val="22"/>
          <w:szCs w:val="22"/>
        </w:rPr>
        <w:t xml:space="preserve">Si bien los nuevos análisis eléctricos por parte del CND establecieron que la energía atrapada en TERMOEMCALI y TERMOVALLE sería mayor cuando se despachen dichas unidades al máximo (techo de 100 MW y no 40 MW), considerando escenarios de bajos aportes hídricos, el CND y CELSIA </w:t>
      </w:r>
      <w:r w:rsidR="007A40B0">
        <w:rPr>
          <w:rFonts w:ascii="Verdana" w:hAnsi="Verdana"/>
          <w:bCs/>
          <w:sz w:val="22"/>
          <w:szCs w:val="22"/>
        </w:rPr>
        <w:t xml:space="preserve">recomiendan </w:t>
      </w:r>
      <w:r w:rsidRPr="0039784B">
        <w:rPr>
          <w:rFonts w:ascii="Verdana" w:hAnsi="Verdana"/>
          <w:bCs/>
          <w:sz w:val="22"/>
          <w:szCs w:val="22"/>
        </w:rPr>
        <w:t xml:space="preserve">una medida operativa (redistribución de la alimentación de las subestaciones San Luis y Chipichape 115 kV), </w:t>
      </w:r>
      <w:r w:rsidR="007D0A41">
        <w:rPr>
          <w:rFonts w:ascii="Verdana" w:hAnsi="Verdana"/>
          <w:bCs/>
          <w:sz w:val="22"/>
          <w:szCs w:val="22"/>
        </w:rPr>
        <w:t>que</w:t>
      </w:r>
      <w:r w:rsidRPr="0039784B">
        <w:rPr>
          <w:rFonts w:ascii="Verdana" w:hAnsi="Verdana"/>
          <w:bCs/>
          <w:sz w:val="22"/>
          <w:szCs w:val="22"/>
        </w:rPr>
        <w:t xml:space="preserve"> garantiza que para este año se pueda evacuar toda la generación sin limitar su producción. Es decir, no habría atrapamientos en el </w:t>
      </w:r>
      <w:r w:rsidR="004F31D7">
        <w:rPr>
          <w:rFonts w:ascii="Verdana" w:hAnsi="Verdana"/>
          <w:bCs/>
          <w:sz w:val="22"/>
          <w:szCs w:val="22"/>
        </w:rPr>
        <w:t xml:space="preserve">año </w:t>
      </w:r>
      <w:r w:rsidRPr="0039784B">
        <w:rPr>
          <w:rFonts w:ascii="Verdana" w:hAnsi="Verdana"/>
          <w:bCs/>
          <w:sz w:val="22"/>
          <w:szCs w:val="22"/>
        </w:rPr>
        <w:t>2020.</w:t>
      </w:r>
    </w:p>
    <w:p w14:paraId="63CC8426" w14:textId="77777777" w:rsidR="0039784B" w:rsidRDefault="0039784B" w:rsidP="007A40B0">
      <w:pPr>
        <w:pStyle w:val="Prrafodelista"/>
        <w:ind w:left="360"/>
        <w:jc w:val="both"/>
        <w:rPr>
          <w:rFonts w:ascii="Verdana" w:hAnsi="Verdana"/>
          <w:bCs/>
          <w:sz w:val="22"/>
          <w:szCs w:val="22"/>
        </w:rPr>
      </w:pPr>
    </w:p>
    <w:p w14:paraId="070FE8AB" w14:textId="3B0D7C16" w:rsidR="0039784B" w:rsidRDefault="0039784B" w:rsidP="0039784B">
      <w:pPr>
        <w:pStyle w:val="Prrafodelista"/>
        <w:ind w:left="360"/>
        <w:jc w:val="both"/>
        <w:rPr>
          <w:rFonts w:ascii="Verdana" w:hAnsi="Verdana"/>
          <w:bCs/>
          <w:sz w:val="22"/>
          <w:szCs w:val="22"/>
        </w:rPr>
      </w:pPr>
      <w:r w:rsidRPr="0039784B">
        <w:rPr>
          <w:rFonts w:ascii="Verdana" w:hAnsi="Verdana"/>
          <w:bCs/>
          <w:sz w:val="22"/>
          <w:szCs w:val="22"/>
        </w:rPr>
        <w:t xml:space="preserve">No obstante, aún no es clara la efectividad de esta medida en el tiempo, dado que </w:t>
      </w:r>
      <w:r>
        <w:rPr>
          <w:rFonts w:ascii="Verdana" w:hAnsi="Verdana"/>
          <w:bCs/>
          <w:sz w:val="22"/>
          <w:szCs w:val="22"/>
        </w:rPr>
        <w:t xml:space="preserve">si </w:t>
      </w:r>
      <w:r w:rsidRPr="0039784B">
        <w:rPr>
          <w:rFonts w:ascii="Verdana" w:hAnsi="Verdana"/>
          <w:bCs/>
          <w:sz w:val="22"/>
          <w:szCs w:val="22"/>
        </w:rPr>
        <w:t>se increment</w:t>
      </w:r>
      <w:r>
        <w:rPr>
          <w:rFonts w:ascii="Verdana" w:hAnsi="Verdana"/>
          <w:bCs/>
          <w:sz w:val="22"/>
          <w:szCs w:val="22"/>
        </w:rPr>
        <w:t xml:space="preserve">a </w:t>
      </w:r>
      <w:r w:rsidRPr="0039784B">
        <w:rPr>
          <w:rFonts w:ascii="Verdana" w:hAnsi="Verdana"/>
          <w:bCs/>
          <w:sz w:val="22"/>
          <w:szCs w:val="22"/>
        </w:rPr>
        <w:t xml:space="preserve">la demanda (aumento de la diferencia entre </w:t>
      </w:r>
      <w:r w:rsidR="00EF492C" w:rsidRPr="0039784B">
        <w:rPr>
          <w:rFonts w:ascii="Verdana" w:hAnsi="Verdana"/>
          <w:bCs/>
          <w:sz w:val="22"/>
          <w:szCs w:val="22"/>
        </w:rPr>
        <w:t>las zonas</w:t>
      </w:r>
      <w:r w:rsidRPr="0039784B">
        <w:rPr>
          <w:rFonts w:ascii="Verdana" w:hAnsi="Verdana"/>
          <w:bCs/>
          <w:sz w:val="22"/>
          <w:szCs w:val="22"/>
        </w:rPr>
        <w:t xml:space="preserve"> de Cali y Guachal), se activarían </w:t>
      </w:r>
      <w:r>
        <w:rPr>
          <w:rFonts w:ascii="Verdana" w:hAnsi="Verdana"/>
          <w:bCs/>
          <w:sz w:val="22"/>
          <w:szCs w:val="22"/>
        </w:rPr>
        <w:t xml:space="preserve">nuevamente </w:t>
      </w:r>
      <w:r w:rsidRPr="0039784B">
        <w:rPr>
          <w:rFonts w:ascii="Verdana" w:hAnsi="Verdana"/>
          <w:bCs/>
          <w:sz w:val="22"/>
          <w:szCs w:val="22"/>
        </w:rPr>
        <w:t>los atrapamientos</w:t>
      </w:r>
      <w:r>
        <w:rPr>
          <w:rFonts w:ascii="Verdana" w:hAnsi="Verdana"/>
          <w:bCs/>
          <w:sz w:val="22"/>
          <w:szCs w:val="22"/>
        </w:rPr>
        <w:t xml:space="preserve">. Por ello, adicional a la definición de la nueva consigna operativa, </w:t>
      </w:r>
      <w:r w:rsidRPr="0039784B">
        <w:rPr>
          <w:rFonts w:ascii="Verdana" w:hAnsi="Verdana"/>
          <w:bCs/>
          <w:sz w:val="22"/>
          <w:szCs w:val="22"/>
        </w:rPr>
        <w:t>se debe validar la “vida útil” de esta medida. Finalmente, es importante mencionar que la redistribución de cargas en las subestaciones San Luis y Chipichape 115 kV no genera impactos negativos, contemplando la disponibilidad de toda la red</w:t>
      </w:r>
      <w:r w:rsidR="004F31D7">
        <w:rPr>
          <w:rFonts w:ascii="Verdana" w:hAnsi="Verdana"/>
          <w:bCs/>
          <w:sz w:val="22"/>
          <w:szCs w:val="22"/>
        </w:rPr>
        <w:t xml:space="preserve">. Es decir, </w:t>
      </w:r>
      <w:r w:rsidRPr="0039784B">
        <w:rPr>
          <w:rFonts w:ascii="Verdana" w:hAnsi="Verdana"/>
          <w:bCs/>
          <w:sz w:val="22"/>
          <w:szCs w:val="22"/>
        </w:rPr>
        <w:t>en red degradad</w:t>
      </w:r>
      <w:r w:rsidR="007D0A41">
        <w:rPr>
          <w:rFonts w:ascii="Verdana" w:hAnsi="Verdana"/>
          <w:bCs/>
          <w:sz w:val="22"/>
          <w:szCs w:val="22"/>
        </w:rPr>
        <w:t>a</w:t>
      </w:r>
      <w:r w:rsidRPr="0039784B">
        <w:rPr>
          <w:rFonts w:ascii="Verdana" w:hAnsi="Verdana"/>
          <w:bCs/>
          <w:sz w:val="22"/>
          <w:szCs w:val="22"/>
        </w:rPr>
        <w:t xml:space="preserve"> se podrían generar otras restricciones.</w:t>
      </w:r>
    </w:p>
    <w:p w14:paraId="4A872C0C" w14:textId="3EB1AE43" w:rsidR="004F31D7" w:rsidRDefault="004F31D7" w:rsidP="0039784B">
      <w:pPr>
        <w:pStyle w:val="Prrafodelista"/>
        <w:ind w:left="360"/>
        <w:jc w:val="both"/>
        <w:rPr>
          <w:rFonts w:ascii="Verdana" w:hAnsi="Verdana"/>
          <w:bCs/>
          <w:sz w:val="22"/>
          <w:szCs w:val="22"/>
        </w:rPr>
      </w:pPr>
    </w:p>
    <w:p w14:paraId="7D64AF3D" w14:textId="33EC4AF9" w:rsidR="004F31D7" w:rsidRDefault="004F31D7" w:rsidP="00612225">
      <w:pPr>
        <w:pStyle w:val="Prrafodelista"/>
        <w:numPr>
          <w:ilvl w:val="0"/>
          <w:numId w:val="35"/>
        </w:numPr>
        <w:jc w:val="both"/>
        <w:rPr>
          <w:rFonts w:ascii="Verdana" w:hAnsi="Verdana"/>
          <w:bCs/>
          <w:sz w:val="22"/>
          <w:szCs w:val="22"/>
        </w:rPr>
      </w:pPr>
      <w:r w:rsidRPr="004F31D7">
        <w:rPr>
          <w:rFonts w:ascii="Verdana" w:hAnsi="Verdana"/>
          <w:bCs/>
          <w:sz w:val="22"/>
          <w:szCs w:val="22"/>
        </w:rPr>
        <w:t>Teniendo en cuenta la entrada</w:t>
      </w:r>
      <w:r w:rsidR="00E660A7">
        <w:rPr>
          <w:rFonts w:ascii="Verdana" w:hAnsi="Verdana"/>
          <w:bCs/>
          <w:sz w:val="22"/>
          <w:szCs w:val="22"/>
        </w:rPr>
        <w:t xml:space="preserve"> en operación </w:t>
      </w:r>
      <w:r w:rsidRPr="004F31D7">
        <w:rPr>
          <w:rFonts w:ascii="Verdana" w:hAnsi="Verdana"/>
          <w:bCs/>
          <w:sz w:val="22"/>
          <w:szCs w:val="22"/>
        </w:rPr>
        <w:t>de</w:t>
      </w:r>
      <w:r>
        <w:rPr>
          <w:rFonts w:ascii="Verdana" w:hAnsi="Verdana"/>
          <w:bCs/>
          <w:sz w:val="22"/>
          <w:szCs w:val="22"/>
        </w:rPr>
        <w:t xml:space="preserve"> la subestación Pimampiro</w:t>
      </w:r>
      <w:r w:rsidR="00E660A7">
        <w:rPr>
          <w:rFonts w:ascii="Verdana" w:hAnsi="Verdana"/>
          <w:bCs/>
          <w:sz w:val="22"/>
          <w:szCs w:val="22"/>
        </w:rPr>
        <w:t xml:space="preserve"> 230 kV</w:t>
      </w:r>
      <w:r w:rsidRPr="004F31D7">
        <w:rPr>
          <w:rFonts w:ascii="Verdana" w:hAnsi="Verdana"/>
          <w:bCs/>
          <w:sz w:val="22"/>
          <w:szCs w:val="22"/>
        </w:rPr>
        <w:t xml:space="preserve"> en Ecuador </w:t>
      </w:r>
      <w:r w:rsidR="00E660A7">
        <w:rPr>
          <w:rFonts w:ascii="Verdana" w:hAnsi="Verdana"/>
          <w:bCs/>
          <w:sz w:val="22"/>
          <w:szCs w:val="22"/>
        </w:rPr>
        <w:t xml:space="preserve">para </w:t>
      </w:r>
      <w:r w:rsidRPr="004F31D7">
        <w:rPr>
          <w:rFonts w:ascii="Verdana" w:hAnsi="Verdana"/>
          <w:bCs/>
          <w:sz w:val="22"/>
          <w:szCs w:val="22"/>
        </w:rPr>
        <w:t xml:space="preserve">junio </w:t>
      </w:r>
      <w:r w:rsidR="00E660A7">
        <w:rPr>
          <w:rFonts w:ascii="Verdana" w:hAnsi="Verdana"/>
          <w:bCs/>
          <w:sz w:val="22"/>
          <w:szCs w:val="22"/>
        </w:rPr>
        <w:t xml:space="preserve">de </w:t>
      </w:r>
      <w:r w:rsidRPr="004F31D7">
        <w:rPr>
          <w:rFonts w:ascii="Verdana" w:hAnsi="Verdana"/>
          <w:bCs/>
          <w:sz w:val="22"/>
          <w:szCs w:val="22"/>
        </w:rPr>
        <w:t xml:space="preserve">2020, la cual reconfigura los cuatro (4) enlaces Jamondino-Pomasqui 230 kV, </w:t>
      </w:r>
      <w:r w:rsidR="00E660A7">
        <w:rPr>
          <w:rFonts w:ascii="Verdana" w:hAnsi="Verdana"/>
          <w:bCs/>
          <w:sz w:val="22"/>
          <w:szCs w:val="22"/>
        </w:rPr>
        <w:t>el Consejo sugiere la conformación del grupo de trabajo CND-CNO-</w:t>
      </w:r>
      <w:r w:rsidRPr="004F31D7">
        <w:rPr>
          <w:rFonts w:ascii="Verdana" w:hAnsi="Verdana"/>
          <w:bCs/>
          <w:sz w:val="22"/>
          <w:szCs w:val="22"/>
        </w:rPr>
        <w:t>MINENERGÍA</w:t>
      </w:r>
      <w:r w:rsidR="00E660A7">
        <w:rPr>
          <w:rFonts w:ascii="Verdana" w:hAnsi="Verdana"/>
          <w:bCs/>
          <w:sz w:val="22"/>
          <w:szCs w:val="22"/>
        </w:rPr>
        <w:t>-</w:t>
      </w:r>
      <w:r w:rsidRPr="004F31D7">
        <w:rPr>
          <w:rFonts w:ascii="Verdana" w:hAnsi="Verdana"/>
          <w:bCs/>
          <w:sz w:val="22"/>
          <w:szCs w:val="22"/>
        </w:rPr>
        <w:t>UPME</w:t>
      </w:r>
      <w:r w:rsidR="00E660A7">
        <w:rPr>
          <w:rFonts w:ascii="Verdana" w:hAnsi="Verdana"/>
          <w:bCs/>
          <w:sz w:val="22"/>
          <w:szCs w:val="22"/>
        </w:rPr>
        <w:t>-GEB-ISA-</w:t>
      </w:r>
      <w:r w:rsidR="00EF492C">
        <w:rPr>
          <w:rFonts w:ascii="Verdana" w:hAnsi="Verdana"/>
          <w:bCs/>
          <w:sz w:val="22"/>
          <w:szCs w:val="22"/>
        </w:rPr>
        <w:t>INTERCOLOMBIA, para</w:t>
      </w:r>
      <w:r w:rsidR="00E660A7">
        <w:rPr>
          <w:rFonts w:ascii="Verdana" w:hAnsi="Verdana"/>
          <w:bCs/>
          <w:sz w:val="22"/>
          <w:szCs w:val="22"/>
        </w:rPr>
        <w:t xml:space="preserve"> estudiar técnica y regulatoriamente la</w:t>
      </w:r>
      <w:r w:rsidRPr="004F31D7">
        <w:rPr>
          <w:rFonts w:ascii="Verdana" w:hAnsi="Verdana"/>
          <w:bCs/>
          <w:sz w:val="22"/>
          <w:szCs w:val="22"/>
        </w:rPr>
        <w:t xml:space="preserve"> modificación</w:t>
      </w:r>
      <w:r w:rsidR="00E660A7">
        <w:rPr>
          <w:rFonts w:ascii="Verdana" w:hAnsi="Verdana"/>
          <w:bCs/>
          <w:sz w:val="22"/>
          <w:szCs w:val="22"/>
        </w:rPr>
        <w:t xml:space="preserve"> de la topología de </w:t>
      </w:r>
      <w:r w:rsidR="00E660A7" w:rsidRPr="004F31D7">
        <w:rPr>
          <w:rFonts w:ascii="Verdana" w:hAnsi="Verdana"/>
          <w:bCs/>
          <w:sz w:val="22"/>
          <w:szCs w:val="22"/>
        </w:rPr>
        <w:t>la</w:t>
      </w:r>
      <w:r w:rsidRPr="004F31D7">
        <w:rPr>
          <w:rFonts w:ascii="Verdana" w:hAnsi="Verdana"/>
          <w:bCs/>
          <w:sz w:val="22"/>
          <w:szCs w:val="22"/>
        </w:rPr>
        <w:t xml:space="preserve"> interconexión Colombia-Ecuador. En el subcomité de Análisis y Planeación Eléctrica-SAPE del Consejo se estableció que </w:t>
      </w:r>
      <w:r w:rsidR="00E660A7">
        <w:rPr>
          <w:rFonts w:ascii="Verdana" w:hAnsi="Verdana"/>
          <w:bCs/>
          <w:sz w:val="22"/>
          <w:szCs w:val="22"/>
        </w:rPr>
        <w:t xml:space="preserve">dicha subestación </w:t>
      </w:r>
      <w:r w:rsidRPr="004F31D7">
        <w:rPr>
          <w:rFonts w:ascii="Verdana" w:hAnsi="Verdana"/>
          <w:bCs/>
          <w:sz w:val="22"/>
          <w:szCs w:val="22"/>
        </w:rPr>
        <w:t>no sol</w:t>
      </w:r>
      <w:r w:rsidR="00E660A7">
        <w:rPr>
          <w:rFonts w:ascii="Verdana" w:hAnsi="Verdana"/>
          <w:bCs/>
          <w:sz w:val="22"/>
          <w:szCs w:val="22"/>
        </w:rPr>
        <w:t xml:space="preserve">o </w:t>
      </w:r>
      <w:r w:rsidRPr="004F31D7">
        <w:rPr>
          <w:rFonts w:ascii="Verdana" w:hAnsi="Verdana"/>
          <w:bCs/>
          <w:sz w:val="22"/>
          <w:szCs w:val="22"/>
        </w:rPr>
        <w:t xml:space="preserve">modifica el </w:t>
      </w:r>
      <w:r w:rsidR="00E660A7">
        <w:rPr>
          <w:rFonts w:ascii="Verdana" w:hAnsi="Verdana"/>
          <w:bCs/>
          <w:sz w:val="22"/>
          <w:szCs w:val="22"/>
        </w:rPr>
        <w:t>E</w:t>
      </w:r>
      <w:r w:rsidRPr="004F31D7">
        <w:rPr>
          <w:rFonts w:ascii="Verdana" w:hAnsi="Verdana"/>
          <w:bCs/>
          <w:sz w:val="22"/>
          <w:szCs w:val="22"/>
        </w:rPr>
        <w:t>squema</w:t>
      </w:r>
      <w:r w:rsidR="00E660A7">
        <w:rPr>
          <w:rFonts w:ascii="Verdana" w:hAnsi="Verdana"/>
          <w:bCs/>
          <w:sz w:val="22"/>
          <w:szCs w:val="22"/>
        </w:rPr>
        <w:t xml:space="preserve"> de Separación de Áreas-</w:t>
      </w:r>
      <w:r w:rsidRPr="004F31D7">
        <w:rPr>
          <w:rFonts w:ascii="Verdana" w:hAnsi="Verdana"/>
          <w:bCs/>
          <w:sz w:val="22"/>
          <w:szCs w:val="22"/>
        </w:rPr>
        <w:t xml:space="preserve"> ESA</w:t>
      </w:r>
      <w:r w:rsidR="00E660A7">
        <w:rPr>
          <w:rFonts w:ascii="Verdana" w:hAnsi="Verdana"/>
          <w:bCs/>
          <w:sz w:val="22"/>
          <w:szCs w:val="22"/>
        </w:rPr>
        <w:t>. T</w:t>
      </w:r>
      <w:r w:rsidRPr="004F31D7">
        <w:rPr>
          <w:rFonts w:ascii="Verdana" w:hAnsi="Verdana"/>
          <w:bCs/>
          <w:sz w:val="22"/>
          <w:szCs w:val="22"/>
        </w:rPr>
        <w:t xml:space="preserve">ambién se debe analizar qué pasaría </w:t>
      </w:r>
      <w:r w:rsidR="00E660A7">
        <w:rPr>
          <w:rFonts w:ascii="Verdana" w:hAnsi="Verdana"/>
          <w:bCs/>
          <w:sz w:val="22"/>
          <w:szCs w:val="22"/>
        </w:rPr>
        <w:t xml:space="preserve">en </w:t>
      </w:r>
      <w:r w:rsidRPr="004F31D7">
        <w:rPr>
          <w:rFonts w:ascii="Verdana" w:hAnsi="Verdana"/>
          <w:bCs/>
          <w:sz w:val="22"/>
          <w:szCs w:val="22"/>
        </w:rPr>
        <w:t>el SIN si se presenta la salida de la subestación Pomasqui, ya que</w:t>
      </w:r>
      <w:r>
        <w:rPr>
          <w:rFonts w:ascii="Verdana" w:hAnsi="Verdana"/>
          <w:bCs/>
          <w:sz w:val="22"/>
          <w:szCs w:val="22"/>
        </w:rPr>
        <w:t>,</w:t>
      </w:r>
      <w:r w:rsidRPr="004F31D7">
        <w:rPr>
          <w:rFonts w:ascii="Verdana" w:hAnsi="Verdana"/>
          <w:bCs/>
          <w:sz w:val="22"/>
          <w:szCs w:val="22"/>
        </w:rPr>
        <w:t xml:space="preserve"> bajo esta topología, las cargas de Tulcán e Ibarra serían abastecidas desde Jamondino</w:t>
      </w:r>
      <w:r w:rsidR="00E660A7">
        <w:rPr>
          <w:rFonts w:ascii="Verdana" w:hAnsi="Verdana"/>
          <w:bCs/>
          <w:sz w:val="22"/>
          <w:szCs w:val="22"/>
        </w:rPr>
        <w:t xml:space="preserve"> 230 kV</w:t>
      </w:r>
      <w:r w:rsidRPr="004F31D7">
        <w:rPr>
          <w:rFonts w:ascii="Verdana" w:hAnsi="Verdana"/>
          <w:bCs/>
          <w:sz w:val="22"/>
          <w:szCs w:val="22"/>
        </w:rPr>
        <w:t xml:space="preserve">. Asimismo, varios </w:t>
      </w:r>
      <w:r w:rsidR="00E660A7">
        <w:rPr>
          <w:rFonts w:ascii="Verdana" w:hAnsi="Verdana"/>
          <w:bCs/>
          <w:sz w:val="22"/>
          <w:szCs w:val="22"/>
        </w:rPr>
        <w:t>a</w:t>
      </w:r>
      <w:r w:rsidRPr="004F31D7">
        <w:rPr>
          <w:rFonts w:ascii="Verdana" w:hAnsi="Verdana"/>
          <w:bCs/>
          <w:sz w:val="22"/>
          <w:szCs w:val="22"/>
        </w:rPr>
        <w:t xml:space="preserve">gentes manifestaron que debido a esta </w:t>
      </w:r>
      <w:r w:rsidR="00E660A7">
        <w:rPr>
          <w:rFonts w:ascii="Verdana" w:hAnsi="Verdana"/>
          <w:bCs/>
          <w:sz w:val="22"/>
          <w:szCs w:val="22"/>
        </w:rPr>
        <w:t>subestación</w:t>
      </w:r>
      <w:r w:rsidRPr="004F31D7">
        <w:rPr>
          <w:rFonts w:ascii="Verdana" w:hAnsi="Verdana"/>
          <w:bCs/>
          <w:sz w:val="22"/>
          <w:szCs w:val="22"/>
        </w:rPr>
        <w:t xml:space="preserve"> </w:t>
      </w:r>
      <w:r w:rsidR="00E660A7">
        <w:rPr>
          <w:rFonts w:ascii="Verdana" w:hAnsi="Verdana"/>
          <w:bCs/>
          <w:sz w:val="22"/>
          <w:szCs w:val="22"/>
        </w:rPr>
        <w:t>se deben hacer varias</w:t>
      </w:r>
      <w:r w:rsidRPr="004F31D7">
        <w:rPr>
          <w:rFonts w:ascii="Verdana" w:hAnsi="Verdana"/>
          <w:bCs/>
          <w:sz w:val="22"/>
          <w:szCs w:val="22"/>
        </w:rPr>
        <w:t xml:space="preserve"> adecuaciones</w:t>
      </w:r>
      <w:r w:rsidR="00E660A7">
        <w:rPr>
          <w:rFonts w:ascii="Verdana" w:hAnsi="Verdana"/>
          <w:bCs/>
          <w:sz w:val="22"/>
          <w:szCs w:val="22"/>
        </w:rPr>
        <w:t>,</w:t>
      </w:r>
      <w:r w:rsidRPr="004F31D7">
        <w:rPr>
          <w:rFonts w:ascii="Verdana" w:hAnsi="Verdana"/>
          <w:bCs/>
          <w:sz w:val="22"/>
          <w:szCs w:val="22"/>
        </w:rPr>
        <w:t xml:space="preserve"> y no es claro el tratamiento regulatorio de dichas inversiones.</w:t>
      </w:r>
    </w:p>
    <w:p w14:paraId="01F4FC37" w14:textId="77777777" w:rsidR="00E660A7" w:rsidRDefault="00E660A7" w:rsidP="007A40B0">
      <w:pPr>
        <w:pStyle w:val="Prrafodelista"/>
        <w:ind w:left="360"/>
        <w:jc w:val="both"/>
        <w:rPr>
          <w:rFonts w:ascii="Verdana" w:hAnsi="Verdana"/>
          <w:bCs/>
          <w:sz w:val="22"/>
          <w:szCs w:val="22"/>
        </w:rPr>
      </w:pPr>
    </w:p>
    <w:p w14:paraId="670F7503" w14:textId="3CA766A3" w:rsidR="00F05A28" w:rsidRDefault="009500FB" w:rsidP="00F05A28">
      <w:pPr>
        <w:pStyle w:val="Prrafodelista"/>
        <w:numPr>
          <w:ilvl w:val="0"/>
          <w:numId w:val="35"/>
        </w:numPr>
        <w:jc w:val="both"/>
        <w:rPr>
          <w:rFonts w:ascii="Verdana" w:hAnsi="Verdana"/>
          <w:bCs/>
          <w:sz w:val="22"/>
          <w:szCs w:val="22"/>
        </w:rPr>
      </w:pPr>
      <w:r w:rsidRPr="007A40B0">
        <w:rPr>
          <w:rFonts w:ascii="Verdana" w:hAnsi="Verdana"/>
          <w:bCs/>
          <w:sz w:val="22"/>
          <w:szCs w:val="22"/>
        </w:rPr>
        <w:t>Respecto a los análisis energéticos que lleva a cabo el CND, vale la pena destacar que los desbalances energéticos</w:t>
      </w:r>
      <w:r>
        <w:rPr>
          <w:rFonts w:ascii="Verdana" w:hAnsi="Verdana"/>
          <w:bCs/>
          <w:sz w:val="22"/>
          <w:szCs w:val="22"/>
        </w:rPr>
        <w:t xml:space="preserve"> del SIN</w:t>
      </w:r>
      <w:r w:rsidR="00CC44B6">
        <w:rPr>
          <w:rFonts w:ascii="Verdana" w:hAnsi="Verdana"/>
          <w:bCs/>
          <w:sz w:val="22"/>
          <w:szCs w:val="22"/>
        </w:rPr>
        <w:t>, considerados como datos de entrada para las simulaciones,</w:t>
      </w:r>
      <w:r w:rsidRPr="007A40B0">
        <w:rPr>
          <w:rFonts w:ascii="Verdana" w:hAnsi="Verdana"/>
          <w:bCs/>
          <w:sz w:val="22"/>
          <w:szCs w:val="22"/>
        </w:rPr>
        <w:t xml:space="preserve"> se redujeron </w:t>
      </w:r>
      <w:r w:rsidR="00CC44B6">
        <w:rPr>
          <w:rFonts w:ascii="Verdana" w:hAnsi="Verdana"/>
          <w:bCs/>
          <w:sz w:val="22"/>
          <w:szCs w:val="22"/>
        </w:rPr>
        <w:t xml:space="preserve">en promedio </w:t>
      </w:r>
      <w:r w:rsidRPr="007A40B0">
        <w:rPr>
          <w:rFonts w:ascii="Verdana" w:hAnsi="Verdana"/>
          <w:bCs/>
          <w:sz w:val="22"/>
          <w:szCs w:val="22"/>
        </w:rPr>
        <w:t>a 7.9 GWh-día</w:t>
      </w:r>
      <w:r>
        <w:rPr>
          <w:rFonts w:ascii="Verdana" w:hAnsi="Verdana"/>
          <w:bCs/>
          <w:sz w:val="22"/>
          <w:szCs w:val="22"/>
        </w:rPr>
        <w:t xml:space="preserve">, </w:t>
      </w:r>
      <w:r w:rsidRPr="007A40B0">
        <w:rPr>
          <w:rFonts w:ascii="Verdana" w:hAnsi="Verdana"/>
          <w:bCs/>
          <w:sz w:val="22"/>
          <w:szCs w:val="22"/>
        </w:rPr>
        <w:t xml:space="preserve">lo anterior sin tener en cuenta el “cálculo piloto” en masa </w:t>
      </w:r>
      <w:r w:rsidRPr="007A40B0">
        <w:rPr>
          <w:rFonts w:ascii="Verdana" w:hAnsi="Verdana"/>
          <w:bCs/>
          <w:sz w:val="22"/>
          <w:szCs w:val="22"/>
        </w:rPr>
        <w:lastRenderedPageBreak/>
        <w:t xml:space="preserve">solicitado por la CREG y la consideración de </w:t>
      </w:r>
      <w:r w:rsidR="00CC44B6">
        <w:rPr>
          <w:rFonts w:ascii="Verdana" w:hAnsi="Verdana"/>
          <w:bCs/>
          <w:sz w:val="22"/>
          <w:szCs w:val="22"/>
        </w:rPr>
        <w:t xml:space="preserve">la </w:t>
      </w:r>
      <w:r w:rsidRPr="007A40B0">
        <w:rPr>
          <w:rFonts w:ascii="Verdana" w:hAnsi="Verdana"/>
          <w:bCs/>
          <w:sz w:val="22"/>
          <w:szCs w:val="22"/>
        </w:rPr>
        <w:t>variación del factor de conversión respecto al volumen de los embalses.</w:t>
      </w:r>
      <w:r w:rsidR="00CC44B6">
        <w:rPr>
          <w:rFonts w:ascii="Verdana" w:hAnsi="Verdana"/>
          <w:bCs/>
          <w:sz w:val="22"/>
          <w:szCs w:val="22"/>
        </w:rPr>
        <w:t xml:space="preserve"> Teniendo en cuenta la importancia de este supuesto para el cálculo del indicador AE, definido en la Resolución CREG 026 </w:t>
      </w:r>
      <w:r w:rsidR="00EF492C">
        <w:rPr>
          <w:rFonts w:ascii="Verdana" w:hAnsi="Verdana"/>
          <w:bCs/>
          <w:sz w:val="22"/>
          <w:szCs w:val="22"/>
        </w:rPr>
        <w:t>de 2014</w:t>
      </w:r>
      <w:r w:rsidR="00CC44B6">
        <w:rPr>
          <w:rFonts w:ascii="Verdana" w:hAnsi="Verdana"/>
          <w:bCs/>
          <w:sz w:val="22"/>
          <w:szCs w:val="22"/>
        </w:rPr>
        <w:t xml:space="preserve"> (Estatuto para Situaciones de Riesgo de Desabastecimiento), y la actual situación de bajos aportes hídricos al SIN</w:t>
      </w:r>
      <w:r w:rsidR="00F05A28">
        <w:rPr>
          <w:rFonts w:ascii="Verdana" w:hAnsi="Verdana"/>
          <w:bCs/>
          <w:sz w:val="22"/>
          <w:szCs w:val="22"/>
        </w:rPr>
        <w:t xml:space="preserve"> se </w:t>
      </w:r>
      <w:r w:rsidR="00F05A28" w:rsidRPr="00F05A28">
        <w:rPr>
          <w:rFonts w:ascii="Verdana" w:hAnsi="Verdana"/>
          <w:bCs/>
          <w:sz w:val="22"/>
          <w:szCs w:val="22"/>
        </w:rPr>
        <w:t xml:space="preserve"> citar</w:t>
      </w:r>
      <w:r w:rsidR="00F05A28">
        <w:rPr>
          <w:rFonts w:ascii="Verdana" w:hAnsi="Verdana"/>
          <w:bCs/>
          <w:sz w:val="22"/>
          <w:szCs w:val="22"/>
        </w:rPr>
        <w:t>á</w:t>
      </w:r>
      <w:r w:rsidR="00F05A28" w:rsidRPr="00F05A28">
        <w:rPr>
          <w:rFonts w:ascii="Verdana" w:hAnsi="Verdana"/>
          <w:bCs/>
          <w:sz w:val="22"/>
          <w:szCs w:val="22"/>
        </w:rPr>
        <w:t xml:space="preserve"> de manera extraordinaria a los Subcomités de Recursos Energéticos Renovables-SURER y Planeamiento Operativo-SPO, para definir el valor de desbalance a considerar y dado el caso, la forma de su incorporación en el Modelo de Programación Dinámica Dual y Estocástica-SDDP. </w:t>
      </w:r>
    </w:p>
    <w:p w14:paraId="25039739" w14:textId="77777777" w:rsidR="004475E8" w:rsidRPr="00123AA8" w:rsidRDefault="004475E8" w:rsidP="00123AA8">
      <w:pPr>
        <w:rPr>
          <w:rFonts w:ascii="Verdana" w:hAnsi="Verdana"/>
          <w:bCs/>
          <w:sz w:val="22"/>
          <w:szCs w:val="22"/>
        </w:rPr>
      </w:pPr>
    </w:p>
    <w:p w14:paraId="330F7752" w14:textId="3F11DAB1" w:rsidR="00601AF6" w:rsidRDefault="004475E8" w:rsidP="004475E8">
      <w:pPr>
        <w:pStyle w:val="Prrafodelista"/>
        <w:numPr>
          <w:ilvl w:val="0"/>
          <w:numId w:val="35"/>
        </w:numPr>
        <w:jc w:val="both"/>
        <w:rPr>
          <w:rFonts w:ascii="Verdana" w:hAnsi="Verdana"/>
          <w:bCs/>
          <w:sz w:val="22"/>
          <w:szCs w:val="22"/>
        </w:rPr>
      </w:pPr>
      <w:r w:rsidRPr="00D3052A">
        <w:rPr>
          <w:rFonts w:ascii="Verdana" w:hAnsi="Verdana"/>
          <w:bCs/>
          <w:sz w:val="22"/>
          <w:szCs w:val="22"/>
        </w:rPr>
        <w:t xml:space="preserve">El CND revaluó nuevamente los informes de Planeamiento Operativo Eléctrico de Mediano y Largo Plazo, al igual que el Informe Trimestral de Restricciones. </w:t>
      </w:r>
      <w:r>
        <w:rPr>
          <w:rFonts w:ascii="Verdana" w:hAnsi="Verdana"/>
          <w:bCs/>
          <w:sz w:val="22"/>
          <w:szCs w:val="22"/>
        </w:rPr>
        <w:t>Los mismos fueron socializados en</w:t>
      </w:r>
      <w:r w:rsidR="00EB3502">
        <w:rPr>
          <w:rFonts w:ascii="Verdana" w:hAnsi="Verdana"/>
          <w:bCs/>
          <w:sz w:val="22"/>
          <w:szCs w:val="22"/>
        </w:rPr>
        <w:t xml:space="preserve"> </w:t>
      </w:r>
      <w:r w:rsidR="00601AF6">
        <w:rPr>
          <w:rFonts w:ascii="Verdana" w:hAnsi="Verdana"/>
          <w:bCs/>
          <w:sz w:val="22"/>
          <w:szCs w:val="22"/>
        </w:rPr>
        <w:t>el Subcomité de Análisis y Planeación Eléctrica</w:t>
      </w:r>
      <w:r w:rsidR="00470C3C">
        <w:rPr>
          <w:rFonts w:ascii="Verdana" w:hAnsi="Verdana"/>
          <w:bCs/>
          <w:sz w:val="22"/>
          <w:szCs w:val="22"/>
        </w:rPr>
        <w:t>-SAPE</w:t>
      </w:r>
      <w:r w:rsidR="00601AF6">
        <w:rPr>
          <w:rFonts w:ascii="Verdana" w:hAnsi="Verdana"/>
          <w:bCs/>
          <w:sz w:val="22"/>
          <w:szCs w:val="22"/>
        </w:rPr>
        <w:t xml:space="preserve"> y en los Comités de Operación, Transmisión y Distribución</w:t>
      </w:r>
      <w:r w:rsidR="00470C3C">
        <w:rPr>
          <w:rFonts w:ascii="Verdana" w:hAnsi="Verdana"/>
          <w:bCs/>
          <w:sz w:val="22"/>
          <w:szCs w:val="22"/>
        </w:rPr>
        <w:t xml:space="preserve"> (CO, CT y CD)</w:t>
      </w:r>
      <w:r w:rsidR="00601AF6">
        <w:rPr>
          <w:rFonts w:ascii="Verdana" w:hAnsi="Verdana"/>
          <w:bCs/>
          <w:sz w:val="22"/>
          <w:szCs w:val="22"/>
        </w:rPr>
        <w:t xml:space="preserve">. Los aspectos más relevantes de los mismos </w:t>
      </w:r>
      <w:r w:rsidR="007A40B0">
        <w:rPr>
          <w:rFonts w:ascii="Verdana" w:hAnsi="Verdana"/>
          <w:bCs/>
          <w:sz w:val="22"/>
          <w:szCs w:val="22"/>
        </w:rPr>
        <w:t xml:space="preserve">están en el anexo a este informe. </w:t>
      </w:r>
    </w:p>
    <w:p w14:paraId="736149F2" w14:textId="77777777" w:rsidR="00601AF6" w:rsidRPr="007A40B0" w:rsidRDefault="00601AF6" w:rsidP="007A40B0">
      <w:pPr>
        <w:pStyle w:val="Prrafodelista"/>
        <w:rPr>
          <w:rFonts w:ascii="Verdana" w:hAnsi="Verdana"/>
          <w:bCs/>
          <w:sz w:val="22"/>
          <w:szCs w:val="22"/>
        </w:rPr>
      </w:pPr>
    </w:p>
    <w:p w14:paraId="6FDAADDC" w14:textId="3C4E1351" w:rsidR="00A3794F" w:rsidRDefault="00A3794F" w:rsidP="00612225">
      <w:pPr>
        <w:pStyle w:val="Prrafodelista"/>
        <w:numPr>
          <w:ilvl w:val="0"/>
          <w:numId w:val="35"/>
        </w:numPr>
        <w:jc w:val="both"/>
        <w:rPr>
          <w:rFonts w:ascii="Verdana" w:hAnsi="Verdana"/>
          <w:bCs/>
          <w:sz w:val="22"/>
          <w:szCs w:val="22"/>
        </w:rPr>
      </w:pPr>
      <w:r>
        <w:rPr>
          <w:rFonts w:ascii="Verdana" w:hAnsi="Verdana"/>
          <w:bCs/>
          <w:sz w:val="22"/>
          <w:szCs w:val="22"/>
        </w:rPr>
        <w:t>Se llevó a cabo una reunión CREG-CNO-CND</w:t>
      </w:r>
      <w:r w:rsidR="00D326A3">
        <w:rPr>
          <w:rFonts w:ascii="Verdana" w:hAnsi="Verdana"/>
          <w:bCs/>
          <w:sz w:val="22"/>
          <w:szCs w:val="22"/>
        </w:rPr>
        <w:t>, en la cual la Comisión solicitó la elaboración de</w:t>
      </w:r>
      <w:r w:rsidR="00BB037D">
        <w:rPr>
          <w:rFonts w:ascii="Verdana" w:hAnsi="Verdana"/>
          <w:bCs/>
          <w:sz w:val="22"/>
          <w:szCs w:val="22"/>
        </w:rPr>
        <w:t>l</w:t>
      </w:r>
      <w:r w:rsidR="00D326A3">
        <w:rPr>
          <w:rFonts w:ascii="Verdana" w:hAnsi="Verdana"/>
          <w:bCs/>
          <w:sz w:val="22"/>
          <w:szCs w:val="22"/>
        </w:rPr>
        <w:t xml:space="preserve"> documento </w:t>
      </w:r>
      <w:r w:rsidR="007D0A41">
        <w:rPr>
          <w:rFonts w:ascii="Verdana" w:hAnsi="Verdana"/>
          <w:bCs/>
          <w:sz w:val="22"/>
          <w:szCs w:val="22"/>
        </w:rPr>
        <w:t xml:space="preserve">base </w:t>
      </w:r>
      <w:r w:rsidR="00BB037D">
        <w:rPr>
          <w:rFonts w:ascii="Verdana" w:hAnsi="Verdana"/>
          <w:bCs/>
          <w:sz w:val="22"/>
          <w:szCs w:val="22"/>
        </w:rPr>
        <w:t>que motiva el objetivo regulatorio de establecer un Reglamento de medición de variables hídricas para el cargo por confiabilidad y la operación.</w:t>
      </w:r>
      <w:r w:rsidR="00C8625B">
        <w:rPr>
          <w:rFonts w:ascii="Verdana" w:hAnsi="Verdana"/>
          <w:bCs/>
          <w:sz w:val="22"/>
          <w:szCs w:val="22"/>
        </w:rPr>
        <w:t xml:space="preserve"> El </w:t>
      </w:r>
      <w:r w:rsidR="00BB037D">
        <w:rPr>
          <w:rFonts w:ascii="Verdana" w:hAnsi="Verdana"/>
          <w:bCs/>
          <w:sz w:val="22"/>
          <w:szCs w:val="22"/>
        </w:rPr>
        <w:t xml:space="preserve">SURER está trabajando en el documento con el seguimiento de la CREG. </w:t>
      </w:r>
      <w:r w:rsidR="00C1089D">
        <w:rPr>
          <w:rFonts w:ascii="Verdana" w:hAnsi="Verdana"/>
          <w:bCs/>
          <w:sz w:val="22"/>
          <w:szCs w:val="22"/>
        </w:rPr>
        <w:t xml:space="preserve">El plazo definido por la CREG para </w:t>
      </w:r>
      <w:r w:rsidR="00BB037D">
        <w:rPr>
          <w:rFonts w:ascii="Verdana" w:hAnsi="Verdana"/>
          <w:bCs/>
          <w:sz w:val="22"/>
          <w:szCs w:val="22"/>
        </w:rPr>
        <w:t xml:space="preserve">completar </w:t>
      </w:r>
      <w:r w:rsidR="00C1089D">
        <w:rPr>
          <w:rFonts w:ascii="Verdana" w:hAnsi="Verdana"/>
          <w:bCs/>
          <w:sz w:val="22"/>
          <w:szCs w:val="22"/>
        </w:rPr>
        <w:t xml:space="preserve">el documento es el 30 de abril del </w:t>
      </w:r>
      <w:r w:rsidR="00E45F2E">
        <w:rPr>
          <w:rFonts w:ascii="Verdana" w:hAnsi="Verdana"/>
          <w:bCs/>
          <w:sz w:val="22"/>
          <w:szCs w:val="22"/>
        </w:rPr>
        <w:t>2020.</w:t>
      </w:r>
      <w:r w:rsidR="00D326A3">
        <w:rPr>
          <w:rFonts w:ascii="Verdana" w:hAnsi="Verdana"/>
          <w:bCs/>
          <w:sz w:val="22"/>
          <w:szCs w:val="22"/>
        </w:rPr>
        <w:t xml:space="preserve"> </w:t>
      </w:r>
    </w:p>
    <w:p w14:paraId="25B1C25B" w14:textId="77777777" w:rsidR="00A3794F" w:rsidRDefault="00A3794F" w:rsidP="007A40B0">
      <w:pPr>
        <w:pStyle w:val="Prrafodelista"/>
        <w:ind w:left="360"/>
        <w:jc w:val="both"/>
        <w:rPr>
          <w:rFonts w:ascii="Verdana" w:hAnsi="Verdana"/>
          <w:bCs/>
          <w:sz w:val="22"/>
          <w:szCs w:val="22"/>
        </w:rPr>
      </w:pPr>
    </w:p>
    <w:p w14:paraId="2FB02BAF" w14:textId="544EC9E5" w:rsidR="008B4949" w:rsidRPr="007A40B0" w:rsidRDefault="00B85D28">
      <w:pPr>
        <w:pStyle w:val="Prrafodelista"/>
        <w:numPr>
          <w:ilvl w:val="0"/>
          <w:numId w:val="35"/>
        </w:numPr>
        <w:jc w:val="both"/>
        <w:rPr>
          <w:rFonts w:ascii="Verdana" w:hAnsi="Verdana"/>
          <w:bCs/>
          <w:sz w:val="22"/>
          <w:szCs w:val="22"/>
        </w:rPr>
      </w:pPr>
      <w:r>
        <w:rPr>
          <w:rFonts w:ascii="Verdana" w:hAnsi="Verdana"/>
          <w:bCs/>
          <w:sz w:val="22"/>
          <w:szCs w:val="22"/>
        </w:rPr>
        <w:t>S</w:t>
      </w:r>
      <w:r w:rsidR="008B4949">
        <w:rPr>
          <w:rFonts w:ascii="Verdana" w:hAnsi="Verdana"/>
          <w:bCs/>
          <w:sz w:val="22"/>
          <w:szCs w:val="22"/>
        </w:rPr>
        <w:t xml:space="preserve">e están </w:t>
      </w:r>
      <w:r w:rsidR="00184F80">
        <w:rPr>
          <w:rFonts w:ascii="Verdana" w:hAnsi="Verdana"/>
          <w:bCs/>
          <w:sz w:val="22"/>
          <w:szCs w:val="22"/>
        </w:rPr>
        <w:t>llevando a cabo varias reuniones de</w:t>
      </w:r>
      <w:r w:rsidR="008B4949">
        <w:rPr>
          <w:rFonts w:ascii="Verdana" w:hAnsi="Verdana"/>
          <w:bCs/>
          <w:sz w:val="22"/>
          <w:szCs w:val="22"/>
        </w:rPr>
        <w:t xml:space="preserve"> los grupos de trabajo</w:t>
      </w:r>
      <w:r w:rsidR="00184F80">
        <w:rPr>
          <w:rFonts w:ascii="Verdana" w:hAnsi="Verdana"/>
          <w:bCs/>
          <w:sz w:val="22"/>
          <w:szCs w:val="22"/>
        </w:rPr>
        <w:t xml:space="preserve"> para</w:t>
      </w:r>
      <w:r w:rsidR="008B4949">
        <w:rPr>
          <w:rFonts w:ascii="Verdana" w:hAnsi="Verdana"/>
          <w:bCs/>
          <w:sz w:val="22"/>
          <w:szCs w:val="22"/>
        </w:rPr>
        <w:t xml:space="preserve"> la definición de</w:t>
      </w:r>
      <w:r w:rsidR="00184F80">
        <w:rPr>
          <w:rFonts w:ascii="Verdana" w:hAnsi="Verdana"/>
          <w:bCs/>
          <w:sz w:val="22"/>
          <w:szCs w:val="22"/>
        </w:rPr>
        <w:t xml:space="preserve"> </w:t>
      </w:r>
      <w:r w:rsidR="008B4949">
        <w:rPr>
          <w:rFonts w:ascii="Verdana" w:hAnsi="Verdana"/>
          <w:bCs/>
          <w:sz w:val="22"/>
          <w:szCs w:val="22"/>
        </w:rPr>
        <w:t>l</w:t>
      </w:r>
      <w:r w:rsidR="00184F80">
        <w:rPr>
          <w:rFonts w:ascii="Verdana" w:hAnsi="Verdana"/>
          <w:bCs/>
          <w:sz w:val="22"/>
          <w:szCs w:val="22"/>
        </w:rPr>
        <w:t>os</w:t>
      </w:r>
      <w:r w:rsidR="008B4949">
        <w:rPr>
          <w:rFonts w:ascii="Verdana" w:hAnsi="Verdana"/>
          <w:bCs/>
          <w:sz w:val="22"/>
          <w:szCs w:val="22"/>
        </w:rPr>
        <w:t xml:space="preserve"> nuevo</w:t>
      </w:r>
      <w:r w:rsidR="00184F80">
        <w:rPr>
          <w:rFonts w:ascii="Verdana" w:hAnsi="Verdana"/>
          <w:bCs/>
          <w:sz w:val="22"/>
          <w:szCs w:val="22"/>
        </w:rPr>
        <w:t>s</w:t>
      </w:r>
      <w:r w:rsidR="008B4949">
        <w:rPr>
          <w:rFonts w:ascii="Verdana" w:hAnsi="Verdana"/>
          <w:bCs/>
          <w:sz w:val="22"/>
          <w:szCs w:val="22"/>
        </w:rPr>
        <w:t xml:space="preserve"> Acuerdo</w:t>
      </w:r>
      <w:r w:rsidR="00184F80">
        <w:rPr>
          <w:rFonts w:ascii="Verdana" w:hAnsi="Verdana"/>
          <w:bCs/>
          <w:sz w:val="22"/>
          <w:szCs w:val="22"/>
        </w:rPr>
        <w:t>s</w:t>
      </w:r>
      <w:r w:rsidR="008B4949">
        <w:rPr>
          <w:rFonts w:ascii="Verdana" w:hAnsi="Verdana"/>
          <w:bCs/>
          <w:sz w:val="22"/>
          <w:szCs w:val="22"/>
        </w:rPr>
        <w:t xml:space="preserve"> </w:t>
      </w:r>
      <w:r>
        <w:rPr>
          <w:rFonts w:ascii="Verdana" w:hAnsi="Verdana"/>
          <w:bCs/>
          <w:sz w:val="22"/>
          <w:szCs w:val="22"/>
        </w:rPr>
        <w:t>asociados</w:t>
      </w:r>
      <w:r w:rsidR="008B4949">
        <w:rPr>
          <w:rFonts w:ascii="Verdana" w:hAnsi="Verdana"/>
          <w:bCs/>
          <w:sz w:val="22"/>
          <w:szCs w:val="22"/>
        </w:rPr>
        <w:t xml:space="preserve"> con los parámetros y la entrada de nuevos Sistemas de Almacenamientos de Energía a través de Baterías-SAEB</w:t>
      </w:r>
      <w:r w:rsidR="008B4949" w:rsidRPr="007A40B0">
        <w:rPr>
          <w:rFonts w:ascii="Verdana" w:hAnsi="Verdana"/>
          <w:bCs/>
          <w:sz w:val="22"/>
          <w:szCs w:val="22"/>
        </w:rPr>
        <w:t>.</w:t>
      </w:r>
      <w:r w:rsidR="00184F80">
        <w:rPr>
          <w:rFonts w:ascii="Verdana" w:hAnsi="Verdana"/>
          <w:bCs/>
          <w:sz w:val="22"/>
          <w:szCs w:val="22"/>
        </w:rPr>
        <w:t xml:space="preserve"> </w:t>
      </w:r>
      <w:r w:rsidR="00BB037D">
        <w:rPr>
          <w:rFonts w:ascii="Verdana" w:hAnsi="Verdana"/>
          <w:bCs/>
          <w:sz w:val="22"/>
          <w:szCs w:val="22"/>
        </w:rPr>
        <w:t>E</w:t>
      </w:r>
      <w:r w:rsidR="00184F80">
        <w:rPr>
          <w:rFonts w:ascii="Verdana" w:hAnsi="Verdana"/>
          <w:bCs/>
          <w:sz w:val="22"/>
          <w:szCs w:val="22"/>
        </w:rPr>
        <w:t>l Subcomité de Planeamiento Operativo</w:t>
      </w:r>
      <w:r>
        <w:rPr>
          <w:rFonts w:ascii="Verdana" w:hAnsi="Verdana"/>
          <w:bCs/>
          <w:sz w:val="22"/>
          <w:szCs w:val="22"/>
        </w:rPr>
        <w:t>-SPO</w:t>
      </w:r>
      <w:r w:rsidR="00184F80">
        <w:rPr>
          <w:rFonts w:ascii="Verdana" w:hAnsi="Verdana"/>
          <w:bCs/>
          <w:sz w:val="22"/>
          <w:szCs w:val="22"/>
        </w:rPr>
        <w:t xml:space="preserve"> está construyendo</w:t>
      </w:r>
      <w:r>
        <w:rPr>
          <w:rFonts w:ascii="Verdana" w:hAnsi="Verdana"/>
          <w:bCs/>
          <w:sz w:val="22"/>
          <w:szCs w:val="22"/>
        </w:rPr>
        <w:t xml:space="preserve"> un documento de observaciones a la propuesta CND “</w:t>
      </w:r>
      <w:r w:rsidRPr="007A40B0">
        <w:rPr>
          <w:rFonts w:ascii="Verdana" w:hAnsi="Verdana"/>
          <w:bCs/>
          <w:i/>
          <w:iCs/>
          <w:sz w:val="22"/>
          <w:szCs w:val="22"/>
        </w:rPr>
        <w:t>Procedimiento para la determinación de los procesos de carga y descarga de los Sistemas de Almacenamiento de Energía Eléctrica con Baterías</w:t>
      </w:r>
      <w:r w:rsidRPr="007A40B0">
        <w:rPr>
          <w:rFonts w:ascii="Verdana" w:hAnsi="Verdana"/>
          <w:bCs/>
          <w:sz w:val="22"/>
          <w:szCs w:val="22"/>
        </w:rPr>
        <w:t>”</w:t>
      </w:r>
      <w:r>
        <w:rPr>
          <w:rFonts w:ascii="Verdana" w:hAnsi="Verdana"/>
          <w:bCs/>
          <w:sz w:val="22"/>
          <w:szCs w:val="22"/>
        </w:rPr>
        <w:t>. Es importante mencionar que</w:t>
      </w:r>
      <w:r w:rsidR="00024740">
        <w:rPr>
          <w:rFonts w:ascii="Verdana" w:hAnsi="Verdana"/>
          <w:bCs/>
          <w:sz w:val="22"/>
          <w:szCs w:val="22"/>
        </w:rPr>
        <w:t>,</w:t>
      </w:r>
      <w:r>
        <w:rPr>
          <w:rFonts w:ascii="Verdana" w:hAnsi="Verdana"/>
          <w:bCs/>
          <w:sz w:val="22"/>
          <w:szCs w:val="22"/>
        </w:rPr>
        <w:t xml:space="preserve"> en el marco de estas reuniones</w:t>
      </w:r>
      <w:r w:rsidR="00024740">
        <w:rPr>
          <w:rFonts w:ascii="Verdana" w:hAnsi="Verdana"/>
          <w:bCs/>
          <w:sz w:val="22"/>
          <w:szCs w:val="22"/>
        </w:rPr>
        <w:t xml:space="preserve"> y revisiones,</w:t>
      </w:r>
      <w:r>
        <w:rPr>
          <w:rFonts w:ascii="Verdana" w:hAnsi="Verdana"/>
          <w:bCs/>
          <w:sz w:val="22"/>
          <w:szCs w:val="22"/>
        </w:rPr>
        <w:t xml:space="preserve"> han surgido nuevas inquietudes sobre la Resolución CREG 098 de 2019, </w:t>
      </w:r>
      <w:r w:rsidR="00024740">
        <w:rPr>
          <w:rFonts w:ascii="Verdana" w:hAnsi="Verdana"/>
          <w:bCs/>
          <w:sz w:val="22"/>
          <w:szCs w:val="22"/>
        </w:rPr>
        <w:t xml:space="preserve">como es el tratamiento de la indisponibilidad de inversores, los requisitos de conexión de los SAEB en los SDL, entre otros.  </w:t>
      </w:r>
      <w:r w:rsidR="00BB037D">
        <w:rPr>
          <w:rFonts w:ascii="Verdana" w:hAnsi="Verdana"/>
          <w:bCs/>
          <w:sz w:val="22"/>
          <w:szCs w:val="22"/>
        </w:rPr>
        <w:t>S</w:t>
      </w:r>
      <w:r>
        <w:rPr>
          <w:rFonts w:ascii="Verdana" w:hAnsi="Verdana"/>
          <w:bCs/>
          <w:sz w:val="22"/>
          <w:szCs w:val="22"/>
        </w:rPr>
        <w:t xml:space="preserve">e </w:t>
      </w:r>
      <w:r w:rsidR="00BB037D">
        <w:rPr>
          <w:rFonts w:ascii="Verdana" w:hAnsi="Verdana"/>
          <w:bCs/>
          <w:sz w:val="22"/>
          <w:szCs w:val="22"/>
        </w:rPr>
        <w:t xml:space="preserve">preparará una comunicación para la Comisión con los comentarios e inquietudes. </w:t>
      </w:r>
    </w:p>
    <w:p w14:paraId="1488A4EE" w14:textId="77777777" w:rsidR="008B4949" w:rsidRPr="007A40B0" w:rsidRDefault="008B4949" w:rsidP="007A40B0">
      <w:pPr>
        <w:pStyle w:val="Prrafodelista"/>
        <w:rPr>
          <w:rFonts w:ascii="Verdana" w:hAnsi="Verdana"/>
          <w:bCs/>
          <w:sz w:val="22"/>
          <w:szCs w:val="22"/>
        </w:rPr>
      </w:pPr>
    </w:p>
    <w:p w14:paraId="7B577529" w14:textId="10E6DAF8" w:rsidR="00024740" w:rsidRDefault="00024740" w:rsidP="00612225">
      <w:pPr>
        <w:pStyle w:val="Prrafodelista"/>
        <w:numPr>
          <w:ilvl w:val="0"/>
          <w:numId w:val="35"/>
        </w:numPr>
        <w:jc w:val="both"/>
        <w:rPr>
          <w:rFonts w:ascii="Verdana" w:hAnsi="Verdana"/>
          <w:bCs/>
          <w:sz w:val="22"/>
          <w:szCs w:val="22"/>
        </w:rPr>
      </w:pPr>
      <w:r>
        <w:rPr>
          <w:rFonts w:ascii="Verdana" w:hAnsi="Verdana"/>
          <w:bCs/>
          <w:sz w:val="22"/>
          <w:szCs w:val="22"/>
        </w:rPr>
        <w:t>En el Comité de Distribución</w:t>
      </w:r>
      <w:r w:rsidR="007A40B0">
        <w:rPr>
          <w:rFonts w:ascii="Verdana" w:hAnsi="Verdana"/>
          <w:bCs/>
          <w:sz w:val="22"/>
          <w:szCs w:val="22"/>
        </w:rPr>
        <w:t>,</w:t>
      </w:r>
      <w:r>
        <w:rPr>
          <w:rFonts w:ascii="Verdana" w:hAnsi="Verdana"/>
          <w:bCs/>
          <w:sz w:val="22"/>
          <w:szCs w:val="22"/>
        </w:rPr>
        <w:t xml:space="preserve"> e</w:t>
      </w:r>
      <w:r w:rsidR="00E25C44">
        <w:rPr>
          <w:rFonts w:ascii="Verdana" w:hAnsi="Verdana"/>
          <w:bCs/>
          <w:sz w:val="22"/>
          <w:szCs w:val="22"/>
        </w:rPr>
        <w:t>l</w:t>
      </w:r>
      <w:r>
        <w:rPr>
          <w:rFonts w:ascii="Verdana" w:hAnsi="Verdana"/>
          <w:bCs/>
          <w:sz w:val="22"/>
          <w:szCs w:val="22"/>
        </w:rPr>
        <w:t xml:space="preserve"> CND presentó</w:t>
      </w:r>
      <w:r w:rsidR="00914416">
        <w:rPr>
          <w:rFonts w:ascii="Verdana" w:hAnsi="Verdana"/>
          <w:bCs/>
          <w:sz w:val="22"/>
          <w:szCs w:val="22"/>
        </w:rPr>
        <w:t xml:space="preserve"> el comportamiento del indicador de desviaciones de demanda respecto a sus pronósticos, para cada mercado de comercialización</w:t>
      </w:r>
      <w:r>
        <w:rPr>
          <w:rFonts w:ascii="Verdana" w:hAnsi="Verdana"/>
          <w:bCs/>
          <w:sz w:val="22"/>
          <w:szCs w:val="22"/>
        </w:rPr>
        <w:t xml:space="preserve"> </w:t>
      </w:r>
      <w:r w:rsidR="00914416">
        <w:rPr>
          <w:rFonts w:ascii="Verdana" w:hAnsi="Verdana"/>
          <w:bCs/>
          <w:sz w:val="22"/>
          <w:szCs w:val="22"/>
        </w:rPr>
        <w:t xml:space="preserve">y para </w:t>
      </w:r>
      <w:r w:rsidR="00FC6278">
        <w:rPr>
          <w:rFonts w:ascii="Verdana" w:hAnsi="Verdana"/>
          <w:bCs/>
          <w:sz w:val="22"/>
          <w:szCs w:val="22"/>
        </w:rPr>
        <w:t xml:space="preserve">los días 21, 22, 23 y 24 </w:t>
      </w:r>
      <w:r w:rsidR="00914416">
        <w:rPr>
          <w:rFonts w:ascii="Verdana" w:hAnsi="Verdana"/>
          <w:bCs/>
          <w:sz w:val="22"/>
          <w:szCs w:val="22"/>
        </w:rPr>
        <w:t>de diciembre de 2019. Los resultados evidencian</w:t>
      </w:r>
      <w:r w:rsidR="00FC6278">
        <w:rPr>
          <w:rFonts w:ascii="Verdana" w:hAnsi="Verdana"/>
          <w:bCs/>
          <w:sz w:val="22"/>
          <w:szCs w:val="22"/>
        </w:rPr>
        <w:t xml:space="preserve"> que en varios periodos horarios las desviaciones totales del SIN fueron superiores a 450 MW, y en algunos casos alcanzaron valores cercanos a 1100 MW. Es por ello que estas desviaciones, y las ocasionadas por la generación menor no despachada centralmente, son cubiertas con el Control Automático de Generación-AGC, y cuando este se agota, con los recursos marginales del SIN. </w:t>
      </w:r>
      <w:r w:rsidR="00F9563C">
        <w:rPr>
          <w:rFonts w:ascii="Verdana" w:hAnsi="Verdana"/>
          <w:bCs/>
          <w:sz w:val="22"/>
          <w:szCs w:val="22"/>
        </w:rPr>
        <w:t>Se envío una comunicación a la CREG solicitándole medidas regulatorias que incentiven a los responsables de los pronósticos de la demanda (agentes y usuarios finales).</w:t>
      </w:r>
    </w:p>
    <w:p w14:paraId="6536AF89" w14:textId="77777777" w:rsidR="00024740" w:rsidRPr="00123AA8" w:rsidRDefault="00024740" w:rsidP="00123AA8">
      <w:pPr>
        <w:rPr>
          <w:rFonts w:ascii="Verdana" w:hAnsi="Verdana"/>
          <w:bCs/>
          <w:sz w:val="22"/>
          <w:szCs w:val="22"/>
        </w:rPr>
      </w:pPr>
    </w:p>
    <w:p w14:paraId="610F9F59" w14:textId="41325370" w:rsidR="007908A2" w:rsidRDefault="009317EF" w:rsidP="00612225">
      <w:pPr>
        <w:pStyle w:val="Prrafodelista"/>
        <w:numPr>
          <w:ilvl w:val="0"/>
          <w:numId w:val="35"/>
        </w:numPr>
        <w:jc w:val="both"/>
        <w:rPr>
          <w:rFonts w:ascii="Verdana" w:hAnsi="Verdana"/>
          <w:bCs/>
          <w:sz w:val="22"/>
          <w:szCs w:val="22"/>
        </w:rPr>
      </w:pPr>
      <w:r>
        <w:rPr>
          <w:rFonts w:ascii="Verdana" w:hAnsi="Verdana"/>
          <w:bCs/>
          <w:sz w:val="22"/>
          <w:szCs w:val="22"/>
        </w:rPr>
        <w:t xml:space="preserve">Está pendiente agendar </w:t>
      </w:r>
      <w:r w:rsidR="00F3476A" w:rsidRPr="00D3052A">
        <w:rPr>
          <w:rFonts w:ascii="Verdana" w:hAnsi="Verdana"/>
          <w:bCs/>
          <w:sz w:val="22"/>
          <w:szCs w:val="22"/>
        </w:rPr>
        <w:t xml:space="preserve">la </w:t>
      </w:r>
      <w:r w:rsidR="00137C47">
        <w:rPr>
          <w:rFonts w:ascii="Verdana" w:hAnsi="Verdana"/>
          <w:bCs/>
          <w:sz w:val="22"/>
          <w:szCs w:val="22"/>
        </w:rPr>
        <w:t>séptima</w:t>
      </w:r>
      <w:r w:rsidR="00F3476A" w:rsidRPr="00D3052A">
        <w:rPr>
          <w:rFonts w:ascii="Verdana" w:hAnsi="Verdana"/>
          <w:bCs/>
          <w:sz w:val="22"/>
          <w:szCs w:val="22"/>
        </w:rPr>
        <w:t xml:space="preserve"> reunión </w:t>
      </w:r>
      <w:r w:rsidR="0091073A" w:rsidRPr="00D3052A">
        <w:rPr>
          <w:rFonts w:ascii="Verdana" w:hAnsi="Verdana"/>
          <w:bCs/>
          <w:sz w:val="22"/>
          <w:szCs w:val="22"/>
        </w:rPr>
        <w:t xml:space="preserve">de coordinación Gas/Electricidad </w:t>
      </w:r>
      <w:r>
        <w:rPr>
          <w:rFonts w:ascii="Verdana" w:hAnsi="Verdana"/>
          <w:bCs/>
          <w:sz w:val="22"/>
          <w:szCs w:val="22"/>
        </w:rPr>
        <w:t xml:space="preserve">entre el CNO eléctrico y el CNO gas. En ella se presentará por parte del sector eléctrico la propuesta para definir una nueva causal de redespacho, cuando se presenten limitaciones de suministro por restricciones del Sistema Nacional de Transporte de GAS-SNT. Asimismo, el sector gas socializará su propuesta de </w:t>
      </w:r>
      <w:r w:rsidR="007908A2">
        <w:rPr>
          <w:rFonts w:ascii="Verdana" w:hAnsi="Verdana"/>
          <w:bCs/>
          <w:sz w:val="22"/>
          <w:szCs w:val="22"/>
        </w:rPr>
        <w:t xml:space="preserve">intercambio </w:t>
      </w:r>
      <w:r>
        <w:rPr>
          <w:rFonts w:ascii="Verdana" w:hAnsi="Verdana"/>
          <w:bCs/>
          <w:sz w:val="22"/>
          <w:szCs w:val="22"/>
        </w:rPr>
        <w:t>de información</w:t>
      </w:r>
      <w:r w:rsidR="007908A2">
        <w:rPr>
          <w:rFonts w:ascii="Verdana" w:hAnsi="Verdana"/>
          <w:bCs/>
          <w:sz w:val="22"/>
          <w:szCs w:val="22"/>
        </w:rPr>
        <w:t xml:space="preserve"> operativa entre</w:t>
      </w:r>
      <w:r>
        <w:rPr>
          <w:rFonts w:ascii="Verdana" w:hAnsi="Verdana"/>
          <w:bCs/>
          <w:sz w:val="22"/>
          <w:szCs w:val="22"/>
        </w:rPr>
        <w:t xml:space="preserve"> los dos sectores</w:t>
      </w:r>
      <w:r w:rsidR="007908A2">
        <w:rPr>
          <w:rFonts w:ascii="Verdana" w:hAnsi="Verdana"/>
          <w:bCs/>
          <w:sz w:val="22"/>
          <w:szCs w:val="22"/>
        </w:rPr>
        <w:t xml:space="preserve">. </w:t>
      </w:r>
      <w:r w:rsidR="00F9563C">
        <w:rPr>
          <w:rFonts w:ascii="Verdana" w:hAnsi="Verdana"/>
          <w:bCs/>
          <w:sz w:val="22"/>
          <w:szCs w:val="22"/>
        </w:rPr>
        <w:t>Co</w:t>
      </w:r>
      <w:r w:rsidR="007908A2">
        <w:rPr>
          <w:rFonts w:ascii="Verdana" w:hAnsi="Verdana"/>
          <w:bCs/>
          <w:sz w:val="22"/>
          <w:szCs w:val="22"/>
        </w:rPr>
        <w:t>n relación a la incorporación de la coordinación Gas/Electricidad en el despacho vinculante y el mercado intradiario, el Subcomité de Plantas se reunirá para formular un documento de trabajo entre los dos Con</w:t>
      </w:r>
      <w:r w:rsidR="00F9563C">
        <w:rPr>
          <w:rFonts w:ascii="Verdana" w:hAnsi="Verdana"/>
          <w:bCs/>
          <w:sz w:val="22"/>
          <w:szCs w:val="22"/>
        </w:rPr>
        <w:t>s</w:t>
      </w:r>
      <w:r w:rsidR="007908A2">
        <w:rPr>
          <w:rFonts w:ascii="Verdana" w:hAnsi="Verdana"/>
          <w:bCs/>
          <w:sz w:val="22"/>
          <w:szCs w:val="22"/>
        </w:rPr>
        <w:t>ejos.</w:t>
      </w:r>
    </w:p>
    <w:p w14:paraId="55F12874" w14:textId="3AFC9C39" w:rsidR="007908A2" w:rsidRDefault="007908A2" w:rsidP="007A40B0">
      <w:pPr>
        <w:pStyle w:val="Prrafodelista"/>
        <w:ind w:left="360"/>
        <w:jc w:val="both"/>
        <w:rPr>
          <w:rFonts w:ascii="Verdana" w:hAnsi="Verdana"/>
          <w:bCs/>
          <w:sz w:val="22"/>
          <w:szCs w:val="22"/>
        </w:rPr>
      </w:pPr>
    </w:p>
    <w:p w14:paraId="3825981A" w14:textId="5ACE5B97" w:rsidR="00C87335" w:rsidRDefault="005C75B2">
      <w:pPr>
        <w:pStyle w:val="Prrafodelista"/>
        <w:numPr>
          <w:ilvl w:val="0"/>
          <w:numId w:val="35"/>
        </w:numPr>
        <w:jc w:val="both"/>
        <w:rPr>
          <w:rFonts w:ascii="Verdana" w:hAnsi="Verdana"/>
          <w:bCs/>
          <w:sz w:val="22"/>
          <w:szCs w:val="22"/>
        </w:rPr>
      </w:pPr>
      <w:r w:rsidRPr="008B4949">
        <w:rPr>
          <w:rFonts w:ascii="Verdana" w:hAnsi="Verdana"/>
          <w:bCs/>
          <w:sz w:val="22"/>
          <w:szCs w:val="22"/>
        </w:rPr>
        <w:lastRenderedPageBreak/>
        <w:t>R</w:t>
      </w:r>
      <w:r w:rsidR="008D6CC0" w:rsidRPr="008B4949">
        <w:rPr>
          <w:rFonts w:ascii="Verdana" w:hAnsi="Verdana"/>
          <w:bCs/>
          <w:sz w:val="22"/>
          <w:szCs w:val="22"/>
        </w:rPr>
        <w:t xml:space="preserve">especto a </w:t>
      </w:r>
      <w:r w:rsidR="00A642A5" w:rsidRPr="008B4949">
        <w:rPr>
          <w:rFonts w:ascii="Verdana" w:hAnsi="Verdana"/>
          <w:bCs/>
          <w:sz w:val="22"/>
          <w:szCs w:val="22"/>
        </w:rPr>
        <w:t xml:space="preserve">la </w:t>
      </w:r>
      <w:r w:rsidR="00F3476A" w:rsidRPr="008B4949">
        <w:rPr>
          <w:rFonts w:ascii="Verdana" w:hAnsi="Verdana"/>
          <w:bCs/>
          <w:sz w:val="22"/>
          <w:szCs w:val="22"/>
        </w:rPr>
        <w:t>Resolución CREG 200 de 2019</w:t>
      </w:r>
      <w:r w:rsidR="00A642A5" w:rsidRPr="008B4949">
        <w:rPr>
          <w:rFonts w:ascii="Verdana" w:hAnsi="Verdana"/>
          <w:bCs/>
          <w:sz w:val="22"/>
          <w:szCs w:val="22"/>
        </w:rPr>
        <w:t>, “</w:t>
      </w:r>
      <w:r w:rsidR="00A642A5" w:rsidRPr="007908A2">
        <w:rPr>
          <w:rFonts w:ascii="Verdana" w:hAnsi="Verdana"/>
          <w:bCs/>
          <w:i/>
          <w:iCs/>
          <w:sz w:val="22"/>
          <w:szCs w:val="22"/>
        </w:rPr>
        <w:t>por la cual se define un esquema para permitir que los generadores puedan compartir activos de conexión al SIN</w:t>
      </w:r>
      <w:r w:rsidR="00A642A5" w:rsidRPr="008B4949">
        <w:rPr>
          <w:rFonts w:ascii="Verdana" w:hAnsi="Verdana"/>
          <w:bCs/>
          <w:sz w:val="22"/>
          <w:szCs w:val="22"/>
        </w:rPr>
        <w:t>”</w:t>
      </w:r>
      <w:r w:rsidRPr="008B4949">
        <w:rPr>
          <w:rFonts w:ascii="Verdana" w:hAnsi="Verdana"/>
          <w:bCs/>
          <w:sz w:val="22"/>
          <w:szCs w:val="22"/>
        </w:rPr>
        <w:t>,</w:t>
      </w:r>
      <w:r w:rsidR="007908A2">
        <w:rPr>
          <w:rFonts w:ascii="Verdana" w:hAnsi="Verdana"/>
          <w:bCs/>
          <w:sz w:val="22"/>
          <w:szCs w:val="22"/>
        </w:rPr>
        <w:t xml:space="preserve"> se llevó a cabo una reunión entre presidentes y coordinadores técnicos de cada uno de los subcomités y comités del Consejo, para identificar los Acuerdos que deben ser modificados por la expedición de esta norma.</w:t>
      </w:r>
      <w:r w:rsidR="00C87335">
        <w:rPr>
          <w:rFonts w:ascii="Verdana" w:hAnsi="Verdana"/>
          <w:bCs/>
          <w:sz w:val="22"/>
          <w:szCs w:val="22"/>
        </w:rPr>
        <w:t xml:space="preserve"> La síntesis de la reunión fue la siguiente:</w:t>
      </w:r>
    </w:p>
    <w:p w14:paraId="28F91793" w14:textId="77777777" w:rsidR="00C87335" w:rsidRDefault="00C87335" w:rsidP="00C87335">
      <w:pPr>
        <w:pStyle w:val="Prrafodelista"/>
        <w:ind w:left="360"/>
        <w:jc w:val="both"/>
        <w:rPr>
          <w:rFonts w:ascii="Verdana" w:hAnsi="Verdana"/>
          <w:bCs/>
          <w:sz w:val="22"/>
          <w:szCs w:val="22"/>
        </w:rPr>
      </w:pPr>
    </w:p>
    <w:p w14:paraId="3467F16D" w14:textId="2CAD356D" w:rsidR="00C87335" w:rsidRDefault="00C87335" w:rsidP="00C87335">
      <w:pPr>
        <w:pStyle w:val="Prrafodelista"/>
        <w:numPr>
          <w:ilvl w:val="0"/>
          <w:numId w:val="42"/>
        </w:numPr>
        <w:jc w:val="both"/>
        <w:rPr>
          <w:rFonts w:ascii="Verdana" w:hAnsi="Verdana"/>
          <w:bCs/>
          <w:sz w:val="22"/>
          <w:szCs w:val="22"/>
        </w:rPr>
      </w:pPr>
      <w:r w:rsidRPr="00C87335">
        <w:rPr>
          <w:rFonts w:ascii="Verdana" w:hAnsi="Verdana"/>
          <w:bCs/>
          <w:sz w:val="22"/>
          <w:szCs w:val="22"/>
        </w:rPr>
        <w:t xml:space="preserve">El plazo regulatorio </w:t>
      </w:r>
      <w:r>
        <w:rPr>
          <w:rFonts w:ascii="Verdana" w:hAnsi="Verdana"/>
          <w:bCs/>
          <w:sz w:val="22"/>
          <w:szCs w:val="22"/>
        </w:rPr>
        <w:t xml:space="preserve">para ajustar los Acuerdos </w:t>
      </w:r>
      <w:r w:rsidRPr="00C87335">
        <w:rPr>
          <w:rFonts w:ascii="Verdana" w:hAnsi="Verdana"/>
          <w:bCs/>
          <w:sz w:val="22"/>
          <w:szCs w:val="22"/>
        </w:rPr>
        <w:t>vence el 18 de mayo de 2020.</w:t>
      </w:r>
    </w:p>
    <w:p w14:paraId="6CFB0CB4" w14:textId="77777777" w:rsidR="00C87335" w:rsidRDefault="00C87335" w:rsidP="007A40B0">
      <w:pPr>
        <w:pStyle w:val="Prrafodelista"/>
        <w:ind w:left="720"/>
        <w:jc w:val="both"/>
        <w:rPr>
          <w:rFonts w:ascii="Verdana" w:hAnsi="Verdana"/>
          <w:bCs/>
          <w:sz w:val="22"/>
          <w:szCs w:val="22"/>
        </w:rPr>
      </w:pPr>
    </w:p>
    <w:p w14:paraId="27F89502" w14:textId="26CA084F" w:rsidR="00C87335" w:rsidRDefault="00C87335" w:rsidP="00C87335">
      <w:pPr>
        <w:pStyle w:val="Prrafodelista"/>
        <w:numPr>
          <w:ilvl w:val="0"/>
          <w:numId w:val="42"/>
        </w:numPr>
        <w:jc w:val="both"/>
        <w:rPr>
          <w:rFonts w:ascii="Verdana" w:hAnsi="Verdana"/>
          <w:bCs/>
          <w:sz w:val="22"/>
          <w:szCs w:val="22"/>
        </w:rPr>
      </w:pPr>
      <w:r>
        <w:rPr>
          <w:rFonts w:ascii="Verdana" w:hAnsi="Verdana"/>
          <w:bCs/>
          <w:sz w:val="22"/>
          <w:szCs w:val="22"/>
        </w:rPr>
        <w:t>Los Acuerdos que deberán ser revisados, con los Comités y Subcomités responsables, son los siguientes:</w:t>
      </w:r>
    </w:p>
    <w:p w14:paraId="2D01CE83" w14:textId="77777777" w:rsidR="00CC3F1B" w:rsidRPr="007A40B0" w:rsidRDefault="00CC3F1B" w:rsidP="007A40B0">
      <w:pPr>
        <w:pStyle w:val="Prrafodelista"/>
        <w:rPr>
          <w:rFonts w:ascii="Verdana" w:hAnsi="Verdana"/>
          <w:bCs/>
          <w:sz w:val="22"/>
          <w:szCs w:val="22"/>
        </w:rPr>
      </w:pPr>
    </w:p>
    <w:p w14:paraId="763B358D" w14:textId="77777777" w:rsidR="00C87335" w:rsidRDefault="00C87335" w:rsidP="00C87335">
      <w:pPr>
        <w:pStyle w:val="Prrafodelista"/>
        <w:numPr>
          <w:ilvl w:val="1"/>
          <w:numId w:val="42"/>
        </w:numPr>
        <w:jc w:val="both"/>
        <w:rPr>
          <w:rFonts w:ascii="Verdana" w:hAnsi="Verdana"/>
          <w:bCs/>
          <w:sz w:val="22"/>
          <w:szCs w:val="22"/>
        </w:rPr>
      </w:pPr>
      <w:r w:rsidRPr="007A40B0">
        <w:rPr>
          <w:rFonts w:ascii="Verdana" w:hAnsi="Verdana"/>
          <w:bCs/>
          <w:sz w:val="22"/>
          <w:szCs w:val="22"/>
        </w:rPr>
        <w:t xml:space="preserve">Subcomité de Protecciones: Acuerdo 1258 </w:t>
      </w:r>
      <w:r>
        <w:rPr>
          <w:rFonts w:ascii="Verdana" w:hAnsi="Verdana"/>
          <w:bCs/>
          <w:sz w:val="22"/>
          <w:szCs w:val="22"/>
        </w:rPr>
        <w:t>“</w:t>
      </w:r>
      <w:r w:rsidRPr="007A40B0">
        <w:rPr>
          <w:rFonts w:ascii="Verdana" w:hAnsi="Verdana"/>
          <w:bCs/>
          <w:i/>
          <w:iCs/>
          <w:sz w:val="22"/>
          <w:szCs w:val="22"/>
        </w:rPr>
        <w:t>Por el cual se actualiza el documento "Requisitos de Protecciones para la conexión de Sistemas de Generación en el SIN</w:t>
      </w:r>
      <w:r w:rsidRPr="007A40B0">
        <w:rPr>
          <w:rFonts w:ascii="Verdana" w:hAnsi="Verdana"/>
          <w:bCs/>
          <w:sz w:val="22"/>
          <w:szCs w:val="22"/>
        </w:rPr>
        <w:t>"</w:t>
      </w:r>
      <w:r>
        <w:rPr>
          <w:rFonts w:ascii="Verdana" w:hAnsi="Verdana"/>
          <w:bCs/>
          <w:sz w:val="22"/>
          <w:szCs w:val="22"/>
        </w:rPr>
        <w:t>.</w:t>
      </w:r>
    </w:p>
    <w:p w14:paraId="1B23D713" w14:textId="77777777" w:rsidR="00C87335" w:rsidRDefault="00C87335" w:rsidP="007A40B0">
      <w:pPr>
        <w:pStyle w:val="Prrafodelista"/>
        <w:ind w:left="1440"/>
        <w:jc w:val="both"/>
        <w:rPr>
          <w:rFonts w:ascii="Verdana" w:hAnsi="Verdana"/>
          <w:bCs/>
          <w:sz w:val="22"/>
          <w:szCs w:val="22"/>
        </w:rPr>
      </w:pPr>
    </w:p>
    <w:p w14:paraId="292A1A2B" w14:textId="77777777" w:rsidR="00C87335" w:rsidRDefault="00C87335" w:rsidP="00C87335">
      <w:pPr>
        <w:pStyle w:val="Prrafodelista"/>
        <w:numPr>
          <w:ilvl w:val="1"/>
          <w:numId w:val="42"/>
        </w:numPr>
        <w:jc w:val="both"/>
        <w:rPr>
          <w:rFonts w:ascii="Verdana" w:hAnsi="Verdana"/>
          <w:bCs/>
          <w:sz w:val="22"/>
          <w:szCs w:val="22"/>
        </w:rPr>
      </w:pPr>
      <w:r w:rsidRPr="007A40B0">
        <w:rPr>
          <w:rFonts w:ascii="Verdana" w:hAnsi="Verdana"/>
          <w:bCs/>
          <w:sz w:val="22"/>
          <w:szCs w:val="22"/>
        </w:rPr>
        <w:t>Subcomité de Análisis y Planeamiento Eléctrico</w:t>
      </w:r>
      <w:r>
        <w:rPr>
          <w:rFonts w:ascii="Verdana" w:hAnsi="Verdana"/>
          <w:bCs/>
          <w:sz w:val="22"/>
          <w:szCs w:val="22"/>
        </w:rPr>
        <w:t>, con la posterior revisión de los Comités de Transmisión y Distribución</w:t>
      </w:r>
      <w:r w:rsidRPr="007A40B0">
        <w:rPr>
          <w:rFonts w:ascii="Verdana" w:hAnsi="Verdana"/>
          <w:bCs/>
          <w:sz w:val="22"/>
          <w:szCs w:val="22"/>
        </w:rPr>
        <w:t xml:space="preserve">: Acuerdo 1209 </w:t>
      </w:r>
      <w:r>
        <w:rPr>
          <w:rFonts w:ascii="Verdana" w:hAnsi="Verdana"/>
          <w:bCs/>
          <w:sz w:val="22"/>
          <w:szCs w:val="22"/>
        </w:rPr>
        <w:t>“</w:t>
      </w:r>
      <w:r w:rsidRPr="007A40B0">
        <w:rPr>
          <w:rFonts w:ascii="Verdana" w:hAnsi="Verdana"/>
          <w:bCs/>
          <w:i/>
          <w:iCs/>
          <w:sz w:val="22"/>
          <w:szCs w:val="22"/>
        </w:rPr>
        <w:t>Por el cual se aprueba la definición y los formatos de reporte de los parámetros técnicos para el planeamiento operativo del SIN</w:t>
      </w:r>
      <w:r>
        <w:rPr>
          <w:rFonts w:ascii="Verdana" w:hAnsi="Verdana"/>
          <w:bCs/>
          <w:sz w:val="22"/>
          <w:szCs w:val="22"/>
        </w:rPr>
        <w:t>”</w:t>
      </w:r>
      <w:r w:rsidRPr="007A40B0">
        <w:rPr>
          <w:rFonts w:ascii="Verdana" w:hAnsi="Verdana"/>
          <w:bCs/>
          <w:sz w:val="22"/>
          <w:szCs w:val="22"/>
        </w:rPr>
        <w:t xml:space="preserve"> (Formatos)</w:t>
      </w:r>
      <w:r>
        <w:rPr>
          <w:rFonts w:ascii="Verdana" w:hAnsi="Verdana"/>
          <w:bCs/>
          <w:sz w:val="22"/>
          <w:szCs w:val="22"/>
        </w:rPr>
        <w:t>.</w:t>
      </w:r>
    </w:p>
    <w:p w14:paraId="4F3AB01F" w14:textId="77777777" w:rsidR="00C87335" w:rsidRPr="007A40B0" w:rsidRDefault="00C87335" w:rsidP="007A40B0">
      <w:pPr>
        <w:pStyle w:val="Prrafodelista"/>
        <w:rPr>
          <w:rFonts w:ascii="Verdana" w:hAnsi="Verdana"/>
          <w:bCs/>
          <w:sz w:val="22"/>
          <w:szCs w:val="22"/>
        </w:rPr>
      </w:pPr>
    </w:p>
    <w:p w14:paraId="195CB5D1" w14:textId="77777777" w:rsidR="00C87335" w:rsidRDefault="00C87335" w:rsidP="00C87335">
      <w:pPr>
        <w:pStyle w:val="Prrafodelista"/>
        <w:numPr>
          <w:ilvl w:val="1"/>
          <w:numId w:val="42"/>
        </w:numPr>
        <w:jc w:val="both"/>
        <w:rPr>
          <w:rFonts w:ascii="Verdana" w:hAnsi="Verdana"/>
          <w:bCs/>
          <w:sz w:val="22"/>
          <w:szCs w:val="22"/>
        </w:rPr>
      </w:pPr>
      <w:r w:rsidRPr="007A40B0">
        <w:rPr>
          <w:rFonts w:ascii="Verdana" w:hAnsi="Verdana"/>
          <w:bCs/>
          <w:sz w:val="22"/>
          <w:szCs w:val="22"/>
        </w:rPr>
        <w:t xml:space="preserve">Subcomité de Plantas: Acuerdo 1238 </w:t>
      </w:r>
      <w:r>
        <w:rPr>
          <w:rFonts w:ascii="Verdana" w:hAnsi="Verdana"/>
          <w:bCs/>
          <w:sz w:val="22"/>
          <w:szCs w:val="22"/>
        </w:rPr>
        <w:t>“</w:t>
      </w:r>
      <w:r w:rsidRPr="007A40B0">
        <w:rPr>
          <w:rFonts w:ascii="Verdana" w:hAnsi="Verdana"/>
          <w:bCs/>
          <w:i/>
          <w:iCs/>
          <w:sz w:val="22"/>
          <w:szCs w:val="22"/>
        </w:rPr>
        <w:t>Por el cual se actualiza la estandarización del formato de registro, envío de información y clasificación de eventos de generación por parte de los agentes generadores al Centro Nacional de Despacho para el cálculo de los Índices de Indisponibilidad Histórica</w:t>
      </w:r>
      <w:r>
        <w:rPr>
          <w:rFonts w:ascii="Verdana" w:hAnsi="Verdana"/>
          <w:bCs/>
          <w:sz w:val="22"/>
          <w:szCs w:val="22"/>
        </w:rPr>
        <w:t>”.</w:t>
      </w:r>
    </w:p>
    <w:p w14:paraId="14B7CD39" w14:textId="77777777" w:rsidR="00C87335" w:rsidRPr="007A40B0" w:rsidRDefault="00C87335" w:rsidP="007A40B0">
      <w:pPr>
        <w:pStyle w:val="Prrafodelista"/>
        <w:rPr>
          <w:rFonts w:ascii="Verdana" w:hAnsi="Verdana"/>
          <w:bCs/>
          <w:sz w:val="22"/>
          <w:szCs w:val="22"/>
        </w:rPr>
      </w:pPr>
    </w:p>
    <w:p w14:paraId="377B77C9" w14:textId="77777777" w:rsidR="00C87335" w:rsidRDefault="00C87335" w:rsidP="00C87335">
      <w:pPr>
        <w:pStyle w:val="Prrafodelista"/>
        <w:ind w:left="1440"/>
        <w:jc w:val="both"/>
        <w:rPr>
          <w:rFonts w:ascii="Verdana" w:hAnsi="Verdana"/>
          <w:bCs/>
          <w:sz w:val="22"/>
          <w:szCs w:val="22"/>
        </w:rPr>
      </w:pPr>
      <w:r w:rsidRPr="007A40B0">
        <w:rPr>
          <w:rFonts w:ascii="Verdana" w:hAnsi="Verdana"/>
          <w:bCs/>
          <w:sz w:val="22"/>
          <w:szCs w:val="22"/>
        </w:rPr>
        <w:t xml:space="preserve">Acuerdo 1236 </w:t>
      </w:r>
      <w:r>
        <w:rPr>
          <w:rFonts w:ascii="Verdana" w:hAnsi="Verdana"/>
          <w:bCs/>
          <w:sz w:val="22"/>
          <w:szCs w:val="22"/>
        </w:rPr>
        <w:t>“</w:t>
      </w:r>
      <w:r w:rsidRPr="007A40B0">
        <w:rPr>
          <w:rFonts w:ascii="Verdana" w:hAnsi="Verdana"/>
          <w:bCs/>
          <w:i/>
          <w:iCs/>
          <w:sz w:val="22"/>
          <w:szCs w:val="22"/>
        </w:rPr>
        <w:t>Por el cual se actualiza la definición de los tipos de pruebas para las plantas o unidades de generación que están autorizadas para desviarse</w:t>
      </w:r>
      <w:r>
        <w:rPr>
          <w:rFonts w:ascii="Verdana" w:hAnsi="Verdana"/>
          <w:bCs/>
          <w:sz w:val="22"/>
          <w:szCs w:val="22"/>
        </w:rPr>
        <w:t>”</w:t>
      </w:r>
      <w:r w:rsidRPr="007A40B0">
        <w:rPr>
          <w:rFonts w:ascii="Verdana" w:hAnsi="Verdana"/>
          <w:bCs/>
          <w:sz w:val="22"/>
          <w:szCs w:val="22"/>
        </w:rPr>
        <w:t xml:space="preserve"> (Pruebas)</w:t>
      </w:r>
      <w:r>
        <w:rPr>
          <w:rFonts w:ascii="Verdana" w:hAnsi="Verdana"/>
          <w:bCs/>
          <w:sz w:val="22"/>
          <w:szCs w:val="22"/>
        </w:rPr>
        <w:t>.</w:t>
      </w:r>
    </w:p>
    <w:p w14:paraId="5AE0EB08" w14:textId="77777777" w:rsidR="00C87335" w:rsidRDefault="00C87335" w:rsidP="00C87335">
      <w:pPr>
        <w:pStyle w:val="Prrafodelista"/>
        <w:ind w:left="1440"/>
        <w:jc w:val="both"/>
        <w:rPr>
          <w:rFonts w:ascii="Verdana" w:hAnsi="Verdana"/>
          <w:bCs/>
          <w:sz w:val="22"/>
          <w:szCs w:val="22"/>
        </w:rPr>
      </w:pPr>
    </w:p>
    <w:p w14:paraId="28F62586" w14:textId="77777777" w:rsidR="00C87335" w:rsidRDefault="00C87335" w:rsidP="00C87335">
      <w:pPr>
        <w:pStyle w:val="Prrafodelista"/>
        <w:ind w:left="1440"/>
        <w:jc w:val="both"/>
        <w:rPr>
          <w:rFonts w:ascii="Verdana" w:hAnsi="Verdana"/>
          <w:bCs/>
          <w:sz w:val="22"/>
          <w:szCs w:val="22"/>
        </w:rPr>
      </w:pPr>
      <w:r w:rsidRPr="007A40B0">
        <w:rPr>
          <w:rFonts w:ascii="Verdana" w:hAnsi="Verdana"/>
          <w:bCs/>
          <w:sz w:val="22"/>
          <w:szCs w:val="22"/>
        </w:rPr>
        <w:t>Acuerdo 512</w:t>
      </w:r>
      <w:r>
        <w:rPr>
          <w:rFonts w:ascii="Verdana" w:hAnsi="Verdana"/>
          <w:bCs/>
          <w:sz w:val="22"/>
          <w:szCs w:val="22"/>
        </w:rPr>
        <w:t xml:space="preserve">. </w:t>
      </w:r>
      <w:r w:rsidRPr="007A40B0">
        <w:rPr>
          <w:rFonts w:ascii="Verdana" w:hAnsi="Verdana"/>
          <w:bCs/>
          <w:sz w:val="22"/>
          <w:szCs w:val="22"/>
        </w:rPr>
        <w:t>Redacción procedimiento CEN plantas hidráulicas (Anexo)</w:t>
      </w:r>
      <w:r>
        <w:rPr>
          <w:rFonts w:ascii="Verdana" w:hAnsi="Verdana"/>
          <w:bCs/>
          <w:sz w:val="22"/>
          <w:szCs w:val="22"/>
        </w:rPr>
        <w:t>.</w:t>
      </w:r>
    </w:p>
    <w:p w14:paraId="53928A6F" w14:textId="77777777" w:rsidR="00C87335" w:rsidRDefault="00C87335" w:rsidP="00C87335">
      <w:pPr>
        <w:pStyle w:val="Prrafodelista"/>
        <w:ind w:left="1440"/>
        <w:jc w:val="both"/>
        <w:rPr>
          <w:rFonts w:ascii="Verdana" w:hAnsi="Verdana"/>
          <w:bCs/>
          <w:sz w:val="22"/>
          <w:szCs w:val="22"/>
        </w:rPr>
      </w:pPr>
    </w:p>
    <w:p w14:paraId="350A9DEE" w14:textId="77777777" w:rsidR="00C87335" w:rsidRDefault="00C87335" w:rsidP="00C87335">
      <w:pPr>
        <w:pStyle w:val="Prrafodelista"/>
        <w:ind w:left="1440"/>
        <w:jc w:val="both"/>
        <w:rPr>
          <w:rFonts w:ascii="Verdana" w:hAnsi="Verdana"/>
          <w:bCs/>
          <w:sz w:val="22"/>
          <w:szCs w:val="22"/>
        </w:rPr>
      </w:pPr>
      <w:r w:rsidRPr="007A40B0">
        <w:rPr>
          <w:rFonts w:ascii="Verdana" w:hAnsi="Verdana"/>
          <w:bCs/>
          <w:sz w:val="22"/>
          <w:szCs w:val="22"/>
        </w:rPr>
        <w:t xml:space="preserve">Acuerdo 1127 </w:t>
      </w:r>
      <w:r>
        <w:rPr>
          <w:rFonts w:ascii="Verdana" w:hAnsi="Verdana"/>
          <w:bCs/>
          <w:sz w:val="22"/>
          <w:szCs w:val="22"/>
        </w:rPr>
        <w:t>“</w:t>
      </w:r>
      <w:r w:rsidRPr="007A40B0">
        <w:rPr>
          <w:rFonts w:ascii="Verdana" w:hAnsi="Verdana"/>
          <w:bCs/>
          <w:i/>
          <w:iCs/>
          <w:sz w:val="22"/>
          <w:szCs w:val="22"/>
        </w:rPr>
        <w:t>Por el cual se aprueban los protocolos asociados al cálculo de la ENFICC de las plantas eólicas</w:t>
      </w:r>
      <w:r>
        <w:rPr>
          <w:rFonts w:ascii="Verdana" w:hAnsi="Verdana"/>
          <w:bCs/>
          <w:sz w:val="22"/>
          <w:szCs w:val="22"/>
        </w:rPr>
        <w:t>”</w:t>
      </w:r>
      <w:r w:rsidRPr="007A40B0">
        <w:rPr>
          <w:rFonts w:ascii="Verdana" w:hAnsi="Verdana"/>
          <w:bCs/>
          <w:sz w:val="22"/>
          <w:szCs w:val="22"/>
        </w:rPr>
        <w:t xml:space="preserve"> (Anexo 2 CEN plantas eólicas)</w:t>
      </w:r>
      <w:r>
        <w:rPr>
          <w:rFonts w:ascii="Verdana" w:hAnsi="Verdana"/>
          <w:bCs/>
          <w:sz w:val="22"/>
          <w:szCs w:val="22"/>
        </w:rPr>
        <w:t>.</w:t>
      </w:r>
    </w:p>
    <w:p w14:paraId="4C218512" w14:textId="77777777" w:rsidR="00C87335" w:rsidRDefault="00C87335" w:rsidP="00C87335">
      <w:pPr>
        <w:pStyle w:val="Prrafodelista"/>
        <w:ind w:left="1440"/>
        <w:jc w:val="both"/>
        <w:rPr>
          <w:rFonts w:ascii="Verdana" w:hAnsi="Verdana"/>
          <w:bCs/>
          <w:sz w:val="22"/>
          <w:szCs w:val="22"/>
        </w:rPr>
      </w:pPr>
    </w:p>
    <w:p w14:paraId="589590A2" w14:textId="77777777" w:rsidR="00C87335" w:rsidRDefault="00C87335" w:rsidP="00C87335">
      <w:pPr>
        <w:pStyle w:val="Prrafodelista"/>
        <w:ind w:left="1440"/>
        <w:jc w:val="both"/>
        <w:rPr>
          <w:rFonts w:ascii="Verdana" w:hAnsi="Verdana"/>
          <w:bCs/>
          <w:sz w:val="22"/>
          <w:szCs w:val="22"/>
        </w:rPr>
      </w:pPr>
      <w:r w:rsidRPr="007A40B0">
        <w:rPr>
          <w:rFonts w:ascii="Verdana" w:hAnsi="Verdana"/>
          <w:bCs/>
          <w:sz w:val="22"/>
          <w:szCs w:val="22"/>
        </w:rPr>
        <w:t xml:space="preserve">Acuerdo 1213 </w:t>
      </w:r>
      <w:r>
        <w:rPr>
          <w:rFonts w:ascii="Verdana" w:hAnsi="Verdana"/>
          <w:bCs/>
          <w:sz w:val="22"/>
          <w:szCs w:val="22"/>
        </w:rPr>
        <w:t>“</w:t>
      </w:r>
      <w:r w:rsidRPr="007A40B0">
        <w:rPr>
          <w:rFonts w:ascii="Verdana" w:hAnsi="Verdana"/>
          <w:bCs/>
          <w:i/>
          <w:iCs/>
          <w:sz w:val="22"/>
          <w:szCs w:val="22"/>
        </w:rPr>
        <w:t>Por el cual se actualiza la definición y los formatos de reporte de los parámetros técnicos de las plantas eólicas y solares fotovoltaicas que se quieran conectar al Sistema de Transmisión Nacional STN, al Sistema de Transmisión Regional STR y al Sistema de Distribución Local SDL</w:t>
      </w:r>
      <w:r>
        <w:rPr>
          <w:rFonts w:ascii="Verdana" w:hAnsi="Verdana"/>
          <w:bCs/>
          <w:sz w:val="22"/>
          <w:szCs w:val="22"/>
        </w:rPr>
        <w:t>”</w:t>
      </w:r>
      <w:r w:rsidRPr="007A40B0">
        <w:rPr>
          <w:rFonts w:ascii="Verdana" w:hAnsi="Verdana"/>
          <w:bCs/>
          <w:sz w:val="22"/>
          <w:szCs w:val="22"/>
        </w:rPr>
        <w:t xml:space="preserve"> (Formatos)</w:t>
      </w:r>
      <w:r>
        <w:rPr>
          <w:rFonts w:ascii="Verdana" w:hAnsi="Verdana"/>
          <w:bCs/>
          <w:sz w:val="22"/>
          <w:szCs w:val="22"/>
        </w:rPr>
        <w:t>.</w:t>
      </w:r>
    </w:p>
    <w:p w14:paraId="6407FDA0" w14:textId="77777777" w:rsidR="00C87335" w:rsidRDefault="00C87335" w:rsidP="00C87335">
      <w:pPr>
        <w:pStyle w:val="Prrafodelista"/>
        <w:ind w:left="1440"/>
        <w:jc w:val="both"/>
        <w:rPr>
          <w:rFonts w:ascii="Verdana" w:hAnsi="Verdana"/>
          <w:bCs/>
          <w:sz w:val="22"/>
          <w:szCs w:val="22"/>
        </w:rPr>
      </w:pPr>
    </w:p>
    <w:p w14:paraId="4EE83018" w14:textId="77777777" w:rsidR="00C87335" w:rsidRDefault="00C87335" w:rsidP="00C87335">
      <w:pPr>
        <w:pStyle w:val="Prrafodelista"/>
        <w:numPr>
          <w:ilvl w:val="1"/>
          <w:numId w:val="42"/>
        </w:numPr>
        <w:jc w:val="both"/>
        <w:rPr>
          <w:rFonts w:ascii="Verdana" w:hAnsi="Verdana"/>
          <w:bCs/>
          <w:sz w:val="22"/>
          <w:szCs w:val="22"/>
        </w:rPr>
      </w:pPr>
      <w:r>
        <w:rPr>
          <w:rFonts w:ascii="Verdana" w:hAnsi="Verdana"/>
          <w:bCs/>
          <w:sz w:val="22"/>
          <w:szCs w:val="22"/>
        </w:rPr>
        <w:t>Grupo de Trabajo de los Comités de Transmisión y Distribución:</w:t>
      </w:r>
      <w:r w:rsidRPr="00C87335">
        <w:rPr>
          <w:rFonts w:ascii="Verdana" w:hAnsi="Verdana"/>
          <w:bCs/>
          <w:sz w:val="22"/>
          <w:szCs w:val="22"/>
        </w:rPr>
        <w:t xml:space="preserve"> </w:t>
      </w:r>
      <w:r w:rsidRPr="007A40B0">
        <w:rPr>
          <w:rFonts w:ascii="Verdana" w:hAnsi="Verdana"/>
          <w:bCs/>
          <w:sz w:val="22"/>
          <w:szCs w:val="22"/>
        </w:rPr>
        <w:t xml:space="preserve">Acuerdo 1239 </w:t>
      </w:r>
      <w:r>
        <w:rPr>
          <w:rFonts w:ascii="Verdana" w:hAnsi="Verdana"/>
          <w:bCs/>
          <w:sz w:val="22"/>
          <w:szCs w:val="22"/>
        </w:rPr>
        <w:t>“</w:t>
      </w:r>
      <w:r w:rsidRPr="007A40B0">
        <w:rPr>
          <w:rFonts w:ascii="Verdana" w:hAnsi="Verdana"/>
          <w:bCs/>
          <w:i/>
          <w:iCs/>
          <w:sz w:val="22"/>
          <w:szCs w:val="22"/>
        </w:rPr>
        <w:t>Por el cual se aprueban las Causas Detalladas para el Reporte de Maniobras Operativas, Eventos y Cambios de Operatividad de activos del Sistema de Transmisión Nacional -STN- y del Sistema de Transmisión Regional -STR</w:t>
      </w:r>
      <w:r>
        <w:rPr>
          <w:rFonts w:ascii="Verdana" w:hAnsi="Verdana"/>
          <w:bCs/>
          <w:sz w:val="22"/>
          <w:szCs w:val="22"/>
        </w:rPr>
        <w:t>”.</w:t>
      </w:r>
    </w:p>
    <w:p w14:paraId="142692B2" w14:textId="77777777" w:rsidR="00C87335" w:rsidRDefault="00C87335" w:rsidP="007A40B0">
      <w:pPr>
        <w:pStyle w:val="Prrafodelista"/>
        <w:ind w:left="1440"/>
        <w:jc w:val="both"/>
        <w:rPr>
          <w:rFonts w:ascii="Verdana" w:hAnsi="Verdana"/>
          <w:bCs/>
          <w:sz w:val="22"/>
          <w:szCs w:val="22"/>
        </w:rPr>
      </w:pPr>
    </w:p>
    <w:p w14:paraId="680377E4" w14:textId="33FEA253" w:rsidR="00C87335" w:rsidRPr="00C87335" w:rsidRDefault="00C87335" w:rsidP="007A40B0">
      <w:pPr>
        <w:pStyle w:val="Prrafodelista"/>
        <w:numPr>
          <w:ilvl w:val="1"/>
          <w:numId w:val="42"/>
        </w:numPr>
        <w:jc w:val="both"/>
        <w:rPr>
          <w:rFonts w:ascii="Verdana" w:hAnsi="Verdana"/>
          <w:bCs/>
          <w:sz w:val="22"/>
          <w:szCs w:val="22"/>
        </w:rPr>
      </w:pPr>
      <w:r>
        <w:rPr>
          <w:rFonts w:ascii="Verdana" w:hAnsi="Verdana"/>
          <w:bCs/>
          <w:sz w:val="22"/>
          <w:szCs w:val="22"/>
        </w:rPr>
        <w:t xml:space="preserve">Grupo de Trabajo de los Comités de Operación, Transmisión, Distribución y Supervisión: </w:t>
      </w:r>
      <w:r w:rsidRPr="00C87335">
        <w:rPr>
          <w:rFonts w:ascii="Verdana" w:hAnsi="Verdana"/>
          <w:bCs/>
          <w:sz w:val="22"/>
          <w:szCs w:val="22"/>
        </w:rPr>
        <w:t xml:space="preserve">Acuerdo 1214 </w:t>
      </w:r>
      <w:r>
        <w:rPr>
          <w:rFonts w:ascii="Verdana" w:hAnsi="Verdana"/>
          <w:bCs/>
          <w:sz w:val="22"/>
          <w:szCs w:val="22"/>
        </w:rPr>
        <w:t>“</w:t>
      </w:r>
      <w:r w:rsidRPr="007A40B0">
        <w:rPr>
          <w:rFonts w:ascii="Verdana" w:hAnsi="Verdana"/>
          <w:bCs/>
          <w:i/>
          <w:iCs/>
          <w:sz w:val="22"/>
          <w:szCs w:val="22"/>
        </w:rPr>
        <w:t>Por el cual se aprueba el Procedimiento para la entrada en operación comercial de proyectos de transmisión que incluyan activos de uso del Sistema de Transmisión Nacional - STN -, del Sistema de Transmisión Regional - STR –, de usuarios conectados directamente al STN y de recursos de generación</w:t>
      </w:r>
      <w:r>
        <w:rPr>
          <w:rFonts w:ascii="Verdana" w:hAnsi="Verdana"/>
          <w:bCs/>
          <w:sz w:val="22"/>
          <w:szCs w:val="22"/>
        </w:rPr>
        <w:t>”.</w:t>
      </w:r>
    </w:p>
    <w:p w14:paraId="7C96848D" w14:textId="77777777" w:rsidR="00C87335" w:rsidRPr="00C87335" w:rsidRDefault="00C87335" w:rsidP="00C87335">
      <w:pPr>
        <w:pStyle w:val="Prrafodelista"/>
        <w:ind w:left="360"/>
        <w:jc w:val="both"/>
        <w:rPr>
          <w:rFonts w:ascii="Verdana" w:hAnsi="Verdana"/>
          <w:bCs/>
          <w:sz w:val="22"/>
          <w:szCs w:val="22"/>
        </w:rPr>
      </w:pPr>
    </w:p>
    <w:p w14:paraId="765287E1" w14:textId="77777777" w:rsidR="00CC3F1B" w:rsidRPr="007A40B0" w:rsidRDefault="00CC3F1B" w:rsidP="007A40B0">
      <w:pPr>
        <w:pStyle w:val="Prrafodelista"/>
        <w:ind w:left="360"/>
        <w:jc w:val="both"/>
        <w:rPr>
          <w:rFonts w:ascii="Verdana" w:hAnsi="Verdana"/>
          <w:bCs/>
          <w:sz w:val="22"/>
          <w:szCs w:val="22"/>
        </w:rPr>
      </w:pPr>
    </w:p>
    <w:p w14:paraId="1242A234" w14:textId="77777777" w:rsidR="00CC3F1B" w:rsidRPr="008B4949" w:rsidRDefault="00CC3F1B">
      <w:pPr>
        <w:pStyle w:val="Prrafodelista"/>
        <w:ind w:left="360"/>
        <w:jc w:val="both"/>
        <w:rPr>
          <w:rFonts w:ascii="Verdana" w:hAnsi="Verdana"/>
          <w:bCs/>
          <w:sz w:val="22"/>
          <w:szCs w:val="22"/>
        </w:rPr>
      </w:pPr>
    </w:p>
    <w:p w14:paraId="791063F9" w14:textId="682E5113" w:rsidR="00D2720F" w:rsidRDefault="00F9563C" w:rsidP="00CC3F1B">
      <w:pPr>
        <w:pStyle w:val="Prrafodelista"/>
        <w:numPr>
          <w:ilvl w:val="0"/>
          <w:numId w:val="35"/>
        </w:numPr>
        <w:jc w:val="both"/>
        <w:rPr>
          <w:rFonts w:ascii="Verdana" w:hAnsi="Verdana"/>
          <w:bCs/>
          <w:sz w:val="22"/>
          <w:szCs w:val="22"/>
        </w:rPr>
      </w:pPr>
      <w:r>
        <w:rPr>
          <w:rFonts w:ascii="Verdana" w:hAnsi="Verdana"/>
          <w:bCs/>
          <w:sz w:val="22"/>
          <w:szCs w:val="22"/>
        </w:rPr>
        <w:t>S</w:t>
      </w:r>
      <w:r w:rsidR="00D2720F">
        <w:rPr>
          <w:rFonts w:ascii="Verdana" w:hAnsi="Verdana"/>
          <w:bCs/>
          <w:sz w:val="22"/>
          <w:szCs w:val="22"/>
        </w:rPr>
        <w:t xml:space="preserve">e </w:t>
      </w:r>
      <w:r>
        <w:rPr>
          <w:rFonts w:ascii="Verdana" w:hAnsi="Verdana"/>
          <w:bCs/>
          <w:sz w:val="22"/>
          <w:szCs w:val="22"/>
        </w:rPr>
        <w:t>prepar</w:t>
      </w:r>
      <w:r w:rsidR="00D2720F">
        <w:rPr>
          <w:rFonts w:ascii="Verdana" w:hAnsi="Verdana"/>
          <w:bCs/>
          <w:sz w:val="22"/>
          <w:szCs w:val="22"/>
        </w:rPr>
        <w:t xml:space="preserve">ó comunicación conjunta entre el CNO y CND, para informarle a la Comisión los motivos por los cuales no se puede instrumentar la Resolución CREG 189 de 2019 (excepción límites de tensión en subestaciones radiales del STR), y una propuesta </w:t>
      </w:r>
      <w:r w:rsidR="00727C2C">
        <w:rPr>
          <w:rFonts w:ascii="Verdana" w:hAnsi="Verdana"/>
          <w:bCs/>
          <w:sz w:val="22"/>
          <w:szCs w:val="22"/>
        </w:rPr>
        <w:t xml:space="preserve">regulatoria </w:t>
      </w:r>
      <w:r w:rsidR="00D2720F">
        <w:rPr>
          <w:rFonts w:ascii="Verdana" w:hAnsi="Verdana"/>
          <w:bCs/>
          <w:sz w:val="22"/>
          <w:szCs w:val="22"/>
        </w:rPr>
        <w:t xml:space="preserve">para hacerlo. Aún está pendiente el envío de la </w:t>
      </w:r>
      <w:r w:rsidR="00727C2C">
        <w:rPr>
          <w:rFonts w:ascii="Verdana" w:hAnsi="Verdana"/>
          <w:bCs/>
          <w:sz w:val="22"/>
          <w:szCs w:val="22"/>
        </w:rPr>
        <w:t>misma,</w:t>
      </w:r>
      <w:r w:rsidR="00D2720F">
        <w:rPr>
          <w:rFonts w:ascii="Verdana" w:hAnsi="Verdana"/>
          <w:bCs/>
          <w:sz w:val="22"/>
          <w:szCs w:val="22"/>
        </w:rPr>
        <w:t xml:space="preserve"> ya que la </w:t>
      </w:r>
      <w:r w:rsidR="00727C2C">
        <w:rPr>
          <w:rFonts w:ascii="Verdana" w:hAnsi="Verdana"/>
          <w:bCs/>
          <w:sz w:val="22"/>
          <w:szCs w:val="22"/>
        </w:rPr>
        <w:t>carta</w:t>
      </w:r>
      <w:r w:rsidR="00D2720F">
        <w:rPr>
          <w:rFonts w:ascii="Verdana" w:hAnsi="Verdana"/>
          <w:bCs/>
          <w:sz w:val="22"/>
          <w:szCs w:val="22"/>
        </w:rPr>
        <w:t xml:space="preserve"> est</w:t>
      </w:r>
      <w:r>
        <w:rPr>
          <w:rFonts w:ascii="Verdana" w:hAnsi="Verdana"/>
          <w:bCs/>
          <w:sz w:val="22"/>
          <w:szCs w:val="22"/>
        </w:rPr>
        <w:t>á</w:t>
      </w:r>
      <w:r w:rsidR="00D2720F">
        <w:rPr>
          <w:rFonts w:ascii="Verdana" w:hAnsi="Verdana"/>
          <w:bCs/>
          <w:sz w:val="22"/>
          <w:szCs w:val="22"/>
        </w:rPr>
        <w:t xml:space="preserve"> siendo revisada por el </w:t>
      </w:r>
      <w:r w:rsidR="00727C2C">
        <w:rPr>
          <w:rFonts w:ascii="Verdana" w:hAnsi="Verdana"/>
          <w:bCs/>
          <w:sz w:val="22"/>
          <w:szCs w:val="22"/>
        </w:rPr>
        <w:t>CND</w:t>
      </w:r>
      <w:r w:rsidR="00D2720F">
        <w:rPr>
          <w:rFonts w:ascii="Verdana" w:hAnsi="Verdana"/>
          <w:bCs/>
          <w:sz w:val="22"/>
          <w:szCs w:val="22"/>
        </w:rPr>
        <w:t>.</w:t>
      </w:r>
    </w:p>
    <w:p w14:paraId="7B7626EF" w14:textId="086F9560" w:rsidR="00727C2C" w:rsidRDefault="00727C2C" w:rsidP="007A40B0">
      <w:pPr>
        <w:pStyle w:val="Prrafodelista"/>
        <w:ind w:left="360"/>
        <w:jc w:val="both"/>
        <w:rPr>
          <w:rFonts w:ascii="Verdana" w:hAnsi="Verdana"/>
          <w:bCs/>
          <w:sz w:val="22"/>
          <w:szCs w:val="22"/>
        </w:rPr>
      </w:pPr>
    </w:p>
    <w:p w14:paraId="6C80DDDD" w14:textId="31FD877D" w:rsidR="000E24EB" w:rsidRDefault="008536DA" w:rsidP="00CC3F1B">
      <w:pPr>
        <w:pStyle w:val="Prrafodelista"/>
        <w:numPr>
          <w:ilvl w:val="0"/>
          <w:numId w:val="35"/>
        </w:numPr>
        <w:jc w:val="both"/>
        <w:rPr>
          <w:rFonts w:ascii="Verdana" w:hAnsi="Verdana"/>
          <w:bCs/>
          <w:sz w:val="22"/>
          <w:szCs w:val="22"/>
        </w:rPr>
      </w:pPr>
      <w:r>
        <w:rPr>
          <w:rFonts w:ascii="Verdana" w:hAnsi="Verdana"/>
          <w:bCs/>
          <w:sz w:val="22"/>
          <w:szCs w:val="22"/>
        </w:rPr>
        <w:t>Se</w:t>
      </w:r>
      <w:r w:rsidR="000E24EB">
        <w:rPr>
          <w:rFonts w:ascii="Verdana" w:hAnsi="Verdana"/>
          <w:bCs/>
          <w:sz w:val="22"/>
          <w:szCs w:val="22"/>
        </w:rPr>
        <w:t xml:space="preserve"> </w:t>
      </w:r>
      <w:r>
        <w:rPr>
          <w:rFonts w:ascii="Verdana" w:hAnsi="Verdana"/>
          <w:bCs/>
          <w:sz w:val="22"/>
          <w:szCs w:val="22"/>
        </w:rPr>
        <w:t xml:space="preserve">recomienda al CNO y el CND llevar a cabo un taller de socialización abierto al público en general, </w:t>
      </w:r>
      <w:r w:rsidR="000E24EB">
        <w:rPr>
          <w:rFonts w:ascii="Verdana" w:hAnsi="Verdana"/>
          <w:bCs/>
          <w:sz w:val="22"/>
          <w:szCs w:val="22"/>
        </w:rPr>
        <w:t xml:space="preserve">sobre </w:t>
      </w:r>
      <w:r>
        <w:rPr>
          <w:rFonts w:ascii="Verdana" w:hAnsi="Verdana"/>
          <w:bCs/>
          <w:sz w:val="22"/>
          <w:szCs w:val="22"/>
        </w:rPr>
        <w:t xml:space="preserve">el Acuerdo 1258, </w:t>
      </w:r>
      <w:r w:rsidR="000E24EB">
        <w:rPr>
          <w:rFonts w:ascii="Verdana" w:hAnsi="Verdana"/>
          <w:bCs/>
          <w:sz w:val="22"/>
          <w:szCs w:val="22"/>
        </w:rPr>
        <w:t>el cual</w:t>
      </w:r>
      <w:r>
        <w:rPr>
          <w:rFonts w:ascii="Verdana" w:hAnsi="Verdana"/>
          <w:bCs/>
          <w:sz w:val="22"/>
          <w:szCs w:val="22"/>
        </w:rPr>
        <w:t xml:space="preserve"> definió los requisitos de protección para la conexión de sistemas de generación al SIN. Lo anterior teniendo en cuenta la </w:t>
      </w:r>
      <w:r w:rsidR="000E24EB">
        <w:rPr>
          <w:rFonts w:ascii="Verdana" w:hAnsi="Verdana"/>
          <w:bCs/>
          <w:sz w:val="22"/>
          <w:szCs w:val="22"/>
        </w:rPr>
        <w:t xml:space="preserve">desinformación que hay sobre </w:t>
      </w:r>
      <w:r w:rsidR="00F9563C">
        <w:rPr>
          <w:rFonts w:ascii="Verdana" w:hAnsi="Verdana"/>
          <w:bCs/>
          <w:sz w:val="22"/>
          <w:szCs w:val="22"/>
        </w:rPr>
        <w:t>el</w:t>
      </w:r>
      <w:r w:rsidR="000E24EB">
        <w:rPr>
          <w:rFonts w:ascii="Verdana" w:hAnsi="Verdana"/>
          <w:bCs/>
          <w:sz w:val="22"/>
          <w:szCs w:val="22"/>
        </w:rPr>
        <w:t xml:space="preserve"> Acuerdo y el desarrollo de la pasada reunión del Subcomité de Protecciones</w:t>
      </w:r>
      <w:r w:rsidR="00F84B33">
        <w:rPr>
          <w:rFonts w:ascii="Verdana" w:hAnsi="Verdana"/>
          <w:bCs/>
          <w:sz w:val="22"/>
          <w:szCs w:val="22"/>
        </w:rPr>
        <w:t>,</w:t>
      </w:r>
      <w:r w:rsidR="000E24EB">
        <w:rPr>
          <w:rFonts w:ascii="Verdana" w:hAnsi="Verdana"/>
          <w:bCs/>
          <w:sz w:val="22"/>
          <w:szCs w:val="22"/>
        </w:rPr>
        <w:t xml:space="preserve"> donde SER Colombia participó como invitado.</w:t>
      </w:r>
      <w:r w:rsidR="004E3D43">
        <w:rPr>
          <w:rFonts w:ascii="Verdana" w:hAnsi="Verdana"/>
          <w:bCs/>
          <w:sz w:val="22"/>
          <w:szCs w:val="22"/>
        </w:rPr>
        <w:t xml:space="preserve"> </w:t>
      </w:r>
    </w:p>
    <w:p w14:paraId="486D459B" w14:textId="77777777" w:rsidR="004E3D43" w:rsidRPr="007A40B0" w:rsidRDefault="004E3D43" w:rsidP="007A40B0">
      <w:pPr>
        <w:pStyle w:val="Prrafodelista"/>
        <w:rPr>
          <w:rFonts w:ascii="Verdana" w:hAnsi="Verdana"/>
          <w:bCs/>
          <w:sz w:val="22"/>
          <w:szCs w:val="22"/>
        </w:rPr>
      </w:pPr>
    </w:p>
    <w:p w14:paraId="091A91B2" w14:textId="664399CE" w:rsidR="00824BA4" w:rsidRDefault="004E3D43" w:rsidP="00CC3F1B">
      <w:pPr>
        <w:pStyle w:val="Prrafodelista"/>
        <w:numPr>
          <w:ilvl w:val="0"/>
          <w:numId w:val="35"/>
        </w:numPr>
        <w:jc w:val="both"/>
        <w:rPr>
          <w:rFonts w:ascii="Verdana" w:hAnsi="Verdana"/>
          <w:bCs/>
          <w:sz w:val="22"/>
          <w:szCs w:val="22"/>
        </w:rPr>
      </w:pPr>
      <w:r>
        <w:rPr>
          <w:rFonts w:ascii="Verdana" w:hAnsi="Verdana"/>
          <w:bCs/>
          <w:sz w:val="22"/>
          <w:szCs w:val="22"/>
        </w:rPr>
        <w:t xml:space="preserve">En el </w:t>
      </w:r>
      <w:r w:rsidR="00F9563C">
        <w:rPr>
          <w:rFonts w:ascii="Verdana" w:hAnsi="Verdana"/>
          <w:bCs/>
          <w:sz w:val="22"/>
          <w:szCs w:val="22"/>
        </w:rPr>
        <w:t>S</w:t>
      </w:r>
      <w:r>
        <w:rPr>
          <w:rFonts w:ascii="Verdana" w:hAnsi="Verdana"/>
          <w:bCs/>
          <w:sz w:val="22"/>
          <w:szCs w:val="22"/>
        </w:rPr>
        <w:t>ubcomité de Plantas el CND presentó la metodología para calcular las curvas de duración de la generación térmica, considerando diferentes índices de disponibilidad.</w:t>
      </w:r>
      <w:r w:rsidR="001427A3">
        <w:rPr>
          <w:rFonts w:ascii="Verdana" w:hAnsi="Verdana"/>
          <w:bCs/>
          <w:sz w:val="22"/>
          <w:szCs w:val="22"/>
        </w:rPr>
        <w:t xml:space="preserve"> </w:t>
      </w:r>
      <w:r w:rsidR="00824BA4">
        <w:rPr>
          <w:rFonts w:ascii="Verdana" w:hAnsi="Verdana"/>
          <w:bCs/>
          <w:sz w:val="22"/>
          <w:szCs w:val="22"/>
        </w:rPr>
        <w:t>En la reunión se presentaron los siguientes comentarios al cálculo del Operador:</w:t>
      </w:r>
    </w:p>
    <w:p w14:paraId="5B54016A" w14:textId="77777777" w:rsidR="00824BA4" w:rsidRPr="007A40B0" w:rsidRDefault="00824BA4" w:rsidP="007A40B0">
      <w:pPr>
        <w:pStyle w:val="Prrafodelista"/>
        <w:rPr>
          <w:rFonts w:ascii="Verdana" w:hAnsi="Verdana"/>
          <w:bCs/>
          <w:sz w:val="22"/>
          <w:szCs w:val="22"/>
        </w:rPr>
      </w:pPr>
    </w:p>
    <w:p w14:paraId="5306674F" w14:textId="52550C87" w:rsidR="00824BA4" w:rsidRDefault="00824BA4" w:rsidP="00824BA4">
      <w:pPr>
        <w:pStyle w:val="Prrafodelista"/>
        <w:numPr>
          <w:ilvl w:val="0"/>
          <w:numId w:val="43"/>
        </w:numPr>
        <w:jc w:val="both"/>
        <w:rPr>
          <w:rFonts w:ascii="Verdana" w:hAnsi="Verdana"/>
          <w:bCs/>
          <w:sz w:val="22"/>
          <w:szCs w:val="22"/>
        </w:rPr>
      </w:pPr>
      <w:r w:rsidRPr="00824BA4">
        <w:rPr>
          <w:rFonts w:ascii="Verdana" w:hAnsi="Verdana"/>
          <w:bCs/>
          <w:sz w:val="22"/>
          <w:szCs w:val="22"/>
        </w:rPr>
        <w:t>E</w:t>
      </w:r>
      <w:r>
        <w:rPr>
          <w:rFonts w:ascii="Verdana" w:hAnsi="Verdana"/>
          <w:bCs/>
          <w:sz w:val="22"/>
          <w:szCs w:val="22"/>
        </w:rPr>
        <w:t>l í</w:t>
      </w:r>
      <w:r w:rsidRPr="00824BA4">
        <w:rPr>
          <w:rFonts w:ascii="Verdana" w:hAnsi="Verdana"/>
          <w:bCs/>
          <w:sz w:val="22"/>
          <w:szCs w:val="22"/>
        </w:rPr>
        <w:t>ndic</w:t>
      </w:r>
      <w:r>
        <w:rPr>
          <w:rFonts w:ascii="Verdana" w:hAnsi="Verdana"/>
          <w:bCs/>
          <w:sz w:val="22"/>
          <w:szCs w:val="22"/>
        </w:rPr>
        <w:t>e</w:t>
      </w:r>
      <w:r w:rsidRPr="00824BA4">
        <w:rPr>
          <w:rFonts w:ascii="Verdana" w:hAnsi="Verdana"/>
          <w:bCs/>
          <w:sz w:val="22"/>
          <w:szCs w:val="22"/>
        </w:rPr>
        <w:t xml:space="preserve"> IHF</w:t>
      </w:r>
      <w:r>
        <w:rPr>
          <w:rFonts w:ascii="Verdana" w:hAnsi="Verdana"/>
          <w:bCs/>
          <w:sz w:val="22"/>
          <w:szCs w:val="22"/>
        </w:rPr>
        <w:t xml:space="preserve"> </w:t>
      </w:r>
      <w:r w:rsidRPr="00824BA4">
        <w:rPr>
          <w:rFonts w:ascii="Verdana" w:hAnsi="Verdana"/>
          <w:bCs/>
          <w:sz w:val="22"/>
          <w:szCs w:val="22"/>
        </w:rPr>
        <w:t xml:space="preserve">considera los eventos en el </w:t>
      </w:r>
      <w:r w:rsidR="00F9563C">
        <w:rPr>
          <w:rFonts w:ascii="Verdana" w:hAnsi="Verdana"/>
          <w:bCs/>
          <w:sz w:val="22"/>
          <w:szCs w:val="22"/>
        </w:rPr>
        <w:t>s</w:t>
      </w:r>
      <w:r w:rsidRPr="00824BA4">
        <w:rPr>
          <w:rFonts w:ascii="Verdana" w:hAnsi="Verdana"/>
          <w:bCs/>
          <w:sz w:val="22"/>
          <w:szCs w:val="22"/>
        </w:rPr>
        <w:t xml:space="preserve">ector </w:t>
      </w:r>
      <w:r w:rsidR="00F9563C">
        <w:rPr>
          <w:rFonts w:ascii="Verdana" w:hAnsi="Verdana"/>
          <w:bCs/>
          <w:sz w:val="22"/>
          <w:szCs w:val="22"/>
        </w:rPr>
        <w:t>g</w:t>
      </w:r>
      <w:r w:rsidRPr="00824BA4">
        <w:rPr>
          <w:rFonts w:ascii="Verdana" w:hAnsi="Verdana"/>
          <w:bCs/>
          <w:sz w:val="22"/>
          <w:szCs w:val="22"/>
        </w:rPr>
        <w:t>as como eventos internos</w:t>
      </w:r>
      <w:r>
        <w:rPr>
          <w:rFonts w:ascii="Verdana" w:hAnsi="Verdana"/>
          <w:bCs/>
          <w:sz w:val="22"/>
          <w:szCs w:val="22"/>
        </w:rPr>
        <w:t>,</w:t>
      </w:r>
      <w:r w:rsidRPr="00824BA4">
        <w:rPr>
          <w:rFonts w:ascii="Verdana" w:hAnsi="Verdana"/>
          <w:bCs/>
          <w:sz w:val="22"/>
          <w:szCs w:val="22"/>
        </w:rPr>
        <w:t xml:space="preserve"> según la regulación actual.</w:t>
      </w:r>
    </w:p>
    <w:p w14:paraId="614E032A" w14:textId="77777777" w:rsidR="00824BA4" w:rsidRDefault="00824BA4" w:rsidP="007A40B0">
      <w:pPr>
        <w:pStyle w:val="Prrafodelista"/>
        <w:ind w:left="720"/>
        <w:jc w:val="both"/>
        <w:rPr>
          <w:rFonts w:ascii="Verdana" w:hAnsi="Verdana"/>
          <w:bCs/>
          <w:sz w:val="22"/>
          <w:szCs w:val="22"/>
        </w:rPr>
      </w:pPr>
    </w:p>
    <w:p w14:paraId="721DA02F" w14:textId="23CE6B6A" w:rsidR="00824BA4" w:rsidRDefault="00824BA4" w:rsidP="00824BA4">
      <w:pPr>
        <w:pStyle w:val="Prrafodelista"/>
        <w:numPr>
          <w:ilvl w:val="0"/>
          <w:numId w:val="43"/>
        </w:numPr>
        <w:jc w:val="both"/>
        <w:rPr>
          <w:rFonts w:ascii="Verdana" w:hAnsi="Verdana"/>
          <w:bCs/>
          <w:sz w:val="22"/>
          <w:szCs w:val="22"/>
        </w:rPr>
      </w:pPr>
      <w:r w:rsidRPr="007A40B0">
        <w:rPr>
          <w:rFonts w:ascii="Verdana" w:hAnsi="Verdana"/>
          <w:bCs/>
          <w:sz w:val="22"/>
          <w:szCs w:val="22"/>
        </w:rPr>
        <w:t>El ejercicio realizado con la</w:t>
      </w:r>
      <w:r w:rsidR="00F9563C">
        <w:rPr>
          <w:rFonts w:ascii="Verdana" w:hAnsi="Verdana"/>
          <w:bCs/>
          <w:sz w:val="22"/>
          <w:szCs w:val="22"/>
        </w:rPr>
        <w:t>s</w:t>
      </w:r>
      <w:r w:rsidRPr="007A40B0">
        <w:rPr>
          <w:rFonts w:ascii="Verdana" w:hAnsi="Verdana"/>
          <w:bCs/>
          <w:sz w:val="22"/>
          <w:szCs w:val="22"/>
        </w:rPr>
        <w:t xml:space="preserve"> O</w:t>
      </w:r>
      <w:r>
        <w:rPr>
          <w:rFonts w:ascii="Verdana" w:hAnsi="Verdana"/>
          <w:bCs/>
          <w:sz w:val="22"/>
          <w:szCs w:val="22"/>
        </w:rPr>
        <w:t>bligaciones de Energía en Firme</w:t>
      </w:r>
      <w:r w:rsidRPr="007A40B0">
        <w:rPr>
          <w:rFonts w:ascii="Verdana" w:hAnsi="Verdana"/>
          <w:bCs/>
          <w:sz w:val="22"/>
          <w:szCs w:val="22"/>
        </w:rPr>
        <w:t xml:space="preserve"> est</w:t>
      </w:r>
      <w:r>
        <w:rPr>
          <w:rFonts w:ascii="Verdana" w:hAnsi="Verdana"/>
          <w:bCs/>
          <w:sz w:val="22"/>
          <w:szCs w:val="22"/>
        </w:rPr>
        <w:t>á</w:t>
      </w:r>
      <w:r w:rsidRPr="007A40B0">
        <w:rPr>
          <w:rFonts w:ascii="Verdana" w:hAnsi="Verdana"/>
          <w:bCs/>
          <w:sz w:val="22"/>
          <w:szCs w:val="22"/>
        </w:rPr>
        <w:t xml:space="preserve"> afectado por el IHF</w:t>
      </w:r>
      <w:r>
        <w:rPr>
          <w:rFonts w:ascii="Verdana" w:hAnsi="Verdana"/>
          <w:bCs/>
          <w:sz w:val="22"/>
          <w:szCs w:val="22"/>
        </w:rPr>
        <w:t xml:space="preserve">, </w:t>
      </w:r>
      <w:r w:rsidRPr="007A40B0">
        <w:rPr>
          <w:rFonts w:ascii="Verdana" w:hAnsi="Verdana"/>
          <w:bCs/>
          <w:sz w:val="22"/>
          <w:szCs w:val="22"/>
        </w:rPr>
        <w:t xml:space="preserve">y las plantas de generación </w:t>
      </w:r>
      <w:r>
        <w:rPr>
          <w:rFonts w:ascii="Verdana" w:hAnsi="Verdana"/>
          <w:bCs/>
          <w:sz w:val="22"/>
          <w:szCs w:val="22"/>
        </w:rPr>
        <w:t>son despachadas considerando</w:t>
      </w:r>
      <w:r w:rsidRPr="007A40B0">
        <w:rPr>
          <w:rFonts w:ascii="Verdana" w:hAnsi="Verdana"/>
          <w:bCs/>
          <w:sz w:val="22"/>
          <w:szCs w:val="22"/>
        </w:rPr>
        <w:t xml:space="preserve"> su </w:t>
      </w:r>
      <w:r>
        <w:rPr>
          <w:rFonts w:ascii="Verdana" w:hAnsi="Verdana"/>
          <w:bCs/>
          <w:sz w:val="22"/>
          <w:szCs w:val="22"/>
        </w:rPr>
        <w:t>Capacidad Efectiva Neta-CEN. Es importante mencionar que bajo este enfoque se presentarían</w:t>
      </w:r>
      <w:r w:rsidRPr="007A40B0">
        <w:rPr>
          <w:rFonts w:ascii="Verdana" w:hAnsi="Verdana"/>
          <w:bCs/>
          <w:sz w:val="22"/>
          <w:szCs w:val="22"/>
        </w:rPr>
        <w:t xml:space="preserve"> dificultad</w:t>
      </w:r>
      <w:r>
        <w:rPr>
          <w:rFonts w:ascii="Verdana" w:hAnsi="Verdana"/>
          <w:bCs/>
          <w:sz w:val="22"/>
          <w:szCs w:val="22"/>
        </w:rPr>
        <w:t>es</w:t>
      </w:r>
      <w:r w:rsidR="005D687A">
        <w:rPr>
          <w:rFonts w:ascii="Verdana" w:hAnsi="Verdana"/>
          <w:bCs/>
          <w:sz w:val="22"/>
          <w:szCs w:val="22"/>
        </w:rPr>
        <w:t xml:space="preserve"> para</w:t>
      </w:r>
      <w:r>
        <w:rPr>
          <w:rFonts w:ascii="Verdana" w:hAnsi="Verdana"/>
          <w:bCs/>
          <w:sz w:val="22"/>
          <w:szCs w:val="22"/>
        </w:rPr>
        <w:t xml:space="preserve"> alcanzar valores de producción cercanos a los</w:t>
      </w:r>
      <w:r w:rsidRPr="007A40B0">
        <w:rPr>
          <w:rFonts w:ascii="Verdana" w:hAnsi="Verdana"/>
          <w:bCs/>
          <w:sz w:val="22"/>
          <w:szCs w:val="22"/>
        </w:rPr>
        <w:t xml:space="preserve"> 95</w:t>
      </w:r>
      <w:r>
        <w:rPr>
          <w:rFonts w:ascii="Verdana" w:hAnsi="Verdana"/>
          <w:bCs/>
          <w:sz w:val="22"/>
          <w:szCs w:val="22"/>
        </w:rPr>
        <w:t xml:space="preserve"> GWh-día, </w:t>
      </w:r>
      <w:r w:rsidRPr="007A40B0">
        <w:rPr>
          <w:rFonts w:ascii="Verdana" w:hAnsi="Verdana"/>
          <w:bCs/>
          <w:sz w:val="22"/>
          <w:szCs w:val="22"/>
        </w:rPr>
        <w:t>por la afectación del IHF</w:t>
      </w:r>
      <w:r>
        <w:rPr>
          <w:rFonts w:ascii="Verdana" w:hAnsi="Verdana"/>
          <w:bCs/>
          <w:sz w:val="22"/>
          <w:szCs w:val="22"/>
        </w:rPr>
        <w:t>.</w:t>
      </w:r>
    </w:p>
    <w:p w14:paraId="75970E80" w14:textId="77777777" w:rsidR="00824BA4" w:rsidRPr="007A40B0" w:rsidRDefault="00824BA4" w:rsidP="007A40B0">
      <w:pPr>
        <w:pStyle w:val="Prrafodelista"/>
        <w:rPr>
          <w:rFonts w:ascii="Verdana" w:hAnsi="Verdana"/>
          <w:bCs/>
          <w:sz w:val="22"/>
          <w:szCs w:val="22"/>
        </w:rPr>
      </w:pPr>
    </w:p>
    <w:p w14:paraId="52442167" w14:textId="40FB8937" w:rsidR="005D687A" w:rsidRDefault="00824BA4" w:rsidP="005D687A">
      <w:pPr>
        <w:pStyle w:val="Prrafodelista"/>
        <w:numPr>
          <w:ilvl w:val="0"/>
          <w:numId w:val="43"/>
        </w:numPr>
        <w:jc w:val="both"/>
        <w:rPr>
          <w:rFonts w:ascii="Verdana" w:hAnsi="Verdana"/>
          <w:bCs/>
          <w:sz w:val="22"/>
          <w:szCs w:val="22"/>
        </w:rPr>
      </w:pPr>
      <w:r>
        <w:rPr>
          <w:rFonts w:ascii="Verdana" w:hAnsi="Verdana"/>
          <w:bCs/>
          <w:sz w:val="22"/>
          <w:szCs w:val="22"/>
        </w:rPr>
        <w:t xml:space="preserve">Las simulaciones tuvieron en cuenta </w:t>
      </w:r>
      <w:r w:rsidR="005D687A">
        <w:rPr>
          <w:rFonts w:ascii="Verdana" w:hAnsi="Verdana"/>
          <w:bCs/>
          <w:sz w:val="22"/>
          <w:szCs w:val="22"/>
        </w:rPr>
        <w:t>la información del fenómeno de “El Niño”</w:t>
      </w:r>
      <w:r w:rsidRPr="007A40B0">
        <w:rPr>
          <w:rFonts w:ascii="Verdana" w:hAnsi="Verdana"/>
          <w:bCs/>
          <w:sz w:val="22"/>
          <w:szCs w:val="22"/>
        </w:rPr>
        <w:t xml:space="preserve"> 2015-2016</w:t>
      </w:r>
      <w:r w:rsidR="005D687A">
        <w:rPr>
          <w:rFonts w:ascii="Verdana" w:hAnsi="Verdana"/>
          <w:bCs/>
          <w:sz w:val="22"/>
          <w:szCs w:val="22"/>
        </w:rPr>
        <w:t>. Se prop</w:t>
      </w:r>
      <w:r w:rsidR="00F9563C">
        <w:rPr>
          <w:rFonts w:ascii="Verdana" w:hAnsi="Verdana"/>
          <w:bCs/>
          <w:sz w:val="22"/>
          <w:szCs w:val="22"/>
        </w:rPr>
        <w:t>uso</w:t>
      </w:r>
      <w:r w:rsidR="005D687A">
        <w:rPr>
          <w:rFonts w:ascii="Verdana" w:hAnsi="Verdana"/>
          <w:bCs/>
          <w:sz w:val="22"/>
          <w:szCs w:val="22"/>
        </w:rPr>
        <w:t xml:space="preserve"> incluir </w:t>
      </w:r>
      <w:r w:rsidRPr="007A40B0">
        <w:rPr>
          <w:rFonts w:ascii="Verdana" w:hAnsi="Verdana"/>
          <w:bCs/>
          <w:sz w:val="22"/>
          <w:szCs w:val="22"/>
        </w:rPr>
        <w:t>las condiciones actuales</w:t>
      </w:r>
      <w:r w:rsidR="005D687A">
        <w:rPr>
          <w:rFonts w:ascii="Verdana" w:hAnsi="Verdana"/>
          <w:bCs/>
          <w:sz w:val="22"/>
          <w:szCs w:val="22"/>
        </w:rPr>
        <w:t xml:space="preserve">, donde se cuenta con mayor </w:t>
      </w:r>
      <w:r w:rsidRPr="007A40B0">
        <w:rPr>
          <w:rFonts w:ascii="Verdana" w:hAnsi="Verdana"/>
          <w:bCs/>
          <w:sz w:val="22"/>
          <w:szCs w:val="22"/>
        </w:rPr>
        <w:t xml:space="preserve">disponibilidad de gas </w:t>
      </w:r>
      <w:r w:rsidR="005D687A">
        <w:rPr>
          <w:rFonts w:ascii="Verdana" w:hAnsi="Verdana"/>
          <w:bCs/>
          <w:sz w:val="22"/>
          <w:szCs w:val="22"/>
        </w:rPr>
        <w:t>gracias a la P</w:t>
      </w:r>
      <w:r w:rsidRPr="007A40B0">
        <w:rPr>
          <w:rFonts w:ascii="Verdana" w:hAnsi="Verdana"/>
          <w:bCs/>
          <w:sz w:val="22"/>
          <w:szCs w:val="22"/>
        </w:rPr>
        <w:t xml:space="preserve">lanta de </w:t>
      </w:r>
      <w:r w:rsidR="005D687A">
        <w:rPr>
          <w:rFonts w:ascii="Verdana" w:hAnsi="Verdana"/>
          <w:bCs/>
          <w:sz w:val="22"/>
          <w:szCs w:val="22"/>
        </w:rPr>
        <w:t>R</w:t>
      </w:r>
      <w:r w:rsidRPr="007A40B0">
        <w:rPr>
          <w:rFonts w:ascii="Verdana" w:hAnsi="Verdana"/>
          <w:bCs/>
          <w:sz w:val="22"/>
          <w:szCs w:val="22"/>
        </w:rPr>
        <w:t xml:space="preserve">egasificación de Cartagena y los pozos de producción del </w:t>
      </w:r>
      <w:r w:rsidR="005D687A">
        <w:rPr>
          <w:rFonts w:ascii="Verdana" w:hAnsi="Verdana"/>
          <w:bCs/>
          <w:sz w:val="22"/>
          <w:szCs w:val="22"/>
        </w:rPr>
        <w:t>s</w:t>
      </w:r>
      <w:r w:rsidRPr="007A40B0">
        <w:rPr>
          <w:rFonts w:ascii="Verdana" w:hAnsi="Verdana"/>
          <w:bCs/>
          <w:sz w:val="22"/>
          <w:szCs w:val="22"/>
        </w:rPr>
        <w:t xml:space="preserve">ur de </w:t>
      </w:r>
      <w:r w:rsidR="005D687A" w:rsidRPr="00824BA4">
        <w:rPr>
          <w:rFonts w:ascii="Verdana" w:hAnsi="Verdana"/>
          <w:bCs/>
          <w:sz w:val="22"/>
          <w:szCs w:val="22"/>
        </w:rPr>
        <w:t>Bolívar</w:t>
      </w:r>
      <w:r w:rsidRPr="007A40B0">
        <w:rPr>
          <w:rFonts w:ascii="Verdana" w:hAnsi="Verdana"/>
          <w:bCs/>
          <w:sz w:val="22"/>
          <w:szCs w:val="22"/>
        </w:rPr>
        <w:t>.</w:t>
      </w:r>
    </w:p>
    <w:p w14:paraId="1AC25ADD" w14:textId="77777777" w:rsidR="005D687A" w:rsidRPr="007A40B0" w:rsidRDefault="005D687A" w:rsidP="007A40B0">
      <w:pPr>
        <w:pStyle w:val="Prrafodelista"/>
        <w:rPr>
          <w:rFonts w:ascii="Verdana" w:hAnsi="Verdana"/>
          <w:bCs/>
          <w:sz w:val="22"/>
          <w:szCs w:val="22"/>
        </w:rPr>
      </w:pPr>
    </w:p>
    <w:p w14:paraId="0A33B4FF" w14:textId="3C65C89D" w:rsidR="005D687A" w:rsidRDefault="00824BA4" w:rsidP="005D687A">
      <w:pPr>
        <w:pStyle w:val="Prrafodelista"/>
        <w:numPr>
          <w:ilvl w:val="0"/>
          <w:numId w:val="43"/>
        </w:numPr>
        <w:jc w:val="both"/>
        <w:rPr>
          <w:rFonts w:ascii="Verdana" w:hAnsi="Verdana"/>
          <w:bCs/>
          <w:sz w:val="22"/>
          <w:szCs w:val="22"/>
        </w:rPr>
      </w:pPr>
      <w:r w:rsidRPr="007A40B0">
        <w:rPr>
          <w:rFonts w:ascii="Verdana" w:hAnsi="Verdana"/>
          <w:bCs/>
          <w:sz w:val="22"/>
          <w:szCs w:val="22"/>
        </w:rPr>
        <w:t>Para el ejercicio se debe considerar la probabilidad de</w:t>
      </w:r>
      <w:r w:rsidR="005D687A">
        <w:rPr>
          <w:rFonts w:ascii="Verdana" w:hAnsi="Verdana"/>
          <w:bCs/>
          <w:sz w:val="22"/>
          <w:szCs w:val="22"/>
        </w:rPr>
        <w:t xml:space="preserve"> eventos</w:t>
      </w:r>
      <w:r w:rsidRPr="007A40B0">
        <w:rPr>
          <w:rFonts w:ascii="Verdana" w:hAnsi="Verdana"/>
          <w:bCs/>
          <w:sz w:val="22"/>
          <w:szCs w:val="22"/>
        </w:rPr>
        <w:t xml:space="preserve"> simult</w:t>
      </w:r>
      <w:r w:rsidR="005D687A">
        <w:rPr>
          <w:rFonts w:ascii="Verdana" w:hAnsi="Verdana"/>
          <w:bCs/>
          <w:sz w:val="22"/>
          <w:szCs w:val="22"/>
        </w:rPr>
        <w:t>áneos, que puedan afectar al SIN y el SNT.</w:t>
      </w:r>
      <w:r w:rsidRPr="007A40B0">
        <w:rPr>
          <w:rFonts w:ascii="Verdana" w:hAnsi="Verdana"/>
          <w:bCs/>
          <w:sz w:val="22"/>
          <w:szCs w:val="22"/>
        </w:rPr>
        <w:t xml:space="preserve"> </w:t>
      </w:r>
      <w:r w:rsidR="005D687A">
        <w:rPr>
          <w:rFonts w:ascii="Verdana" w:hAnsi="Verdana"/>
          <w:bCs/>
          <w:sz w:val="22"/>
          <w:szCs w:val="22"/>
        </w:rPr>
        <w:t xml:space="preserve"> Adicionalmente, contemplar la Capacidad Efectiva Neta-CEN de las plantas de generación, afectada por un factor de seguridad.</w:t>
      </w:r>
    </w:p>
    <w:p w14:paraId="7CB35587" w14:textId="77777777" w:rsidR="005D687A" w:rsidRPr="007A40B0" w:rsidRDefault="005D687A" w:rsidP="007A40B0">
      <w:pPr>
        <w:pStyle w:val="Prrafodelista"/>
        <w:rPr>
          <w:rFonts w:ascii="Verdana" w:hAnsi="Verdana"/>
          <w:bCs/>
          <w:sz w:val="22"/>
          <w:szCs w:val="22"/>
        </w:rPr>
      </w:pPr>
    </w:p>
    <w:p w14:paraId="7BAD74F8" w14:textId="66328F0D" w:rsidR="004E3D43" w:rsidRPr="007A40B0" w:rsidRDefault="005D687A" w:rsidP="007A40B0">
      <w:pPr>
        <w:pStyle w:val="Prrafodelista"/>
        <w:numPr>
          <w:ilvl w:val="0"/>
          <w:numId w:val="43"/>
        </w:numPr>
        <w:jc w:val="both"/>
        <w:rPr>
          <w:rFonts w:ascii="Verdana" w:hAnsi="Verdana"/>
          <w:bCs/>
          <w:sz w:val="22"/>
          <w:szCs w:val="22"/>
        </w:rPr>
      </w:pPr>
      <w:r>
        <w:rPr>
          <w:rFonts w:ascii="Verdana" w:hAnsi="Verdana"/>
          <w:bCs/>
          <w:sz w:val="22"/>
          <w:szCs w:val="22"/>
        </w:rPr>
        <w:t>Se debe revisar si la función de densidad de probabilidad de la disponibilidad de cada planta de generación térmica sigue una distribución uniforme.</w:t>
      </w:r>
    </w:p>
    <w:p w14:paraId="26CC52F5" w14:textId="3CA6C448" w:rsidR="000E24EB" w:rsidRDefault="000E24EB" w:rsidP="000E24EB">
      <w:pPr>
        <w:pStyle w:val="Prrafodelista"/>
        <w:rPr>
          <w:rFonts w:ascii="Verdana" w:hAnsi="Verdana"/>
          <w:bCs/>
          <w:sz w:val="22"/>
          <w:szCs w:val="22"/>
        </w:rPr>
      </w:pPr>
    </w:p>
    <w:p w14:paraId="1659F8AA" w14:textId="7AEC7516" w:rsidR="0038624D" w:rsidRPr="0064007B" w:rsidRDefault="005D687A" w:rsidP="0064007B">
      <w:pPr>
        <w:pStyle w:val="Prrafodelista"/>
        <w:numPr>
          <w:ilvl w:val="0"/>
          <w:numId w:val="35"/>
        </w:numPr>
        <w:jc w:val="both"/>
        <w:rPr>
          <w:rFonts w:ascii="Verdana" w:hAnsi="Verdana"/>
          <w:bCs/>
          <w:sz w:val="22"/>
          <w:szCs w:val="22"/>
        </w:rPr>
      </w:pPr>
      <w:r w:rsidRPr="0064007B">
        <w:rPr>
          <w:rFonts w:ascii="Verdana" w:hAnsi="Verdana"/>
          <w:bCs/>
          <w:sz w:val="22"/>
          <w:szCs w:val="22"/>
        </w:rPr>
        <w:t xml:space="preserve">En el Comité de Operación </w:t>
      </w:r>
      <w:r w:rsidR="0038624D" w:rsidRPr="0064007B">
        <w:rPr>
          <w:rFonts w:ascii="Verdana" w:hAnsi="Verdana"/>
          <w:bCs/>
          <w:sz w:val="22"/>
          <w:szCs w:val="22"/>
        </w:rPr>
        <w:t xml:space="preserve">se recomendó </w:t>
      </w:r>
      <w:r w:rsidR="00123AA8" w:rsidRPr="0064007B">
        <w:rPr>
          <w:rFonts w:ascii="Verdana" w:hAnsi="Verdana"/>
          <w:bCs/>
          <w:sz w:val="22"/>
          <w:szCs w:val="22"/>
        </w:rPr>
        <w:t xml:space="preserve">contar con la información de riesgo de prestación del servicio de las autoridades competentes, para hacer sensibilidades a las corridas energéticas, que tengan en cuenta cualquier cambio de la operación de </w:t>
      </w:r>
      <w:r w:rsidR="0064007B" w:rsidRPr="0064007B">
        <w:rPr>
          <w:rFonts w:ascii="Verdana" w:hAnsi="Verdana"/>
          <w:bCs/>
          <w:sz w:val="22"/>
          <w:szCs w:val="22"/>
        </w:rPr>
        <w:t>TERMONORTE</w:t>
      </w:r>
      <w:r w:rsidR="00123AA8" w:rsidRPr="0064007B">
        <w:rPr>
          <w:rFonts w:ascii="Verdana" w:hAnsi="Verdana"/>
          <w:bCs/>
          <w:sz w:val="22"/>
          <w:szCs w:val="22"/>
        </w:rPr>
        <w:t xml:space="preserve"> -88M W</w:t>
      </w:r>
      <w:r w:rsidR="0064007B" w:rsidRPr="0064007B">
        <w:rPr>
          <w:rFonts w:ascii="Verdana" w:hAnsi="Verdana"/>
          <w:bCs/>
          <w:sz w:val="22"/>
          <w:szCs w:val="22"/>
        </w:rPr>
        <w:t xml:space="preserve"> </w:t>
      </w:r>
      <w:r w:rsidR="00123AA8" w:rsidRPr="0064007B">
        <w:rPr>
          <w:rFonts w:ascii="Verdana" w:hAnsi="Verdana"/>
          <w:bCs/>
          <w:sz w:val="22"/>
          <w:szCs w:val="22"/>
        </w:rPr>
        <w:t xml:space="preserve">y el futuro del proyecto Termocaribe-42 MW que tiene obligaciones de energía en firme. </w:t>
      </w:r>
    </w:p>
    <w:p w14:paraId="66E9A5CA" w14:textId="26A4E593" w:rsidR="0038624D" w:rsidRDefault="0038624D" w:rsidP="007A40B0">
      <w:pPr>
        <w:pStyle w:val="Prrafodelista"/>
        <w:ind w:left="360"/>
        <w:jc w:val="both"/>
        <w:rPr>
          <w:rFonts w:ascii="Verdana" w:hAnsi="Verdana"/>
          <w:bCs/>
          <w:sz w:val="22"/>
          <w:szCs w:val="22"/>
        </w:rPr>
      </w:pPr>
    </w:p>
    <w:p w14:paraId="50B10898" w14:textId="02E92137" w:rsidR="00421ABA" w:rsidRDefault="0038624D" w:rsidP="005D687A">
      <w:pPr>
        <w:pStyle w:val="Prrafodelista"/>
        <w:numPr>
          <w:ilvl w:val="0"/>
          <w:numId w:val="35"/>
        </w:numPr>
        <w:jc w:val="both"/>
        <w:rPr>
          <w:rFonts w:ascii="Verdana" w:hAnsi="Verdana"/>
          <w:bCs/>
          <w:sz w:val="22"/>
          <w:szCs w:val="22"/>
        </w:rPr>
      </w:pPr>
      <w:r>
        <w:rPr>
          <w:rFonts w:ascii="Verdana" w:hAnsi="Verdana"/>
          <w:bCs/>
          <w:sz w:val="22"/>
          <w:szCs w:val="22"/>
        </w:rPr>
        <w:t>En este momento se están recopilando las observaciones a los focos 1, 2, 3 y 5 de la misión de transformación</w:t>
      </w:r>
      <w:r w:rsidR="00421ABA">
        <w:rPr>
          <w:rFonts w:ascii="Verdana" w:hAnsi="Verdana"/>
          <w:bCs/>
          <w:sz w:val="22"/>
          <w:szCs w:val="22"/>
        </w:rPr>
        <w:t xml:space="preserve">, en los Comités de Transmisión, Distribución y el </w:t>
      </w:r>
      <w:r w:rsidR="00F9563C">
        <w:rPr>
          <w:rFonts w:ascii="Verdana" w:hAnsi="Verdana"/>
          <w:bCs/>
          <w:sz w:val="22"/>
          <w:szCs w:val="22"/>
        </w:rPr>
        <w:t>S</w:t>
      </w:r>
      <w:r w:rsidR="00421ABA">
        <w:rPr>
          <w:rFonts w:ascii="Verdana" w:hAnsi="Verdana"/>
          <w:bCs/>
          <w:sz w:val="22"/>
          <w:szCs w:val="22"/>
        </w:rPr>
        <w:t>ubcomité de Plantas. El plazo para enviar las observaciones es el 10 de marzo.</w:t>
      </w:r>
    </w:p>
    <w:p w14:paraId="32A3841D" w14:textId="77777777" w:rsidR="00421ABA" w:rsidRPr="007A40B0" w:rsidRDefault="00421ABA" w:rsidP="007A40B0">
      <w:pPr>
        <w:pStyle w:val="Prrafodelista"/>
        <w:rPr>
          <w:rFonts w:ascii="Verdana" w:hAnsi="Verdana"/>
          <w:bCs/>
          <w:sz w:val="22"/>
          <w:szCs w:val="22"/>
        </w:rPr>
      </w:pPr>
    </w:p>
    <w:p w14:paraId="2688445A" w14:textId="620584E7" w:rsidR="00CF7680" w:rsidRDefault="00421ABA" w:rsidP="004C73A6">
      <w:pPr>
        <w:pStyle w:val="Prrafodelista"/>
        <w:numPr>
          <w:ilvl w:val="0"/>
          <w:numId w:val="35"/>
        </w:numPr>
        <w:jc w:val="both"/>
        <w:rPr>
          <w:rFonts w:ascii="Verdana" w:hAnsi="Verdana"/>
          <w:bCs/>
          <w:sz w:val="22"/>
          <w:szCs w:val="22"/>
        </w:rPr>
      </w:pPr>
      <w:r w:rsidRPr="00CF7680">
        <w:rPr>
          <w:rFonts w:ascii="Verdana" w:hAnsi="Verdana"/>
          <w:bCs/>
          <w:sz w:val="22"/>
          <w:szCs w:val="22"/>
        </w:rPr>
        <w:t xml:space="preserve">Se envió comunicación a la CREG solicitando su concepto, sobre la consideración o no de los flujos en </w:t>
      </w:r>
      <w:r w:rsidR="00EF492C" w:rsidRPr="00CF7680">
        <w:rPr>
          <w:rFonts w:ascii="Verdana" w:hAnsi="Verdana"/>
          <w:bCs/>
          <w:sz w:val="22"/>
          <w:szCs w:val="22"/>
        </w:rPr>
        <w:t>tránsito</w:t>
      </w:r>
      <w:r w:rsidRPr="00CF7680">
        <w:rPr>
          <w:rFonts w:ascii="Verdana" w:hAnsi="Verdana"/>
          <w:bCs/>
          <w:sz w:val="22"/>
          <w:szCs w:val="22"/>
        </w:rPr>
        <w:t xml:space="preserve"> para el cálculo del índice de pérdidas. </w:t>
      </w:r>
    </w:p>
    <w:p w14:paraId="0D61B190" w14:textId="77777777" w:rsidR="00CF7680" w:rsidRPr="00CF7680" w:rsidRDefault="00CF7680" w:rsidP="00CF7680">
      <w:pPr>
        <w:pStyle w:val="Prrafodelista"/>
        <w:rPr>
          <w:rFonts w:ascii="Verdana" w:hAnsi="Verdana"/>
          <w:bCs/>
          <w:sz w:val="22"/>
          <w:szCs w:val="22"/>
        </w:rPr>
      </w:pPr>
    </w:p>
    <w:p w14:paraId="54B2FD92" w14:textId="77777777" w:rsidR="00CF7680" w:rsidRPr="00CF7680" w:rsidRDefault="00CF7680" w:rsidP="00CF7680">
      <w:pPr>
        <w:pStyle w:val="Prrafodelista"/>
        <w:rPr>
          <w:rFonts w:ascii="Verdana" w:hAnsi="Verdana"/>
          <w:bCs/>
          <w:sz w:val="22"/>
          <w:szCs w:val="22"/>
        </w:rPr>
      </w:pPr>
    </w:p>
    <w:p w14:paraId="02B7E757" w14:textId="3EFB7F9B" w:rsidR="00CF7680" w:rsidRDefault="00B76793" w:rsidP="004C73A6">
      <w:pPr>
        <w:pStyle w:val="Prrafodelista"/>
        <w:numPr>
          <w:ilvl w:val="0"/>
          <w:numId w:val="35"/>
        </w:numPr>
        <w:jc w:val="both"/>
        <w:rPr>
          <w:rFonts w:ascii="Verdana" w:hAnsi="Verdana"/>
          <w:bCs/>
          <w:sz w:val="22"/>
          <w:szCs w:val="22"/>
        </w:rPr>
      </w:pPr>
      <w:r w:rsidRPr="00CF7680">
        <w:rPr>
          <w:rFonts w:ascii="Verdana" w:hAnsi="Verdana"/>
          <w:bCs/>
          <w:sz w:val="22"/>
          <w:szCs w:val="22"/>
        </w:rPr>
        <w:t>La reunión 146 del CACSEE se llevó a cabo el pasado 25 de febrero con la siguiente agenda:</w:t>
      </w:r>
    </w:p>
    <w:p w14:paraId="515B21B8" w14:textId="77777777" w:rsidR="00CF7680" w:rsidRPr="00CF7680" w:rsidRDefault="00CF7680" w:rsidP="00CF7680">
      <w:pPr>
        <w:jc w:val="both"/>
        <w:rPr>
          <w:rFonts w:ascii="Verdana" w:hAnsi="Verdana"/>
          <w:bCs/>
          <w:sz w:val="22"/>
          <w:szCs w:val="22"/>
        </w:rPr>
      </w:pPr>
    </w:p>
    <w:p w14:paraId="4852BD9B" w14:textId="77777777" w:rsidR="00CF7680" w:rsidRDefault="00CF7680" w:rsidP="00CF7680">
      <w:pPr>
        <w:jc w:val="both"/>
        <w:rPr>
          <w:rFonts w:ascii="Verdana" w:hAnsi="Verdana"/>
          <w:bCs/>
          <w:sz w:val="22"/>
          <w:szCs w:val="22"/>
        </w:rPr>
      </w:pPr>
      <w:r>
        <w:rPr>
          <w:rFonts w:ascii="Verdana" w:hAnsi="Verdana"/>
          <w:bCs/>
          <w:sz w:val="22"/>
          <w:szCs w:val="22"/>
        </w:rPr>
        <w:t>1</w:t>
      </w:r>
      <w:r w:rsidR="00B76793" w:rsidRPr="00CF7680">
        <w:rPr>
          <w:rFonts w:ascii="Verdana" w:hAnsi="Verdana"/>
          <w:bCs/>
          <w:sz w:val="22"/>
          <w:szCs w:val="22"/>
        </w:rPr>
        <w:t xml:space="preserve"> Análisis de la situación energética del país -XM.</w:t>
      </w:r>
    </w:p>
    <w:p w14:paraId="77ADE3DB" w14:textId="31100A39" w:rsidR="00B76793" w:rsidRPr="00CF7680" w:rsidRDefault="00CF7680" w:rsidP="00CF7680">
      <w:pPr>
        <w:jc w:val="both"/>
        <w:rPr>
          <w:rFonts w:ascii="Verdana" w:hAnsi="Verdana"/>
          <w:bCs/>
          <w:sz w:val="22"/>
          <w:szCs w:val="22"/>
        </w:rPr>
      </w:pPr>
      <w:r>
        <w:rPr>
          <w:rFonts w:ascii="Verdana" w:hAnsi="Verdana"/>
          <w:bCs/>
          <w:sz w:val="22"/>
          <w:szCs w:val="22"/>
        </w:rPr>
        <w:t>2</w:t>
      </w:r>
      <w:r w:rsidR="00B76793" w:rsidRPr="00CF7680">
        <w:rPr>
          <w:rFonts w:ascii="Verdana" w:hAnsi="Verdana"/>
          <w:bCs/>
          <w:sz w:val="22"/>
          <w:szCs w:val="22"/>
        </w:rPr>
        <w:t>. Mantenimiento Paraíso –La Guaca.</w:t>
      </w:r>
      <w:r>
        <w:rPr>
          <w:rFonts w:ascii="Verdana" w:hAnsi="Verdana"/>
          <w:bCs/>
          <w:sz w:val="22"/>
          <w:szCs w:val="22"/>
        </w:rPr>
        <w:t xml:space="preserve"> Presentado por ENEL EMGESA</w:t>
      </w:r>
    </w:p>
    <w:p w14:paraId="650B34C1" w14:textId="6FF88EB4" w:rsidR="00B76793" w:rsidRPr="00CF7680" w:rsidRDefault="00CF7680" w:rsidP="00CF7680">
      <w:pPr>
        <w:jc w:val="both"/>
        <w:rPr>
          <w:rFonts w:ascii="Verdana" w:hAnsi="Verdana"/>
          <w:bCs/>
          <w:sz w:val="22"/>
          <w:szCs w:val="22"/>
        </w:rPr>
      </w:pPr>
      <w:r>
        <w:rPr>
          <w:rFonts w:ascii="Verdana" w:hAnsi="Verdana"/>
          <w:bCs/>
          <w:sz w:val="22"/>
          <w:szCs w:val="22"/>
        </w:rPr>
        <w:t>3</w:t>
      </w:r>
      <w:r w:rsidR="00B76793" w:rsidRPr="00CF7680">
        <w:rPr>
          <w:rFonts w:ascii="Verdana" w:hAnsi="Verdana"/>
          <w:bCs/>
          <w:sz w:val="22"/>
          <w:szCs w:val="22"/>
        </w:rPr>
        <w:t>. Mantenimiento Chivor.</w:t>
      </w:r>
      <w:r>
        <w:rPr>
          <w:rFonts w:ascii="Verdana" w:hAnsi="Verdana"/>
          <w:bCs/>
          <w:sz w:val="22"/>
          <w:szCs w:val="22"/>
        </w:rPr>
        <w:t xml:space="preserve"> Presentado por AES CHIVOR.</w:t>
      </w:r>
    </w:p>
    <w:p w14:paraId="79F3B50A" w14:textId="4326DCC7" w:rsidR="00B76793" w:rsidRPr="00CF7680" w:rsidRDefault="00CF7680" w:rsidP="00CF7680">
      <w:pPr>
        <w:jc w:val="both"/>
        <w:rPr>
          <w:rFonts w:ascii="Verdana" w:hAnsi="Verdana"/>
          <w:bCs/>
          <w:sz w:val="22"/>
          <w:szCs w:val="22"/>
        </w:rPr>
      </w:pPr>
      <w:r>
        <w:rPr>
          <w:rFonts w:ascii="Verdana" w:hAnsi="Verdana"/>
          <w:bCs/>
          <w:sz w:val="22"/>
          <w:szCs w:val="22"/>
        </w:rPr>
        <w:t>4</w:t>
      </w:r>
      <w:r w:rsidR="00B76793" w:rsidRPr="00CF7680">
        <w:rPr>
          <w:rFonts w:ascii="Verdana" w:hAnsi="Verdana"/>
          <w:bCs/>
          <w:sz w:val="22"/>
          <w:szCs w:val="22"/>
        </w:rPr>
        <w:t>. Contingencia Sistema de Transporte Promigas</w:t>
      </w:r>
      <w:r>
        <w:rPr>
          <w:rFonts w:ascii="Verdana" w:hAnsi="Verdana"/>
          <w:bCs/>
          <w:sz w:val="22"/>
          <w:szCs w:val="22"/>
        </w:rPr>
        <w:t xml:space="preserve"> </w:t>
      </w:r>
      <w:r w:rsidR="00B76793" w:rsidRPr="00CF7680">
        <w:rPr>
          <w:rFonts w:ascii="Verdana" w:hAnsi="Verdana"/>
          <w:bCs/>
          <w:sz w:val="22"/>
          <w:szCs w:val="22"/>
        </w:rPr>
        <w:t>S.A ESP.</w:t>
      </w:r>
    </w:p>
    <w:p w14:paraId="1575342D" w14:textId="5DCF7919" w:rsidR="00B76793" w:rsidRPr="00CF7680" w:rsidRDefault="00CF7680" w:rsidP="00CF7680">
      <w:pPr>
        <w:jc w:val="both"/>
        <w:rPr>
          <w:rFonts w:ascii="Verdana" w:hAnsi="Verdana"/>
          <w:bCs/>
          <w:sz w:val="22"/>
          <w:szCs w:val="22"/>
        </w:rPr>
      </w:pPr>
      <w:r>
        <w:rPr>
          <w:rFonts w:ascii="Verdana" w:hAnsi="Verdana"/>
          <w:bCs/>
          <w:sz w:val="22"/>
          <w:szCs w:val="22"/>
        </w:rPr>
        <w:t>5</w:t>
      </w:r>
      <w:r w:rsidR="00B76793" w:rsidRPr="00CF7680">
        <w:rPr>
          <w:rFonts w:ascii="Verdana" w:hAnsi="Verdana"/>
          <w:bCs/>
          <w:sz w:val="22"/>
          <w:szCs w:val="22"/>
        </w:rPr>
        <w:t>. Informe CNO eléctrico.</w:t>
      </w:r>
    </w:p>
    <w:p w14:paraId="4C5F596B" w14:textId="05526242" w:rsidR="00B76793" w:rsidRPr="00CF7680" w:rsidRDefault="00CF7680" w:rsidP="00CF7680">
      <w:pPr>
        <w:jc w:val="both"/>
        <w:rPr>
          <w:rFonts w:ascii="Verdana" w:hAnsi="Verdana"/>
          <w:bCs/>
          <w:sz w:val="22"/>
          <w:szCs w:val="22"/>
        </w:rPr>
      </w:pPr>
      <w:r>
        <w:rPr>
          <w:rFonts w:ascii="Verdana" w:hAnsi="Verdana"/>
          <w:bCs/>
          <w:sz w:val="22"/>
          <w:szCs w:val="22"/>
        </w:rPr>
        <w:t>6</w:t>
      </w:r>
      <w:r w:rsidR="00B76793" w:rsidRPr="00CF7680">
        <w:rPr>
          <w:rFonts w:ascii="Verdana" w:hAnsi="Verdana"/>
          <w:bCs/>
          <w:sz w:val="22"/>
          <w:szCs w:val="22"/>
        </w:rPr>
        <w:t>. Informe CNO de gas natural.</w:t>
      </w:r>
    </w:p>
    <w:p w14:paraId="34842D24" w14:textId="6C80ACE5" w:rsidR="00CC0CD3" w:rsidRDefault="00CF7680" w:rsidP="00CF7680">
      <w:pPr>
        <w:jc w:val="both"/>
        <w:rPr>
          <w:rFonts w:ascii="Verdana" w:hAnsi="Verdana"/>
          <w:bCs/>
          <w:sz w:val="22"/>
          <w:szCs w:val="22"/>
        </w:rPr>
      </w:pPr>
      <w:r>
        <w:rPr>
          <w:rFonts w:ascii="Verdana" w:hAnsi="Verdana"/>
          <w:bCs/>
          <w:sz w:val="22"/>
          <w:szCs w:val="22"/>
        </w:rPr>
        <w:t>7</w:t>
      </w:r>
      <w:r w:rsidR="00B76793" w:rsidRPr="00CF7680">
        <w:rPr>
          <w:rFonts w:ascii="Verdana" w:hAnsi="Verdana"/>
          <w:bCs/>
          <w:sz w:val="22"/>
          <w:szCs w:val="22"/>
        </w:rPr>
        <w:t>. Varios.</w:t>
      </w:r>
    </w:p>
    <w:p w14:paraId="6020577B" w14:textId="53C902B1" w:rsidR="00CF7680" w:rsidRDefault="00CF7680" w:rsidP="00CF7680">
      <w:pPr>
        <w:jc w:val="both"/>
        <w:rPr>
          <w:rFonts w:ascii="Verdana" w:hAnsi="Verdana"/>
          <w:bCs/>
          <w:sz w:val="22"/>
          <w:szCs w:val="22"/>
        </w:rPr>
      </w:pPr>
    </w:p>
    <w:p w14:paraId="6179278D" w14:textId="1DA3CFE6" w:rsidR="00CF7680" w:rsidRPr="00CF7680" w:rsidRDefault="00CF7680" w:rsidP="00CF7680">
      <w:pPr>
        <w:jc w:val="both"/>
        <w:rPr>
          <w:rFonts w:ascii="Verdana" w:hAnsi="Verdana"/>
          <w:bCs/>
          <w:sz w:val="22"/>
          <w:szCs w:val="22"/>
        </w:rPr>
      </w:pPr>
      <w:r>
        <w:rPr>
          <w:rFonts w:ascii="Verdana" w:hAnsi="Verdana"/>
          <w:bCs/>
          <w:sz w:val="22"/>
          <w:szCs w:val="22"/>
        </w:rPr>
        <w:t>Al final el Viceministro informó que se iba a redactar un comunicado a la opinión púbica con los resultados de los análisis de la situación energética. Este comunicado se adjunto a los archivos de la reunión del día de hoy junto con las presentaciones que se llevaron a cabo.</w:t>
      </w:r>
    </w:p>
    <w:p w14:paraId="69FE17F1" w14:textId="77777777" w:rsidR="00B76793" w:rsidRPr="00B76793" w:rsidRDefault="00B76793" w:rsidP="00B76793">
      <w:pPr>
        <w:pStyle w:val="Prrafodelista"/>
        <w:rPr>
          <w:rFonts w:ascii="Verdana" w:hAnsi="Verdana"/>
          <w:bCs/>
          <w:sz w:val="22"/>
          <w:szCs w:val="22"/>
        </w:rPr>
      </w:pPr>
    </w:p>
    <w:p w14:paraId="73DFC10D" w14:textId="77777777" w:rsidR="00B76793" w:rsidRPr="00B76793" w:rsidRDefault="00B76793" w:rsidP="00B76793">
      <w:pPr>
        <w:jc w:val="both"/>
        <w:rPr>
          <w:rFonts w:ascii="Verdana" w:hAnsi="Verdana"/>
          <w:bCs/>
          <w:sz w:val="22"/>
          <w:szCs w:val="22"/>
        </w:rPr>
      </w:pPr>
    </w:p>
    <w:p w14:paraId="50C2A3AC" w14:textId="77777777" w:rsidR="00B76793" w:rsidRPr="00B76793" w:rsidRDefault="00B76793" w:rsidP="00B76793">
      <w:pPr>
        <w:pStyle w:val="Prrafodelista"/>
        <w:rPr>
          <w:rFonts w:ascii="Verdana" w:hAnsi="Verdana"/>
          <w:bCs/>
          <w:sz w:val="22"/>
          <w:szCs w:val="22"/>
        </w:rPr>
      </w:pPr>
    </w:p>
    <w:p w14:paraId="09DF2607" w14:textId="77777777" w:rsidR="00B76793" w:rsidRPr="00B76793" w:rsidRDefault="00B76793" w:rsidP="00B76793">
      <w:pPr>
        <w:jc w:val="both"/>
        <w:rPr>
          <w:rFonts w:ascii="Verdana" w:hAnsi="Verdana"/>
          <w:bCs/>
          <w:sz w:val="22"/>
          <w:szCs w:val="22"/>
        </w:rPr>
      </w:pPr>
    </w:p>
    <w:p w14:paraId="49885DD7" w14:textId="77777777" w:rsidR="00CC0CD3" w:rsidRPr="00CC0CD3" w:rsidRDefault="00CC0CD3" w:rsidP="00CC0CD3">
      <w:pPr>
        <w:pStyle w:val="Prrafodelista"/>
        <w:rPr>
          <w:rFonts w:ascii="Verdana" w:hAnsi="Verdana"/>
          <w:bCs/>
          <w:sz w:val="22"/>
          <w:szCs w:val="22"/>
        </w:rPr>
      </w:pPr>
    </w:p>
    <w:p w14:paraId="5D74164D" w14:textId="65BB2F8F" w:rsidR="00CC0CD3" w:rsidRDefault="00CC0CD3" w:rsidP="00CC0CD3">
      <w:pPr>
        <w:jc w:val="both"/>
        <w:rPr>
          <w:rFonts w:ascii="Verdana" w:hAnsi="Verdana"/>
          <w:bCs/>
          <w:sz w:val="22"/>
          <w:szCs w:val="22"/>
        </w:rPr>
      </w:pPr>
    </w:p>
    <w:p w14:paraId="591C62E1" w14:textId="310A3B17" w:rsidR="00CC0CD3" w:rsidRDefault="00CC0CD3" w:rsidP="00CC0CD3">
      <w:pPr>
        <w:jc w:val="both"/>
        <w:rPr>
          <w:rFonts w:ascii="Verdana" w:hAnsi="Verdana"/>
          <w:bCs/>
          <w:sz w:val="22"/>
          <w:szCs w:val="22"/>
        </w:rPr>
      </w:pPr>
    </w:p>
    <w:p w14:paraId="7089A3AA" w14:textId="6B58A771" w:rsidR="00CC0CD3" w:rsidRDefault="00CC0CD3" w:rsidP="00CC0CD3">
      <w:pPr>
        <w:jc w:val="both"/>
        <w:rPr>
          <w:rFonts w:ascii="Verdana" w:hAnsi="Verdana"/>
          <w:bCs/>
          <w:sz w:val="22"/>
          <w:szCs w:val="22"/>
        </w:rPr>
      </w:pPr>
    </w:p>
    <w:p w14:paraId="431C8F77" w14:textId="39B893FC" w:rsidR="00CC0CD3" w:rsidRDefault="00CC0CD3" w:rsidP="00CC0CD3">
      <w:pPr>
        <w:jc w:val="both"/>
        <w:rPr>
          <w:rFonts w:ascii="Verdana" w:hAnsi="Verdana"/>
          <w:bCs/>
          <w:sz w:val="22"/>
          <w:szCs w:val="22"/>
        </w:rPr>
      </w:pPr>
    </w:p>
    <w:p w14:paraId="7911F685" w14:textId="412B5390" w:rsidR="00CC0CD3" w:rsidRDefault="00CC0CD3" w:rsidP="00CC0CD3">
      <w:pPr>
        <w:jc w:val="both"/>
        <w:rPr>
          <w:rFonts w:ascii="Verdana" w:hAnsi="Verdana"/>
          <w:bCs/>
          <w:sz w:val="22"/>
          <w:szCs w:val="22"/>
        </w:rPr>
      </w:pPr>
    </w:p>
    <w:p w14:paraId="36318FE8" w14:textId="266A93E5" w:rsidR="00CC0CD3" w:rsidRDefault="00CC0CD3" w:rsidP="00CC0CD3">
      <w:pPr>
        <w:jc w:val="both"/>
        <w:rPr>
          <w:rFonts w:ascii="Verdana" w:hAnsi="Verdana"/>
          <w:bCs/>
          <w:sz w:val="22"/>
          <w:szCs w:val="22"/>
        </w:rPr>
      </w:pPr>
    </w:p>
    <w:p w14:paraId="61B87F26" w14:textId="7DF2AF2A" w:rsidR="00CC0CD3" w:rsidRDefault="00CC0CD3" w:rsidP="00CC0CD3">
      <w:pPr>
        <w:jc w:val="both"/>
        <w:rPr>
          <w:rFonts w:ascii="Verdana" w:hAnsi="Verdana"/>
          <w:bCs/>
          <w:sz w:val="22"/>
          <w:szCs w:val="22"/>
        </w:rPr>
      </w:pPr>
    </w:p>
    <w:p w14:paraId="6236E0B5" w14:textId="6E5762BB" w:rsidR="00CC0CD3" w:rsidRDefault="00CC0CD3" w:rsidP="00CC0CD3">
      <w:pPr>
        <w:jc w:val="both"/>
        <w:rPr>
          <w:rFonts w:ascii="Verdana" w:hAnsi="Verdana"/>
          <w:bCs/>
          <w:sz w:val="22"/>
          <w:szCs w:val="22"/>
        </w:rPr>
      </w:pPr>
    </w:p>
    <w:p w14:paraId="29739E1D" w14:textId="538593E1" w:rsidR="00CC0CD3" w:rsidRDefault="00CC0CD3" w:rsidP="00CC0CD3">
      <w:pPr>
        <w:jc w:val="both"/>
        <w:rPr>
          <w:rFonts w:ascii="Verdana" w:hAnsi="Verdana"/>
          <w:bCs/>
          <w:sz w:val="22"/>
          <w:szCs w:val="22"/>
        </w:rPr>
      </w:pPr>
    </w:p>
    <w:p w14:paraId="4686F44E" w14:textId="42573ECF" w:rsidR="00CC0CD3" w:rsidRDefault="00CC0CD3" w:rsidP="00CC0CD3">
      <w:pPr>
        <w:jc w:val="both"/>
        <w:rPr>
          <w:rFonts w:ascii="Verdana" w:hAnsi="Verdana"/>
          <w:bCs/>
          <w:sz w:val="22"/>
          <w:szCs w:val="22"/>
        </w:rPr>
      </w:pPr>
    </w:p>
    <w:p w14:paraId="28116950" w14:textId="3F01DAEF" w:rsidR="00CC0CD3" w:rsidRDefault="00CC0CD3" w:rsidP="00CC0CD3">
      <w:pPr>
        <w:jc w:val="both"/>
        <w:rPr>
          <w:rFonts w:ascii="Verdana" w:hAnsi="Verdana"/>
          <w:bCs/>
          <w:sz w:val="22"/>
          <w:szCs w:val="22"/>
        </w:rPr>
      </w:pPr>
    </w:p>
    <w:p w14:paraId="4538D77E" w14:textId="30AFE05B" w:rsidR="00CC0CD3" w:rsidRDefault="00CC0CD3" w:rsidP="00CC0CD3">
      <w:pPr>
        <w:jc w:val="both"/>
        <w:rPr>
          <w:rFonts w:ascii="Verdana" w:hAnsi="Verdana"/>
          <w:bCs/>
          <w:sz w:val="22"/>
          <w:szCs w:val="22"/>
        </w:rPr>
      </w:pPr>
    </w:p>
    <w:p w14:paraId="663EC5E5" w14:textId="113ABCEF" w:rsidR="00CC0CD3" w:rsidRDefault="00CC0CD3" w:rsidP="00CC0CD3">
      <w:pPr>
        <w:jc w:val="both"/>
        <w:rPr>
          <w:rFonts w:ascii="Verdana" w:hAnsi="Verdana"/>
          <w:bCs/>
          <w:sz w:val="22"/>
          <w:szCs w:val="22"/>
        </w:rPr>
      </w:pPr>
    </w:p>
    <w:p w14:paraId="156ECF07" w14:textId="57090DD8" w:rsidR="00CC0CD3" w:rsidRDefault="00CC0CD3" w:rsidP="00CC0CD3">
      <w:pPr>
        <w:jc w:val="both"/>
        <w:rPr>
          <w:rFonts w:ascii="Verdana" w:hAnsi="Verdana"/>
          <w:bCs/>
          <w:sz w:val="22"/>
          <w:szCs w:val="22"/>
        </w:rPr>
      </w:pPr>
    </w:p>
    <w:p w14:paraId="1164EA31" w14:textId="677921A8" w:rsidR="00CC0CD3" w:rsidRDefault="00CC0CD3" w:rsidP="00CC0CD3">
      <w:pPr>
        <w:jc w:val="both"/>
        <w:rPr>
          <w:rFonts w:ascii="Verdana" w:hAnsi="Verdana"/>
          <w:bCs/>
          <w:sz w:val="22"/>
          <w:szCs w:val="22"/>
        </w:rPr>
      </w:pPr>
    </w:p>
    <w:p w14:paraId="2D0D0B4A" w14:textId="77777777" w:rsidR="00CC0CD3" w:rsidRPr="00CC0CD3" w:rsidRDefault="00CC0CD3" w:rsidP="00CC0CD3">
      <w:pPr>
        <w:jc w:val="both"/>
        <w:rPr>
          <w:rFonts w:ascii="Verdana" w:hAnsi="Verdana"/>
          <w:bCs/>
          <w:sz w:val="22"/>
          <w:szCs w:val="22"/>
        </w:rPr>
      </w:pPr>
    </w:p>
    <w:p w14:paraId="7112239D" w14:textId="77777777" w:rsidR="00D2720F" w:rsidRDefault="00D2720F" w:rsidP="00D2720F">
      <w:pPr>
        <w:rPr>
          <w:rFonts w:ascii="Verdana" w:hAnsi="Verdana"/>
          <w:bCs/>
          <w:sz w:val="22"/>
          <w:szCs w:val="22"/>
        </w:rPr>
      </w:pPr>
    </w:p>
    <w:p w14:paraId="5136C101" w14:textId="3790DA05" w:rsidR="00FE3017" w:rsidRDefault="00D2720F" w:rsidP="007A40B0">
      <w:pPr>
        <w:rPr>
          <w:rFonts w:ascii="Verdana" w:hAnsi="Verdana"/>
          <w:bCs/>
          <w:sz w:val="22"/>
          <w:szCs w:val="22"/>
        </w:rPr>
      </w:pPr>
      <w:r w:rsidRPr="007A40B0">
        <w:rPr>
          <w:rFonts w:ascii="Verdana" w:hAnsi="Verdana"/>
          <w:bCs/>
          <w:sz w:val="22"/>
          <w:szCs w:val="22"/>
        </w:rPr>
        <w:t xml:space="preserve">  </w:t>
      </w:r>
    </w:p>
    <w:p w14:paraId="4B08BF71" w14:textId="29A532C9" w:rsidR="00EF492C" w:rsidRDefault="00EF492C" w:rsidP="007A40B0">
      <w:pPr>
        <w:rPr>
          <w:rFonts w:ascii="Verdana" w:hAnsi="Verdana"/>
          <w:bCs/>
          <w:sz w:val="22"/>
          <w:szCs w:val="22"/>
        </w:rPr>
      </w:pPr>
    </w:p>
    <w:p w14:paraId="419A0F9A" w14:textId="4E5564D4" w:rsidR="00EF492C" w:rsidRDefault="00EF492C" w:rsidP="007A40B0">
      <w:pPr>
        <w:rPr>
          <w:rFonts w:ascii="Verdana" w:hAnsi="Verdana"/>
          <w:bCs/>
          <w:sz w:val="22"/>
          <w:szCs w:val="22"/>
        </w:rPr>
      </w:pPr>
    </w:p>
    <w:p w14:paraId="3D0A09B5" w14:textId="452345C9" w:rsidR="00EF492C" w:rsidRDefault="00EF492C" w:rsidP="007A40B0">
      <w:pPr>
        <w:rPr>
          <w:rFonts w:ascii="Verdana" w:hAnsi="Verdana"/>
          <w:bCs/>
          <w:sz w:val="22"/>
          <w:szCs w:val="22"/>
        </w:rPr>
      </w:pPr>
    </w:p>
    <w:p w14:paraId="75391279" w14:textId="29869FB9" w:rsidR="00EF492C" w:rsidRPr="00EF492C" w:rsidRDefault="00EF492C" w:rsidP="00EF492C">
      <w:pPr>
        <w:jc w:val="center"/>
        <w:rPr>
          <w:rFonts w:ascii="Verdana" w:hAnsi="Verdana"/>
          <w:b/>
          <w:bCs/>
          <w:sz w:val="22"/>
          <w:szCs w:val="22"/>
        </w:rPr>
      </w:pPr>
    </w:p>
    <w:p w14:paraId="79ED3D96" w14:textId="77777777" w:rsidR="00CF7680" w:rsidRDefault="00CF7680" w:rsidP="00EF492C">
      <w:pPr>
        <w:jc w:val="center"/>
        <w:rPr>
          <w:b/>
          <w:bCs/>
        </w:rPr>
      </w:pPr>
    </w:p>
    <w:p w14:paraId="2040CC4E" w14:textId="77777777" w:rsidR="00CF7680" w:rsidRDefault="00CF7680" w:rsidP="00EF492C">
      <w:pPr>
        <w:jc w:val="center"/>
        <w:rPr>
          <w:b/>
          <w:bCs/>
        </w:rPr>
      </w:pPr>
    </w:p>
    <w:p w14:paraId="73609040" w14:textId="77777777" w:rsidR="00CF7680" w:rsidRDefault="00CF7680" w:rsidP="00EF492C">
      <w:pPr>
        <w:jc w:val="center"/>
        <w:rPr>
          <w:b/>
          <w:bCs/>
        </w:rPr>
      </w:pPr>
    </w:p>
    <w:p w14:paraId="1EA755D6" w14:textId="77777777" w:rsidR="00CF7680" w:rsidRDefault="00CF7680" w:rsidP="00EF492C">
      <w:pPr>
        <w:jc w:val="center"/>
        <w:rPr>
          <w:b/>
          <w:bCs/>
        </w:rPr>
      </w:pPr>
    </w:p>
    <w:p w14:paraId="2976B8F4" w14:textId="77777777" w:rsidR="00CF7680" w:rsidRDefault="00CF7680" w:rsidP="00EF492C">
      <w:pPr>
        <w:jc w:val="center"/>
        <w:rPr>
          <w:b/>
          <w:bCs/>
        </w:rPr>
      </w:pPr>
    </w:p>
    <w:p w14:paraId="3BD52E66" w14:textId="77777777" w:rsidR="0064007B" w:rsidRDefault="0064007B" w:rsidP="00EF492C">
      <w:pPr>
        <w:jc w:val="center"/>
        <w:rPr>
          <w:b/>
          <w:bCs/>
        </w:rPr>
      </w:pPr>
      <w:bookmarkStart w:id="0" w:name="_GoBack"/>
      <w:bookmarkEnd w:id="0"/>
    </w:p>
    <w:p w14:paraId="4E88D4DB" w14:textId="77777777" w:rsidR="0064007B" w:rsidRDefault="0064007B" w:rsidP="00EF492C">
      <w:pPr>
        <w:jc w:val="center"/>
        <w:rPr>
          <w:b/>
          <w:bCs/>
        </w:rPr>
      </w:pPr>
    </w:p>
    <w:p w14:paraId="3861FBC5" w14:textId="7C61C9D4" w:rsidR="00EF492C" w:rsidRPr="00EF492C" w:rsidRDefault="00EF492C" w:rsidP="00EF492C">
      <w:pPr>
        <w:jc w:val="center"/>
        <w:rPr>
          <w:b/>
          <w:bCs/>
        </w:rPr>
      </w:pPr>
      <w:r w:rsidRPr="00EF492C">
        <w:rPr>
          <w:b/>
          <w:bCs/>
        </w:rPr>
        <w:t>ANEXO</w:t>
      </w:r>
    </w:p>
    <w:p w14:paraId="22373035" w14:textId="77777777" w:rsidR="00EF492C" w:rsidRDefault="00EF492C" w:rsidP="007A40B0">
      <w:pPr>
        <w:rPr>
          <w:rFonts w:ascii="Verdana" w:hAnsi="Verdana"/>
          <w:bCs/>
          <w:sz w:val="22"/>
          <w:szCs w:val="22"/>
        </w:rPr>
      </w:pPr>
    </w:p>
    <w:p w14:paraId="7103D63A" w14:textId="77777777" w:rsidR="00EF492C" w:rsidRDefault="00EF492C" w:rsidP="007A40B0">
      <w:pPr>
        <w:rPr>
          <w:rFonts w:ascii="Verdana" w:hAnsi="Verdana"/>
          <w:bCs/>
          <w:sz w:val="22"/>
          <w:szCs w:val="22"/>
        </w:rPr>
      </w:pPr>
    </w:p>
    <w:p w14:paraId="2CAA481C" w14:textId="6BE058EE" w:rsidR="00EF492C" w:rsidRDefault="00EF492C" w:rsidP="00EF492C">
      <w:pPr>
        <w:jc w:val="center"/>
        <w:rPr>
          <w:rFonts w:ascii="Verdana" w:hAnsi="Verdana"/>
          <w:bCs/>
          <w:sz w:val="22"/>
          <w:szCs w:val="22"/>
        </w:rPr>
      </w:pPr>
      <w:r>
        <w:rPr>
          <w:rFonts w:ascii="Verdana" w:hAnsi="Verdana"/>
          <w:bCs/>
          <w:sz w:val="22"/>
          <w:szCs w:val="22"/>
        </w:rPr>
        <w:t>I</w:t>
      </w:r>
      <w:r w:rsidRPr="00D3052A">
        <w:rPr>
          <w:rFonts w:ascii="Verdana" w:hAnsi="Verdana"/>
          <w:bCs/>
          <w:sz w:val="22"/>
          <w:szCs w:val="22"/>
        </w:rPr>
        <w:t>nformes de Planeamiento Operativo Eléctrico de Mediano</w:t>
      </w:r>
      <w:r>
        <w:rPr>
          <w:rFonts w:ascii="Verdana" w:hAnsi="Verdana"/>
          <w:bCs/>
          <w:sz w:val="22"/>
          <w:szCs w:val="22"/>
        </w:rPr>
        <w:t xml:space="preserve">, </w:t>
      </w:r>
      <w:r w:rsidRPr="00D3052A">
        <w:rPr>
          <w:rFonts w:ascii="Verdana" w:hAnsi="Verdana"/>
          <w:bCs/>
          <w:sz w:val="22"/>
          <w:szCs w:val="22"/>
        </w:rPr>
        <w:t>Largo Plazo</w:t>
      </w:r>
      <w:r>
        <w:rPr>
          <w:rFonts w:ascii="Verdana" w:hAnsi="Verdana"/>
          <w:bCs/>
          <w:sz w:val="22"/>
          <w:szCs w:val="22"/>
        </w:rPr>
        <w:t xml:space="preserve"> e</w:t>
      </w:r>
      <w:r w:rsidRPr="00D3052A">
        <w:rPr>
          <w:rFonts w:ascii="Verdana" w:hAnsi="Verdana"/>
          <w:bCs/>
          <w:sz w:val="22"/>
          <w:szCs w:val="22"/>
        </w:rPr>
        <w:t xml:space="preserve"> Informe Trimestral de Restricciones</w:t>
      </w:r>
    </w:p>
    <w:p w14:paraId="2A0C6B33" w14:textId="39795C18" w:rsidR="00EF492C" w:rsidRDefault="00EF492C" w:rsidP="007A40B0">
      <w:pPr>
        <w:rPr>
          <w:rFonts w:ascii="Verdana" w:hAnsi="Verdana"/>
          <w:bCs/>
          <w:sz w:val="22"/>
          <w:szCs w:val="22"/>
        </w:rPr>
      </w:pPr>
    </w:p>
    <w:p w14:paraId="7FCED304" w14:textId="77777777" w:rsidR="00EF492C" w:rsidRDefault="00EF492C" w:rsidP="007A40B0">
      <w:pPr>
        <w:rPr>
          <w:rFonts w:ascii="Verdana" w:hAnsi="Verdana"/>
          <w:bCs/>
          <w:sz w:val="22"/>
          <w:szCs w:val="22"/>
        </w:rPr>
      </w:pPr>
    </w:p>
    <w:p w14:paraId="572FB5B3" w14:textId="5C5A6E9D" w:rsidR="00EF492C" w:rsidRDefault="00EF492C" w:rsidP="007A40B0">
      <w:pPr>
        <w:rPr>
          <w:rFonts w:ascii="Verdana" w:hAnsi="Verdana"/>
          <w:bCs/>
          <w:sz w:val="22"/>
          <w:szCs w:val="22"/>
        </w:rPr>
      </w:pPr>
    </w:p>
    <w:p w14:paraId="14526E08" w14:textId="3953D916" w:rsidR="00EF492C" w:rsidRDefault="00EF492C" w:rsidP="007A40B0">
      <w:pPr>
        <w:rPr>
          <w:rFonts w:ascii="Verdana" w:hAnsi="Verdana"/>
          <w:bCs/>
          <w:sz w:val="22"/>
          <w:szCs w:val="22"/>
        </w:rPr>
      </w:pPr>
    </w:p>
    <w:p w14:paraId="7511A478" w14:textId="77777777" w:rsidR="00EF492C" w:rsidRDefault="00EF492C" w:rsidP="00EF492C">
      <w:pPr>
        <w:pStyle w:val="Prrafodelista"/>
        <w:numPr>
          <w:ilvl w:val="0"/>
          <w:numId w:val="42"/>
        </w:numPr>
        <w:jc w:val="both"/>
        <w:rPr>
          <w:rFonts w:ascii="Verdana" w:hAnsi="Verdana"/>
          <w:bCs/>
          <w:sz w:val="22"/>
          <w:szCs w:val="22"/>
        </w:rPr>
      </w:pPr>
      <w:r w:rsidRPr="00B63B7B">
        <w:rPr>
          <w:rFonts w:ascii="Verdana" w:hAnsi="Verdana"/>
          <w:bCs/>
          <w:sz w:val="22"/>
          <w:szCs w:val="22"/>
        </w:rPr>
        <w:t xml:space="preserve">Si bien se identifica que el número </w:t>
      </w:r>
      <w:r>
        <w:rPr>
          <w:rFonts w:ascii="Verdana" w:hAnsi="Verdana"/>
          <w:bCs/>
          <w:sz w:val="22"/>
          <w:szCs w:val="22"/>
        </w:rPr>
        <w:t xml:space="preserve">total </w:t>
      </w:r>
      <w:r w:rsidRPr="00B63B7B">
        <w:rPr>
          <w:rFonts w:ascii="Verdana" w:hAnsi="Verdana"/>
          <w:bCs/>
          <w:sz w:val="22"/>
          <w:szCs w:val="22"/>
        </w:rPr>
        <w:t xml:space="preserve">de restricciones en el </w:t>
      </w:r>
      <w:r>
        <w:rPr>
          <w:rFonts w:ascii="Verdana" w:hAnsi="Verdana"/>
          <w:bCs/>
          <w:sz w:val="22"/>
          <w:szCs w:val="22"/>
        </w:rPr>
        <w:t>SIN</w:t>
      </w:r>
      <w:r w:rsidRPr="00B63B7B">
        <w:rPr>
          <w:rFonts w:ascii="Verdana" w:hAnsi="Verdana"/>
          <w:bCs/>
          <w:sz w:val="22"/>
          <w:szCs w:val="22"/>
        </w:rPr>
        <w:t xml:space="preserve"> se redujo respecto al año 2019, en algunas subáreas se han incrementado en más del 100 %</w:t>
      </w:r>
      <w:r>
        <w:rPr>
          <w:rFonts w:ascii="Verdana" w:hAnsi="Verdana"/>
          <w:bCs/>
          <w:sz w:val="22"/>
          <w:szCs w:val="22"/>
        </w:rPr>
        <w:t>, como es el caso del V</w:t>
      </w:r>
      <w:r w:rsidRPr="00B63B7B">
        <w:rPr>
          <w:rFonts w:ascii="Verdana" w:hAnsi="Verdana"/>
          <w:bCs/>
          <w:sz w:val="22"/>
          <w:szCs w:val="22"/>
        </w:rPr>
        <w:t>alle</w:t>
      </w:r>
      <w:r>
        <w:rPr>
          <w:rStyle w:val="Refdenotaalpie"/>
          <w:rFonts w:ascii="Verdana" w:hAnsi="Verdana"/>
          <w:bCs/>
          <w:sz w:val="22"/>
          <w:szCs w:val="22"/>
        </w:rPr>
        <w:footnoteReference w:id="1"/>
      </w:r>
      <w:r w:rsidRPr="00B63B7B">
        <w:rPr>
          <w:rFonts w:ascii="Verdana" w:hAnsi="Verdana"/>
          <w:bCs/>
          <w:sz w:val="22"/>
          <w:szCs w:val="22"/>
        </w:rPr>
        <w:t>, Cauca y Nariño</w:t>
      </w:r>
      <w:r>
        <w:rPr>
          <w:rFonts w:ascii="Verdana" w:hAnsi="Verdana"/>
          <w:bCs/>
          <w:sz w:val="22"/>
          <w:szCs w:val="22"/>
        </w:rPr>
        <w:t>. Vale la pena mencionar que para algunas restricciones</w:t>
      </w:r>
      <w:r w:rsidRPr="00B63B7B">
        <w:rPr>
          <w:rFonts w:ascii="Verdana" w:hAnsi="Verdana"/>
          <w:bCs/>
          <w:sz w:val="22"/>
          <w:szCs w:val="22"/>
        </w:rPr>
        <w:t xml:space="preserve"> no se han definido obras de expansión por parte de los Operadores de Red y la UPME.</w:t>
      </w:r>
    </w:p>
    <w:p w14:paraId="40DF73D9" w14:textId="77777777" w:rsidR="00EF492C" w:rsidRDefault="00EF492C" w:rsidP="00EF492C">
      <w:pPr>
        <w:pStyle w:val="Prrafodelista"/>
        <w:ind w:left="720"/>
        <w:jc w:val="both"/>
        <w:rPr>
          <w:rFonts w:ascii="Verdana" w:hAnsi="Verdana"/>
          <w:bCs/>
          <w:sz w:val="22"/>
          <w:szCs w:val="22"/>
        </w:rPr>
      </w:pPr>
    </w:p>
    <w:p w14:paraId="576C272B" w14:textId="77777777" w:rsidR="00EF492C" w:rsidRDefault="00EF492C" w:rsidP="00EF492C">
      <w:pPr>
        <w:pStyle w:val="Prrafodelista"/>
        <w:numPr>
          <w:ilvl w:val="0"/>
          <w:numId w:val="42"/>
        </w:numPr>
        <w:jc w:val="both"/>
        <w:rPr>
          <w:rFonts w:ascii="Verdana" w:hAnsi="Verdana"/>
          <w:bCs/>
          <w:sz w:val="22"/>
          <w:szCs w:val="22"/>
        </w:rPr>
      </w:pPr>
      <w:r>
        <w:rPr>
          <w:rFonts w:ascii="Verdana" w:hAnsi="Verdana"/>
          <w:bCs/>
          <w:sz w:val="22"/>
          <w:szCs w:val="22"/>
        </w:rPr>
        <w:t>Debido a la condición de agotamiento de la red del STR en algunas subáreas del área Caribe, se definieron y actualizaron varios Esquemas Suplementarios de Protección del Sistema-ESPS. Se sugirió al CND contabilizar la cantidad de Demanda No Atendida-DNA que se materializa cuando se presentan las condiciones de activación de dichos esquemas, dado que, para algunos casos, ello podría ocurrir bajo condiciones normales de operación (sin contingencia).</w:t>
      </w:r>
    </w:p>
    <w:p w14:paraId="6B278691" w14:textId="77777777" w:rsidR="00EF492C" w:rsidRPr="007A40B0" w:rsidRDefault="00EF492C" w:rsidP="00EF492C">
      <w:pPr>
        <w:pStyle w:val="Prrafodelista"/>
        <w:rPr>
          <w:rFonts w:ascii="Verdana" w:hAnsi="Verdana"/>
          <w:bCs/>
          <w:sz w:val="22"/>
          <w:szCs w:val="22"/>
        </w:rPr>
      </w:pPr>
    </w:p>
    <w:p w14:paraId="666262BB" w14:textId="68F6F49F" w:rsidR="00EF492C" w:rsidRDefault="00EF492C" w:rsidP="00EF492C">
      <w:pPr>
        <w:pStyle w:val="Prrafodelista"/>
        <w:numPr>
          <w:ilvl w:val="0"/>
          <w:numId w:val="42"/>
        </w:numPr>
        <w:jc w:val="both"/>
        <w:rPr>
          <w:rFonts w:ascii="Verdana" w:hAnsi="Verdana"/>
          <w:bCs/>
          <w:sz w:val="22"/>
          <w:szCs w:val="22"/>
        </w:rPr>
      </w:pPr>
      <w:r>
        <w:rPr>
          <w:rFonts w:ascii="Verdana" w:hAnsi="Verdana"/>
          <w:bCs/>
          <w:sz w:val="22"/>
          <w:szCs w:val="22"/>
        </w:rPr>
        <w:t xml:space="preserve">En el mediano plazo se identifica que el área Caribe, particularmente la subárea Guajira-Cesar-Magdalena (GCM), pasará de una condición deficitaria de potencia reactiva para el control de tensión, a convertirse en una zona del SIN “proveedora” de dicha potencia, esto por la entrada en operación de los refuerzos a 500 kV del área Caribe, la nueva capacidad de inyección de potencia de unidades convencionales (Termoguajira) y la conexión de nuevas plantas eólicas y solares fotovoltaicas. No obstante, se identifican nuevas restricciones para el control de sobretensiones, motivo por el cual sería necesario programar generación de seguridad para absorber potencia reactiva, o instalar nuevos elementos de compensación inductiva, ya sean estáticos o dinámicos. En este sentido, se sugiere el CND estudiar junto con la UPME cuál sería la mejor alternativa de solución a dicha problemática, considerando que la opción que se defina también deberá permitir un control de voltaje coordinado, incrementar las corrientes de corto circuito (SCR) y garantizar la estabilidad de tensión.    </w:t>
      </w:r>
    </w:p>
    <w:p w14:paraId="67729C16" w14:textId="77777777" w:rsidR="00EF492C" w:rsidRPr="007A40B0" w:rsidRDefault="00EF492C" w:rsidP="00EF492C">
      <w:pPr>
        <w:pStyle w:val="Prrafodelista"/>
        <w:rPr>
          <w:rFonts w:ascii="Verdana" w:hAnsi="Verdana"/>
          <w:bCs/>
          <w:sz w:val="22"/>
          <w:szCs w:val="22"/>
        </w:rPr>
      </w:pPr>
    </w:p>
    <w:p w14:paraId="32DAF75F" w14:textId="77777777" w:rsidR="00EF492C" w:rsidRDefault="00EF492C" w:rsidP="00EF492C">
      <w:pPr>
        <w:pStyle w:val="Prrafodelista"/>
        <w:numPr>
          <w:ilvl w:val="0"/>
          <w:numId w:val="42"/>
        </w:numPr>
        <w:jc w:val="both"/>
        <w:rPr>
          <w:rFonts w:ascii="Verdana" w:hAnsi="Verdana"/>
          <w:bCs/>
          <w:sz w:val="22"/>
          <w:szCs w:val="22"/>
        </w:rPr>
      </w:pPr>
      <w:r>
        <w:rPr>
          <w:rFonts w:ascii="Verdana" w:hAnsi="Verdana"/>
          <w:bCs/>
          <w:sz w:val="22"/>
          <w:szCs w:val="22"/>
        </w:rPr>
        <w:t>Teniendo en cuenta la situación del área Oriental y los atrasos en la fecha de puesta en servicio de los refuerzos a 230 y 500 kV, se sugirió al CND reevaluar en el mediano plazo su condición sin estas obras de expansión. Vale la pena mencionar que MINENERGÍA solicitó al Consejo la elaboración de una comunicación donde se la manifieste a la magistrada N</w:t>
      </w:r>
      <w:r w:rsidRPr="00D92F07">
        <w:rPr>
          <w:rFonts w:ascii="Verdana" w:hAnsi="Verdana"/>
          <w:bCs/>
          <w:sz w:val="22"/>
          <w:szCs w:val="22"/>
        </w:rPr>
        <w:t xml:space="preserve">elly </w:t>
      </w:r>
      <w:r>
        <w:rPr>
          <w:rFonts w:ascii="Verdana" w:hAnsi="Verdana"/>
          <w:bCs/>
          <w:sz w:val="22"/>
          <w:szCs w:val="22"/>
        </w:rPr>
        <w:t>Y</w:t>
      </w:r>
      <w:r w:rsidRPr="00D92F07">
        <w:rPr>
          <w:rFonts w:ascii="Verdana" w:hAnsi="Verdana"/>
          <w:bCs/>
          <w:sz w:val="22"/>
          <w:szCs w:val="22"/>
        </w:rPr>
        <w:t xml:space="preserve">olanda </w:t>
      </w:r>
      <w:r>
        <w:rPr>
          <w:rFonts w:ascii="Verdana" w:hAnsi="Verdana"/>
          <w:bCs/>
          <w:sz w:val="22"/>
          <w:szCs w:val="22"/>
        </w:rPr>
        <w:t>V</w:t>
      </w:r>
      <w:r w:rsidRPr="00D92F07">
        <w:rPr>
          <w:rFonts w:ascii="Verdana" w:hAnsi="Verdana"/>
          <w:bCs/>
          <w:sz w:val="22"/>
          <w:szCs w:val="22"/>
        </w:rPr>
        <w:t xml:space="preserve">illamizar de </w:t>
      </w:r>
      <w:r>
        <w:rPr>
          <w:rFonts w:ascii="Verdana" w:hAnsi="Verdana"/>
          <w:bCs/>
          <w:sz w:val="22"/>
          <w:szCs w:val="22"/>
        </w:rPr>
        <w:t>P</w:t>
      </w:r>
      <w:r w:rsidRPr="00D92F07">
        <w:rPr>
          <w:rFonts w:ascii="Verdana" w:hAnsi="Verdana"/>
          <w:bCs/>
          <w:sz w:val="22"/>
          <w:szCs w:val="22"/>
        </w:rPr>
        <w:t xml:space="preserve">eñaranda </w:t>
      </w:r>
      <w:r>
        <w:rPr>
          <w:rFonts w:ascii="Verdana" w:hAnsi="Verdana"/>
          <w:bCs/>
          <w:sz w:val="22"/>
          <w:szCs w:val="22"/>
        </w:rPr>
        <w:t>la importancia de estos proyectos (corredores Chivor-Norte-Bacatá 230 kV, Sogamoso-Norte-Nueva Esperanza 500 kV y Virginia-Nueva Esperanza 500 kV).</w:t>
      </w:r>
    </w:p>
    <w:p w14:paraId="1550C943" w14:textId="77777777" w:rsidR="00EF492C" w:rsidRPr="007A40B0" w:rsidRDefault="00EF492C" w:rsidP="00EF492C">
      <w:pPr>
        <w:pStyle w:val="Prrafodelista"/>
        <w:rPr>
          <w:rFonts w:ascii="Verdana" w:hAnsi="Verdana"/>
          <w:bCs/>
          <w:sz w:val="22"/>
          <w:szCs w:val="22"/>
        </w:rPr>
      </w:pPr>
    </w:p>
    <w:p w14:paraId="5745C955" w14:textId="77777777" w:rsidR="00EF492C" w:rsidRDefault="00EF492C" w:rsidP="00EF492C">
      <w:pPr>
        <w:pStyle w:val="Prrafodelista"/>
        <w:ind w:left="720"/>
        <w:jc w:val="both"/>
        <w:rPr>
          <w:rFonts w:ascii="Verdana" w:hAnsi="Verdana"/>
          <w:bCs/>
          <w:sz w:val="22"/>
          <w:szCs w:val="22"/>
        </w:rPr>
      </w:pPr>
      <w:r>
        <w:rPr>
          <w:rFonts w:ascii="Verdana" w:hAnsi="Verdana"/>
          <w:bCs/>
          <w:sz w:val="22"/>
          <w:szCs w:val="22"/>
        </w:rPr>
        <w:t xml:space="preserve">Por otro lado, los análisis de largo plazo identifican nuevas restricciones a nivel del STR, aún con estos proyectos, lo anterior principalmente por contingencias a nivel de transformación </w:t>
      </w:r>
      <w:r>
        <w:rPr>
          <w:rFonts w:ascii="Verdana" w:hAnsi="Verdana"/>
          <w:bCs/>
          <w:sz w:val="22"/>
          <w:szCs w:val="22"/>
        </w:rPr>
        <w:lastRenderedPageBreak/>
        <w:t>500/110 kV. Este tipo de eventos exige otros puntos de transformación STN/STR por la inyección de potencia directamente al STR desde la red a 500 kV. Teniendo en cuenta lo anterior, se sugirió por parte de GEB analizar la instalación de varios transformadores desfasadores que redistribuyan los flujos de potencia y maximicen la tasa de utilización de los transformadores 500/230 kV del área.</w:t>
      </w:r>
    </w:p>
    <w:p w14:paraId="2B49B259" w14:textId="77777777" w:rsidR="00EF492C" w:rsidRDefault="00EF492C" w:rsidP="00EF492C">
      <w:pPr>
        <w:pStyle w:val="Prrafodelista"/>
        <w:ind w:left="720"/>
        <w:jc w:val="both"/>
        <w:rPr>
          <w:rFonts w:ascii="Verdana" w:hAnsi="Verdana"/>
          <w:bCs/>
          <w:sz w:val="22"/>
          <w:szCs w:val="22"/>
        </w:rPr>
      </w:pPr>
    </w:p>
    <w:p w14:paraId="454BCC76" w14:textId="77777777" w:rsidR="00EF492C" w:rsidRDefault="00EF492C" w:rsidP="00EF492C">
      <w:pPr>
        <w:pStyle w:val="Prrafodelista"/>
        <w:ind w:left="720"/>
        <w:jc w:val="both"/>
        <w:rPr>
          <w:rFonts w:ascii="Verdana" w:hAnsi="Verdana"/>
          <w:bCs/>
          <w:sz w:val="22"/>
          <w:szCs w:val="22"/>
        </w:rPr>
      </w:pPr>
      <w:r>
        <w:rPr>
          <w:rFonts w:ascii="Verdana" w:hAnsi="Verdana"/>
          <w:bCs/>
          <w:sz w:val="22"/>
          <w:szCs w:val="22"/>
        </w:rPr>
        <w:t xml:space="preserve">Adicionalmente, se recomendó al CND estudiar cual sería la mejor alternativa para garantizar el control de tensión y soporte de potencia reactiva en el largo plazo, entre las siguientes alternativas: </w:t>
      </w:r>
      <w:r w:rsidRPr="007A40B0">
        <w:rPr>
          <w:rFonts w:ascii="Verdana" w:hAnsi="Verdana"/>
          <w:b/>
          <w:sz w:val="22"/>
          <w:szCs w:val="22"/>
        </w:rPr>
        <w:t>i)</w:t>
      </w:r>
      <w:r>
        <w:rPr>
          <w:rFonts w:ascii="Verdana" w:hAnsi="Verdana"/>
          <w:bCs/>
          <w:sz w:val="22"/>
          <w:szCs w:val="22"/>
        </w:rPr>
        <w:t xml:space="preserve"> nuevos enlaces a 500 kV para que la red definida no opera en niveles superiores al SIL (consumo de potencia reactiva), o i</w:t>
      </w:r>
      <w:r w:rsidRPr="007A40B0">
        <w:rPr>
          <w:rFonts w:ascii="Verdana" w:hAnsi="Verdana"/>
          <w:b/>
          <w:sz w:val="22"/>
          <w:szCs w:val="22"/>
        </w:rPr>
        <w:t>i)</w:t>
      </w:r>
      <w:r>
        <w:rPr>
          <w:rFonts w:ascii="Verdana" w:hAnsi="Verdana"/>
          <w:bCs/>
          <w:sz w:val="22"/>
          <w:szCs w:val="22"/>
        </w:rPr>
        <w:t xml:space="preserve"> incentivar la conexión de nuevas unidades de generación que tengan la capacidad de inyectar o absorber potencia reactiva.      </w:t>
      </w:r>
    </w:p>
    <w:p w14:paraId="07EF9354" w14:textId="77777777" w:rsidR="00EF492C" w:rsidRDefault="00EF492C" w:rsidP="00EF492C">
      <w:pPr>
        <w:pStyle w:val="Prrafodelista"/>
        <w:ind w:left="720"/>
        <w:jc w:val="both"/>
        <w:rPr>
          <w:rFonts w:ascii="Verdana" w:hAnsi="Verdana"/>
          <w:bCs/>
          <w:sz w:val="22"/>
          <w:szCs w:val="22"/>
        </w:rPr>
      </w:pPr>
    </w:p>
    <w:p w14:paraId="0CF3A36F" w14:textId="77777777" w:rsidR="00EF492C" w:rsidRDefault="00EF492C" w:rsidP="00EF492C">
      <w:pPr>
        <w:pStyle w:val="Prrafodelista"/>
        <w:numPr>
          <w:ilvl w:val="0"/>
          <w:numId w:val="42"/>
        </w:numPr>
        <w:jc w:val="both"/>
        <w:rPr>
          <w:rFonts w:ascii="Verdana" w:hAnsi="Verdana"/>
          <w:bCs/>
          <w:sz w:val="22"/>
          <w:szCs w:val="22"/>
        </w:rPr>
      </w:pPr>
      <w:r>
        <w:rPr>
          <w:rFonts w:ascii="Verdana" w:hAnsi="Verdana"/>
          <w:bCs/>
          <w:sz w:val="22"/>
          <w:szCs w:val="22"/>
        </w:rPr>
        <w:t>En la subárea Meta los análisis del CND establecieron bajos niveles de corriente de cortocircuito (SCR), lo cual podría representar problemas de inestabilidad de tensión ante la conexión de la nueva generación solar fotovoltaica, que está basada en inversores (192 MW). Asimismo, los estudios de XM evidenciaron atrapamientos de generación ante contingencia sencilla en la red del STR del orden de 82</w:t>
      </w:r>
      <w:r>
        <w:rPr>
          <w:rStyle w:val="Refdenotaalpie"/>
          <w:rFonts w:ascii="Verdana" w:hAnsi="Verdana"/>
          <w:bCs/>
          <w:sz w:val="22"/>
          <w:szCs w:val="22"/>
        </w:rPr>
        <w:footnoteReference w:id="2"/>
      </w:r>
      <w:r>
        <w:rPr>
          <w:rFonts w:ascii="Verdana" w:hAnsi="Verdana"/>
          <w:bCs/>
          <w:sz w:val="22"/>
          <w:szCs w:val="22"/>
        </w:rPr>
        <w:t xml:space="preserve"> MW. En este sentido, se recomendó al CND estudiar la posibilidad de un nuevo punto de conexión al STN, 500 o 230 kV, que no sólo evite limitaciones a la producción de la generación renovable no convencional, sino que garantice la atención futura de la demanda (regulada e industrial).  </w:t>
      </w:r>
    </w:p>
    <w:p w14:paraId="79D1895A" w14:textId="77777777" w:rsidR="00EF492C" w:rsidRPr="00660087" w:rsidRDefault="00EF492C" w:rsidP="00EF492C"/>
    <w:p w14:paraId="60BBF2F6" w14:textId="77777777" w:rsidR="00EF492C" w:rsidRPr="00660087" w:rsidRDefault="00EF492C" w:rsidP="007A40B0"/>
    <w:sectPr w:rsidR="00EF492C" w:rsidRPr="00660087">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A982" w14:textId="77777777" w:rsidR="00E9387C" w:rsidRDefault="00E9387C">
      <w:r>
        <w:separator/>
      </w:r>
    </w:p>
  </w:endnote>
  <w:endnote w:type="continuationSeparator" w:id="0">
    <w:p w14:paraId="230F66E3" w14:textId="77777777" w:rsidR="00E9387C" w:rsidRDefault="00E9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705" w14:textId="4146A238" w:rsidR="00C8625B" w:rsidRPr="005F56D1" w:rsidRDefault="00C8625B">
    <w:pPr>
      <w:pBdr>
        <w:top w:val="nil"/>
        <w:left w:val="nil"/>
        <w:bottom w:val="nil"/>
        <w:right w:val="nil"/>
        <w:between w:val="nil"/>
      </w:pBdr>
      <w:tabs>
        <w:tab w:val="center" w:pos="4252"/>
        <w:tab w:val="right" w:pos="8504"/>
      </w:tabs>
      <w:rPr>
        <w:rFonts w:ascii="Verdana" w:eastAsia="Verdana" w:hAnsi="Verdana" w:cs="Verdana"/>
        <w:i/>
        <w:iCs/>
        <w:color w:val="000000"/>
        <w:sz w:val="16"/>
        <w:szCs w:val="16"/>
      </w:rPr>
    </w:pPr>
    <w:r w:rsidRPr="005F56D1">
      <w:rPr>
        <w:rFonts w:ascii="Verdana" w:eastAsia="Verdana" w:hAnsi="Verdana" w:cs="Verdana"/>
        <w:i/>
        <w:iCs/>
        <w:color w:val="000000"/>
        <w:sz w:val="16"/>
        <w:szCs w:val="16"/>
      </w:rPr>
      <w:t>I</w:t>
    </w:r>
    <w:r>
      <w:rPr>
        <w:rFonts w:ascii="Verdana" w:eastAsia="Verdana" w:hAnsi="Verdana" w:cs="Verdana"/>
        <w:i/>
        <w:iCs/>
        <w:color w:val="000000"/>
        <w:sz w:val="16"/>
        <w:szCs w:val="16"/>
      </w:rPr>
      <w:t xml:space="preserve">nforme </w:t>
    </w:r>
    <w:r w:rsidRPr="005F56D1">
      <w:rPr>
        <w:rFonts w:ascii="Verdana" w:eastAsia="Verdana" w:hAnsi="Verdana" w:cs="Verdana"/>
        <w:i/>
        <w:iCs/>
        <w:color w:val="000000"/>
        <w:sz w:val="16"/>
        <w:szCs w:val="16"/>
      </w:rPr>
      <w:t>CNO 58</w:t>
    </w:r>
    <w:r>
      <w:rPr>
        <w:rFonts w:ascii="Verdana" w:eastAsia="Verdana" w:hAnsi="Verdana" w:cs="Verdana"/>
        <w:i/>
        <w:iCs/>
        <w:color w:val="00000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6B73C" w14:textId="77777777" w:rsidR="00E9387C" w:rsidRDefault="00E9387C">
      <w:r>
        <w:separator/>
      </w:r>
    </w:p>
  </w:footnote>
  <w:footnote w:type="continuationSeparator" w:id="0">
    <w:p w14:paraId="0DAAA354" w14:textId="77777777" w:rsidR="00E9387C" w:rsidRDefault="00E9387C">
      <w:r>
        <w:continuationSeparator/>
      </w:r>
    </w:p>
  </w:footnote>
  <w:footnote w:id="1">
    <w:p w14:paraId="6D9B6BDC" w14:textId="77777777" w:rsidR="00EF492C" w:rsidRPr="007A40B0" w:rsidRDefault="00EF492C" w:rsidP="00EF492C">
      <w:pPr>
        <w:pStyle w:val="Textonotapie"/>
        <w:jc w:val="both"/>
        <w:rPr>
          <w:rFonts w:ascii="Verdana" w:hAnsi="Verdana"/>
          <w:lang w:val="es-CO"/>
        </w:rPr>
      </w:pPr>
      <w:r w:rsidRPr="007A40B0">
        <w:rPr>
          <w:rStyle w:val="Refdenotaalpie"/>
          <w:rFonts w:ascii="Verdana" w:hAnsi="Verdana"/>
          <w:sz w:val="16"/>
          <w:szCs w:val="16"/>
        </w:rPr>
        <w:footnoteRef/>
      </w:r>
      <w:r w:rsidRPr="007A40B0">
        <w:rPr>
          <w:rFonts w:ascii="Verdana" w:hAnsi="Verdana"/>
          <w:sz w:val="16"/>
          <w:szCs w:val="16"/>
        </w:rPr>
        <w:t xml:space="preserve"> </w:t>
      </w:r>
      <w:r w:rsidRPr="007A40B0">
        <w:rPr>
          <w:rFonts w:ascii="Verdana" w:hAnsi="Verdana"/>
          <w:sz w:val="16"/>
          <w:szCs w:val="16"/>
          <w:lang w:val="es-CO"/>
        </w:rPr>
        <w:t xml:space="preserve">Debe analizarse por parte del CND si con la reevaluación de los análisis de atrapamiento de generación en esta subárea, deben listarse las nuevas restricciones, </w:t>
      </w:r>
      <w:r w:rsidRPr="00470C3C">
        <w:rPr>
          <w:rFonts w:ascii="Verdana" w:hAnsi="Verdana"/>
          <w:sz w:val="16"/>
          <w:szCs w:val="16"/>
          <w:lang w:val="es-CO"/>
        </w:rPr>
        <w:t>o,</w:t>
      </w:r>
      <w:r w:rsidRPr="007A40B0">
        <w:rPr>
          <w:rFonts w:ascii="Verdana" w:hAnsi="Verdana"/>
          <w:sz w:val="16"/>
          <w:szCs w:val="16"/>
          <w:lang w:val="es-CO"/>
        </w:rPr>
        <w:t xml:space="preserve"> por lo contrario, no considerar</w:t>
      </w:r>
      <w:r>
        <w:rPr>
          <w:rFonts w:ascii="Verdana" w:hAnsi="Verdana"/>
          <w:sz w:val="16"/>
          <w:szCs w:val="16"/>
          <w:lang w:val="es-CO"/>
        </w:rPr>
        <w:t>la</w:t>
      </w:r>
      <w:r w:rsidRPr="007A40B0">
        <w:rPr>
          <w:rFonts w:ascii="Verdana" w:hAnsi="Verdana"/>
          <w:sz w:val="16"/>
          <w:szCs w:val="16"/>
          <w:lang w:val="es-CO"/>
        </w:rPr>
        <w:t>s a la luz de la consigna operativa identificada, que se emplearía s</w:t>
      </w:r>
      <w:r>
        <w:rPr>
          <w:rFonts w:ascii="Verdana" w:hAnsi="Verdana"/>
          <w:sz w:val="16"/>
          <w:szCs w:val="16"/>
          <w:lang w:val="es-CO"/>
        </w:rPr>
        <w:t>ó</w:t>
      </w:r>
      <w:r w:rsidRPr="007A40B0">
        <w:rPr>
          <w:rFonts w:ascii="Verdana" w:hAnsi="Verdana"/>
          <w:sz w:val="16"/>
          <w:szCs w:val="16"/>
          <w:lang w:val="es-CO"/>
        </w:rPr>
        <w:t xml:space="preserve">lo en escenarios de máxima generación de </w:t>
      </w:r>
      <w:r w:rsidRPr="00470C3C">
        <w:rPr>
          <w:rFonts w:ascii="Verdana" w:hAnsi="Verdana"/>
          <w:sz w:val="16"/>
          <w:szCs w:val="16"/>
          <w:lang w:val="es-CO"/>
        </w:rPr>
        <w:t>TERMOVALLE</w:t>
      </w:r>
      <w:r w:rsidRPr="007A40B0">
        <w:rPr>
          <w:rFonts w:ascii="Verdana" w:hAnsi="Verdana"/>
          <w:sz w:val="16"/>
          <w:szCs w:val="16"/>
          <w:lang w:val="es-CO"/>
        </w:rPr>
        <w:t xml:space="preserve"> y </w:t>
      </w:r>
      <w:r w:rsidRPr="00470C3C">
        <w:rPr>
          <w:rFonts w:ascii="Verdana" w:hAnsi="Verdana"/>
          <w:sz w:val="16"/>
          <w:szCs w:val="16"/>
          <w:lang w:val="es-CO"/>
        </w:rPr>
        <w:t>TERMOEMCALI</w:t>
      </w:r>
      <w:r w:rsidRPr="007A40B0">
        <w:rPr>
          <w:rFonts w:ascii="Verdana" w:hAnsi="Verdana"/>
          <w:sz w:val="16"/>
          <w:szCs w:val="16"/>
          <w:lang w:val="es-CO"/>
        </w:rPr>
        <w:t xml:space="preserve"> y bajos aportes hídricos al SIN.  </w:t>
      </w:r>
    </w:p>
  </w:footnote>
  <w:footnote w:id="2">
    <w:p w14:paraId="7E85BA59" w14:textId="77777777" w:rsidR="00EF492C" w:rsidRPr="007A40B0" w:rsidRDefault="00EF492C" w:rsidP="00EF492C">
      <w:pPr>
        <w:pStyle w:val="Textonotapie"/>
        <w:jc w:val="both"/>
        <w:rPr>
          <w:rFonts w:ascii="Verdana" w:hAnsi="Verdana"/>
          <w:lang w:val="es-CO"/>
        </w:rPr>
      </w:pPr>
      <w:r w:rsidRPr="007A40B0">
        <w:rPr>
          <w:rStyle w:val="Refdenotaalpie"/>
          <w:rFonts w:ascii="Verdana" w:hAnsi="Verdana"/>
          <w:sz w:val="16"/>
          <w:szCs w:val="16"/>
        </w:rPr>
        <w:footnoteRef/>
      </w:r>
      <w:r w:rsidRPr="007A40B0">
        <w:rPr>
          <w:rFonts w:ascii="Verdana" w:hAnsi="Verdana"/>
          <w:sz w:val="16"/>
          <w:szCs w:val="16"/>
        </w:rPr>
        <w:t xml:space="preserve"> </w:t>
      </w:r>
      <w:r w:rsidRPr="007A40B0">
        <w:rPr>
          <w:rFonts w:ascii="Verdana" w:hAnsi="Verdana"/>
          <w:sz w:val="16"/>
          <w:szCs w:val="16"/>
          <w:lang w:val="es-CO"/>
        </w:rPr>
        <w:t xml:space="preserve">El CND </w:t>
      </w:r>
      <w:r>
        <w:rPr>
          <w:rFonts w:ascii="Verdana" w:hAnsi="Verdana"/>
          <w:sz w:val="16"/>
          <w:szCs w:val="16"/>
          <w:lang w:val="es-CO"/>
        </w:rPr>
        <w:t>manifest</w:t>
      </w:r>
      <w:r w:rsidRPr="007A40B0">
        <w:rPr>
          <w:rFonts w:ascii="Verdana" w:hAnsi="Verdana"/>
          <w:sz w:val="16"/>
          <w:szCs w:val="16"/>
          <w:lang w:val="es-CO"/>
        </w:rPr>
        <w:t>ó al C</w:t>
      </w:r>
      <w:r>
        <w:rPr>
          <w:rFonts w:ascii="Verdana" w:hAnsi="Verdana"/>
          <w:sz w:val="16"/>
          <w:szCs w:val="16"/>
          <w:lang w:val="es-CO"/>
        </w:rPr>
        <w:t>onsejo</w:t>
      </w:r>
      <w:r w:rsidRPr="007A40B0">
        <w:rPr>
          <w:rFonts w:ascii="Verdana" w:hAnsi="Verdana"/>
          <w:sz w:val="16"/>
          <w:szCs w:val="16"/>
          <w:lang w:val="es-CO"/>
        </w:rPr>
        <w:t xml:space="preserve"> que</w:t>
      </w:r>
      <w:r>
        <w:rPr>
          <w:rFonts w:ascii="Verdana" w:hAnsi="Verdana"/>
          <w:sz w:val="16"/>
          <w:szCs w:val="16"/>
          <w:lang w:val="es-CO"/>
        </w:rPr>
        <w:t xml:space="preserve"> actualizará el Informe de Planeamiento Operativo de Largo Plazo, ya que algunas capacidades de transporte de corriente en el STR se incrementarán por parte de EMSA, las cuales evitarían el referenciado atrapamiento.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4407" w14:textId="77777777" w:rsidR="00C8625B" w:rsidRDefault="00C8625B">
    <w:pPr>
      <w:pBdr>
        <w:top w:val="nil"/>
        <w:left w:val="nil"/>
        <w:bottom w:val="nil"/>
        <w:right w:val="nil"/>
        <w:between w:val="nil"/>
      </w:pBdr>
      <w:tabs>
        <w:tab w:val="center" w:pos="4419"/>
        <w:tab w:val="left" w:pos="7180"/>
      </w:tabs>
      <w:rPr>
        <w:b/>
        <w:color w:val="000000"/>
        <w:sz w:val="40"/>
        <w:szCs w:val="40"/>
      </w:rPr>
    </w:pPr>
  </w:p>
  <w:p w14:paraId="35C99D28" w14:textId="77777777" w:rsidR="00C8625B" w:rsidRDefault="00C8625B">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B2D"/>
    <w:multiLevelType w:val="hybridMultilevel"/>
    <w:tmpl w:val="DC180C0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83339A"/>
    <w:multiLevelType w:val="hybridMultilevel"/>
    <w:tmpl w:val="391E9AA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2953CD"/>
    <w:multiLevelType w:val="hybridMultilevel"/>
    <w:tmpl w:val="3398B3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936180"/>
    <w:multiLevelType w:val="hybridMultilevel"/>
    <w:tmpl w:val="79089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C74B52"/>
    <w:multiLevelType w:val="hybridMultilevel"/>
    <w:tmpl w:val="992A5A1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07B6718"/>
    <w:multiLevelType w:val="hybridMultilevel"/>
    <w:tmpl w:val="B0A2C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C36F0"/>
    <w:multiLevelType w:val="hybridMultilevel"/>
    <w:tmpl w:val="81CE3D74"/>
    <w:lvl w:ilvl="0" w:tplc="B8A65B28">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71708C4"/>
    <w:multiLevelType w:val="hybridMultilevel"/>
    <w:tmpl w:val="AC360CEA"/>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4A6A03"/>
    <w:multiLevelType w:val="hybridMultilevel"/>
    <w:tmpl w:val="90745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8E7E3E"/>
    <w:multiLevelType w:val="hybridMultilevel"/>
    <w:tmpl w:val="D16218A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B1E0E9E"/>
    <w:multiLevelType w:val="hybridMultilevel"/>
    <w:tmpl w:val="51DCFEF8"/>
    <w:lvl w:ilvl="0" w:tplc="47920EF0">
      <w:start w:val="14"/>
      <w:numFmt w:val="bullet"/>
      <w:lvlText w:val="-"/>
      <w:lvlJc w:val="left"/>
      <w:pPr>
        <w:ind w:left="720" w:hanging="360"/>
      </w:pPr>
      <w:rPr>
        <w:rFonts w:ascii="Verdana" w:eastAsia="Verdana" w:hAnsi="Verdana" w:cs="Verdan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BB35078"/>
    <w:multiLevelType w:val="hybridMultilevel"/>
    <w:tmpl w:val="9E62B1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7E4F1F"/>
    <w:multiLevelType w:val="hybridMultilevel"/>
    <w:tmpl w:val="1CD09A6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E541471"/>
    <w:multiLevelType w:val="hybridMultilevel"/>
    <w:tmpl w:val="BD4696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80B47C9"/>
    <w:multiLevelType w:val="hybridMultilevel"/>
    <w:tmpl w:val="4D342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297D63"/>
    <w:multiLevelType w:val="hybridMultilevel"/>
    <w:tmpl w:val="B20AC4E8"/>
    <w:lvl w:ilvl="0" w:tplc="9BA8ECD6">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DA94038"/>
    <w:multiLevelType w:val="hybridMultilevel"/>
    <w:tmpl w:val="CCBCCE9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E853D13"/>
    <w:multiLevelType w:val="hybridMultilevel"/>
    <w:tmpl w:val="7ACC7C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120FF5"/>
    <w:multiLevelType w:val="hybridMultilevel"/>
    <w:tmpl w:val="C51C65C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4281233E"/>
    <w:multiLevelType w:val="hybridMultilevel"/>
    <w:tmpl w:val="71E4A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62F4353"/>
    <w:multiLevelType w:val="hybridMultilevel"/>
    <w:tmpl w:val="FD681EB0"/>
    <w:lvl w:ilvl="0" w:tplc="8EE69300">
      <w:start w:val="1"/>
      <w:numFmt w:val="bullet"/>
      <w:lvlText w:val=""/>
      <w:lvlJc w:val="left"/>
      <w:pPr>
        <w:tabs>
          <w:tab w:val="num" w:pos="720"/>
        </w:tabs>
        <w:ind w:left="720" w:hanging="360"/>
      </w:pPr>
      <w:rPr>
        <w:rFonts w:ascii="Wingdings" w:hAnsi="Wingdings" w:hint="default"/>
      </w:rPr>
    </w:lvl>
    <w:lvl w:ilvl="1" w:tplc="D892EA8C" w:tentative="1">
      <w:start w:val="1"/>
      <w:numFmt w:val="bullet"/>
      <w:lvlText w:val=""/>
      <w:lvlJc w:val="left"/>
      <w:pPr>
        <w:tabs>
          <w:tab w:val="num" w:pos="1440"/>
        </w:tabs>
        <w:ind w:left="1440" w:hanging="360"/>
      </w:pPr>
      <w:rPr>
        <w:rFonts w:ascii="Wingdings" w:hAnsi="Wingdings" w:hint="default"/>
      </w:rPr>
    </w:lvl>
    <w:lvl w:ilvl="2" w:tplc="A85AF0A2" w:tentative="1">
      <w:start w:val="1"/>
      <w:numFmt w:val="bullet"/>
      <w:lvlText w:val=""/>
      <w:lvlJc w:val="left"/>
      <w:pPr>
        <w:tabs>
          <w:tab w:val="num" w:pos="2160"/>
        </w:tabs>
        <w:ind w:left="2160" w:hanging="360"/>
      </w:pPr>
      <w:rPr>
        <w:rFonts w:ascii="Wingdings" w:hAnsi="Wingdings" w:hint="default"/>
      </w:rPr>
    </w:lvl>
    <w:lvl w:ilvl="3" w:tplc="276CB88A" w:tentative="1">
      <w:start w:val="1"/>
      <w:numFmt w:val="bullet"/>
      <w:lvlText w:val=""/>
      <w:lvlJc w:val="left"/>
      <w:pPr>
        <w:tabs>
          <w:tab w:val="num" w:pos="2880"/>
        </w:tabs>
        <w:ind w:left="2880" w:hanging="360"/>
      </w:pPr>
      <w:rPr>
        <w:rFonts w:ascii="Wingdings" w:hAnsi="Wingdings" w:hint="default"/>
      </w:rPr>
    </w:lvl>
    <w:lvl w:ilvl="4" w:tplc="130884D0" w:tentative="1">
      <w:start w:val="1"/>
      <w:numFmt w:val="bullet"/>
      <w:lvlText w:val=""/>
      <w:lvlJc w:val="left"/>
      <w:pPr>
        <w:tabs>
          <w:tab w:val="num" w:pos="3600"/>
        </w:tabs>
        <w:ind w:left="3600" w:hanging="360"/>
      </w:pPr>
      <w:rPr>
        <w:rFonts w:ascii="Wingdings" w:hAnsi="Wingdings" w:hint="default"/>
      </w:rPr>
    </w:lvl>
    <w:lvl w:ilvl="5" w:tplc="B4F0EEAA" w:tentative="1">
      <w:start w:val="1"/>
      <w:numFmt w:val="bullet"/>
      <w:lvlText w:val=""/>
      <w:lvlJc w:val="left"/>
      <w:pPr>
        <w:tabs>
          <w:tab w:val="num" w:pos="4320"/>
        </w:tabs>
        <w:ind w:left="4320" w:hanging="360"/>
      </w:pPr>
      <w:rPr>
        <w:rFonts w:ascii="Wingdings" w:hAnsi="Wingdings" w:hint="default"/>
      </w:rPr>
    </w:lvl>
    <w:lvl w:ilvl="6" w:tplc="8F4CBE2E" w:tentative="1">
      <w:start w:val="1"/>
      <w:numFmt w:val="bullet"/>
      <w:lvlText w:val=""/>
      <w:lvlJc w:val="left"/>
      <w:pPr>
        <w:tabs>
          <w:tab w:val="num" w:pos="5040"/>
        </w:tabs>
        <w:ind w:left="5040" w:hanging="360"/>
      </w:pPr>
      <w:rPr>
        <w:rFonts w:ascii="Wingdings" w:hAnsi="Wingdings" w:hint="default"/>
      </w:rPr>
    </w:lvl>
    <w:lvl w:ilvl="7" w:tplc="9B00C736" w:tentative="1">
      <w:start w:val="1"/>
      <w:numFmt w:val="bullet"/>
      <w:lvlText w:val=""/>
      <w:lvlJc w:val="left"/>
      <w:pPr>
        <w:tabs>
          <w:tab w:val="num" w:pos="5760"/>
        </w:tabs>
        <w:ind w:left="5760" w:hanging="360"/>
      </w:pPr>
      <w:rPr>
        <w:rFonts w:ascii="Wingdings" w:hAnsi="Wingdings" w:hint="default"/>
      </w:rPr>
    </w:lvl>
    <w:lvl w:ilvl="8" w:tplc="F38873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F1F17"/>
    <w:multiLevelType w:val="hybridMultilevel"/>
    <w:tmpl w:val="4482A41A"/>
    <w:lvl w:ilvl="0" w:tplc="6AD84D24">
      <w:start w:val="1"/>
      <w:numFmt w:val="decimal"/>
      <w:lvlText w:val="%1."/>
      <w:lvlJc w:val="left"/>
      <w:pPr>
        <w:ind w:left="360" w:hanging="360"/>
      </w:pPr>
      <w:rPr>
        <w:sz w:val="22"/>
        <w:szCs w:val="22"/>
      </w:rPr>
    </w:lvl>
    <w:lvl w:ilvl="1" w:tplc="23D64D92">
      <w:start w:val="1"/>
      <w:numFmt w:val="lowerLetter"/>
      <w:lvlText w:val="%2."/>
      <w:lvlJc w:val="left"/>
      <w:pPr>
        <w:ind w:left="1080" w:hanging="360"/>
      </w:pPr>
      <w:rPr>
        <w:rFonts w:ascii="Verdana" w:hAnsi="Verdana" w:hint="default"/>
        <w:sz w:val="22"/>
        <w:szCs w:val="22"/>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9B61035"/>
    <w:multiLevelType w:val="hybridMultilevel"/>
    <w:tmpl w:val="DBCE10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1542CA"/>
    <w:multiLevelType w:val="hybridMultilevel"/>
    <w:tmpl w:val="1316A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AA1033"/>
    <w:multiLevelType w:val="hybridMultilevel"/>
    <w:tmpl w:val="6898E7B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7C08AA"/>
    <w:multiLevelType w:val="hybridMultilevel"/>
    <w:tmpl w:val="4AE6CC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D81755"/>
    <w:multiLevelType w:val="hybridMultilevel"/>
    <w:tmpl w:val="B9429CE2"/>
    <w:lvl w:ilvl="0" w:tplc="0BF65CFA">
      <w:start w:val="1"/>
      <w:numFmt w:val="bullet"/>
      <w:lvlText w:val=""/>
      <w:lvlJc w:val="left"/>
      <w:pPr>
        <w:tabs>
          <w:tab w:val="num" w:pos="720"/>
        </w:tabs>
        <w:ind w:left="720" w:hanging="360"/>
      </w:pPr>
      <w:rPr>
        <w:rFonts w:ascii="Wingdings" w:hAnsi="Wingdings" w:hint="default"/>
      </w:rPr>
    </w:lvl>
    <w:lvl w:ilvl="1" w:tplc="58FE598C" w:tentative="1">
      <w:start w:val="1"/>
      <w:numFmt w:val="bullet"/>
      <w:lvlText w:val=""/>
      <w:lvlJc w:val="left"/>
      <w:pPr>
        <w:tabs>
          <w:tab w:val="num" w:pos="1440"/>
        </w:tabs>
        <w:ind w:left="1440" w:hanging="360"/>
      </w:pPr>
      <w:rPr>
        <w:rFonts w:ascii="Wingdings" w:hAnsi="Wingdings" w:hint="default"/>
      </w:rPr>
    </w:lvl>
    <w:lvl w:ilvl="2" w:tplc="BEA66EF0" w:tentative="1">
      <w:start w:val="1"/>
      <w:numFmt w:val="bullet"/>
      <w:lvlText w:val=""/>
      <w:lvlJc w:val="left"/>
      <w:pPr>
        <w:tabs>
          <w:tab w:val="num" w:pos="2160"/>
        </w:tabs>
        <w:ind w:left="2160" w:hanging="360"/>
      </w:pPr>
      <w:rPr>
        <w:rFonts w:ascii="Wingdings" w:hAnsi="Wingdings" w:hint="default"/>
      </w:rPr>
    </w:lvl>
    <w:lvl w:ilvl="3" w:tplc="87B84258" w:tentative="1">
      <w:start w:val="1"/>
      <w:numFmt w:val="bullet"/>
      <w:lvlText w:val=""/>
      <w:lvlJc w:val="left"/>
      <w:pPr>
        <w:tabs>
          <w:tab w:val="num" w:pos="2880"/>
        </w:tabs>
        <w:ind w:left="2880" w:hanging="360"/>
      </w:pPr>
      <w:rPr>
        <w:rFonts w:ascii="Wingdings" w:hAnsi="Wingdings" w:hint="default"/>
      </w:rPr>
    </w:lvl>
    <w:lvl w:ilvl="4" w:tplc="8CEA6192" w:tentative="1">
      <w:start w:val="1"/>
      <w:numFmt w:val="bullet"/>
      <w:lvlText w:val=""/>
      <w:lvlJc w:val="left"/>
      <w:pPr>
        <w:tabs>
          <w:tab w:val="num" w:pos="3600"/>
        </w:tabs>
        <w:ind w:left="3600" w:hanging="360"/>
      </w:pPr>
      <w:rPr>
        <w:rFonts w:ascii="Wingdings" w:hAnsi="Wingdings" w:hint="default"/>
      </w:rPr>
    </w:lvl>
    <w:lvl w:ilvl="5" w:tplc="96DA9B1A" w:tentative="1">
      <w:start w:val="1"/>
      <w:numFmt w:val="bullet"/>
      <w:lvlText w:val=""/>
      <w:lvlJc w:val="left"/>
      <w:pPr>
        <w:tabs>
          <w:tab w:val="num" w:pos="4320"/>
        </w:tabs>
        <w:ind w:left="4320" w:hanging="360"/>
      </w:pPr>
      <w:rPr>
        <w:rFonts w:ascii="Wingdings" w:hAnsi="Wingdings" w:hint="default"/>
      </w:rPr>
    </w:lvl>
    <w:lvl w:ilvl="6" w:tplc="99FE18DA" w:tentative="1">
      <w:start w:val="1"/>
      <w:numFmt w:val="bullet"/>
      <w:lvlText w:val=""/>
      <w:lvlJc w:val="left"/>
      <w:pPr>
        <w:tabs>
          <w:tab w:val="num" w:pos="5040"/>
        </w:tabs>
        <w:ind w:left="5040" w:hanging="360"/>
      </w:pPr>
      <w:rPr>
        <w:rFonts w:ascii="Wingdings" w:hAnsi="Wingdings" w:hint="default"/>
      </w:rPr>
    </w:lvl>
    <w:lvl w:ilvl="7" w:tplc="CA0823F2" w:tentative="1">
      <w:start w:val="1"/>
      <w:numFmt w:val="bullet"/>
      <w:lvlText w:val=""/>
      <w:lvlJc w:val="left"/>
      <w:pPr>
        <w:tabs>
          <w:tab w:val="num" w:pos="5760"/>
        </w:tabs>
        <w:ind w:left="5760" w:hanging="360"/>
      </w:pPr>
      <w:rPr>
        <w:rFonts w:ascii="Wingdings" w:hAnsi="Wingdings" w:hint="default"/>
      </w:rPr>
    </w:lvl>
    <w:lvl w:ilvl="8" w:tplc="7C1016A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91F94"/>
    <w:multiLevelType w:val="hybridMultilevel"/>
    <w:tmpl w:val="39304E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B331F3"/>
    <w:multiLevelType w:val="hybridMultilevel"/>
    <w:tmpl w:val="F7FAE896"/>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541DC8"/>
    <w:multiLevelType w:val="hybridMultilevel"/>
    <w:tmpl w:val="9BAEDF2E"/>
    <w:lvl w:ilvl="0" w:tplc="F92A4AF8">
      <w:start w:val="1"/>
      <w:numFmt w:val="decimal"/>
      <w:lvlText w:val="%1."/>
      <w:lvlJc w:val="left"/>
      <w:pPr>
        <w:ind w:left="360" w:hanging="360"/>
      </w:pPr>
      <w:rPr>
        <w:rFont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2412363"/>
    <w:multiLevelType w:val="hybridMultilevel"/>
    <w:tmpl w:val="779AEF24"/>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3" w15:restartNumberingAfterBreak="0">
    <w:nsid w:val="6374223C"/>
    <w:multiLevelType w:val="hybridMultilevel"/>
    <w:tmpl w:val="0B6207D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641261A3"/>
    <w:multiLevelType w:val="hybridMultilevel"/>
    <w:tmpl w:val="C570D2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F41F5E"/>
    <w:multiLevelType w:val="hybridMultilevel"/>
    <w:tmpl w:val="5ECE66F4"/>
    <w:lvl w:ilvl="0" w:tplc="37226612">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D5C3668"/>
    <w:multiLevelType w:val="hybridMultilevel"/>
    <w:tmpl w:val="D500092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71935471"/>
    <w:multiLevelType w:val="hybridMultilevel"/>
    <w:tmpl w:val="8A347032"/>
    <w:lvl w:ilvl="0" w:tplc="EA3A35D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B147E7"/>
    <w:multiLevelType w:val="hybridMultilevel"/>
    <w:tmpl w:val="7C4CD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ED04CF"/>
    <w:multiLevelType w:val="hybridMultilevel"/>
    <w:tmpl w:val="2D1CE7F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57E2339"/>
    <w:multiLevelType w:val="hybridMultilevel"/>
    <w:tmpl w:val="F538EF2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25"/>
  </w:num>
  <w:num w:numId="2">
    <w:abstractNumId w:val="26"/>
  </w:num>
  <w:num w:numId="3">
    <w:abstractNumId w:val="39"/>
  </w:num>
  <w:num w:numId="4">
    <w:abstractNumId w:val="14"/>
  </w:num>
  <w:num w:numId="5">
    <w:abstractNumId w:val="29"/>
  </w:num>
  <w:num w:numId="6">
    <w:abstractNumId w:val="38"/>
  </w:num>
  <w:num w:numId="7">
    <w:abstractNumId w:val="6"/>
  </w:num>
  <w:num w:numId="8">
    <w:abstractNumId w:val="23"/>
  </w:num>
  <w:num w:numId="9">
    <w:abstractNumId w:val="4"/>
  </w:num>
  <w:num w:numId="10">
    <w:abstractNumId w:val="8"/>
  </w:num>
  <w:num w:numId="11">
    <w:abstractNumId w:val="18"/>
  </w:num>
  <w:num w:numId="12">
    <w:abstractNumId w:val="41"/>
  </w:num>
  <w:num w:numId="13">
    <w:abstractNumId w:val="32"/>
  </w:num>
  <w:num w:numId="14">
    <w:abstractNumId w:val="20"/>
  </w:num>
  <w:num w:numId="15">
    <w:abstractNumId w:val="35"/>
  </w:num>
  <w:num w:numId="16">
    <w:abstractNumId w:val="36"/>
  </w:num>
  <w:num w:numId="17">
    <w:abstractNumId w:val="21"/>
  </w:num>
  <w:num w:numId="18">
    <w:abstractNumId w:val="37"/>
  </w:num>
  <w:num w:numId="19">
    <w:abstractNumId w:val="9"/>
  </w:num>
  <w:num w:numId="20">
    <w:abstractNumId w:val="2"/>
  </w:num>
  <w:num w:numId="21">
    <w:abstractNumId w:val="11"/>
  </w:num>
  <w:num w:numId="22">
    <w:abstractNumId w:val="17"/>
  </w:num>
  <w:num w:numId="23">
    <w:abstractNumId w:val="0"/>
  </w:num>
  <w:num w:numId="24">
    <w:abstractNumId w:val="3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0"/>
  </w:num>
  <w:num w:numId="28">
    <w:abstractNumId w:val="33"/>
  </w:num>
  <w:num w:numId="29">
    <w:abstractNumId w:val="16"/>
  </w:num>
  <w:num w:numId="30">
    <w:abstractNumId w:val="24"/>
  </w:num>
  <w:num w:numId="31">
    <w:abstractNumId w:val="13"/>
  </w:num>
  <w:num w:numId="32">
    <w:abstractNumId w:val="30"/>
  </w:num>
  <w:num w:numId="33">
    <w:abstractNumId w:val="12"/>
  </w:num>
  <w:num w:numId="34">
    <w:abstractNumId w:val="1"/>
  </w:num>
  <w:num w:numId="35">
    <w:abstractNumId w:val="15"/>
  </w:num>
  <w:num w:numId="36">
    <w:abstractNumId w:val="22"/>
  </w:num>
  <w:num w:numId="37">
    <w:abstractNumId w:val="34"/>
  </w:num>
  <w:num w:numId="38">
    <w:abstractNumId w:val="3"/>
  </w:num>
  <w:num w:numId="39">
    <w:abstractNumId w:val="5"/>
  </w:num>
  <w:num w:numId="40">
    <w:abstractNumId w:val="40"/>
  </w:num>
  <w:num w:numId="41">
    <w:abstractNumId w:val="28"/>
  </w:num>
  <w:num w:numId="42">
    <w:abstractNumId w:val="7"/>
  </w:num>
  <w:num w:numId="43">
    <w:abstractNumId w:val="27"/>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24171"/>
    <w:rsid w:val="00024740"/>
    <w:rsid w:val="000378FB"/>
    <w:rsid w:val="00040CA2"/>
    <w:rsid w:val="00051257"/>
    <w:rsid w:val="00052450"/>
    <w:rsid w:val="00072642"/>
    <w:rsid w:val="00076B3C"/>
    <w:rsid w:val="00080889"/>
    <w:rsid w:val="0008210D"/>
    <w:rsid w:val="0008226B"/>
    <w:rsid w:val="00084002"/>
    <w:rsid w:val="000970DA"/>
    <w:rsid w:val="000A2032"/>
    <w:rsid w:val="000C5A39"/>
    <w:rsid w:val="000D0FE5"/>
    <w:rsid w:val="000D12E1"/>
    <w:rsid w:val="000D2F11"/>
    <w:rsid w:val="000E24EB"/>
    <w:rsid w:val="000F099A"/>
    <w:rsid w:val="000F403F"/>
    <w:rsid w:val="000F525F"/>
    <w:rsid w:val="000F7D73"/>
    <w:rsid w:val="001113E5"/>
    <w:rsid w:val="001116E9"/>
    <w:rsid w:val="00112C06"/>
    <w:rsid w:val="001208BF"/>
    <w:rsid w:val="00123AA8"/>
    <w:rsid w:val="001313A0"/>
    <w:rsid w:val="001375A7"/>
    <w:rsid w:val="00137792"/>
    <w:rsid w:val="00137C47"/>
    <w:rsid w:val="0014233E"/>
    <w:rsid w:val="001427A3"/>
    <w:rsid w:val="00142CB9"/>
    <w:rsid w:val="0014580B"/>
    <w:rsid w:val="00150974"/>
    <w:rsid w:val="00184F80"/>
    <w:rsid w:val="00185CE1"/>
    <w:rsid w:val="001939BB"/>
    <w:rsid w:val="0019552B"/>
    <w:rsid w:val="001B528C"/>
    <w:rsid w:val="001B5848"/>
    <w:rsid w:val="001B6888"/>
    <w:rsid w:val="001C4A97"/>
    <w:rsid w:val="001C50E6"/>
    <w:rsid w:val="001D1DF8"/>
    <w:rsid w:val="001E75B0"/>
    <w:rsid w:val="001F2A0A"/>
    <w:rsid w:val="0020013A"/>
    <w:rsid w:val="00201D31"/>
    <w:rsid w:val="002049AE"/>
    <w:rsid w:val="0021167D"/>
    <w:rsid w:val="00213180"/>
    <w:rsid w:val="00217887"/>
    <w:rsid w:val="0022132E"/>
    <w:rsid w:val="0022257E"/>
    <w:rsid w:val="00223CA5"/>
    <w:rsid w:val="0023663C"/>
    <w:rsid w:val="00246608"/>
    <w:rsid w:val="0025017B"/>
    <w:rsid w:val="00251A8B"/>
    <w:rsid w:val="002600C9"/>
    <w:rsid w:val="0026220B"/>
    <w:rsid w:val="00262AAF"/>
    <w:rsid w:val="00267C1D"/>
    <w:rsid w:val="002703C3"/>
    <w:rsid w:val="00275415"/>
    <w:rsid w:val="002758D8"/>
    <w:rsid w:val="00280F9A"/>
    <w:rsid w:val="00282C44"/>
    <w:rsid w:val="002906DE"/>
    <w:rsid w:val="00292DBE"/>
    <w:rsid w:val="002A4CED"/>
    <w:rsid w:val="002C23F3"/>
    <w:rsid w:val="002C4C15"/>
    <w:rsid w:val="002C66AB"/>
    <w:rsid w:val="002E67EE"/>
    <w:rsid w:val="002F6519"/>
    <w:rsid w:val="00313043"/>
    <w:rsid w:val="00314FC9"/>
    <w:rsid w:val="003202B4"/>
    <w:rsid w:val="00321268"/>
    <w:rsid w:val="00323968"/>
    <w:rsid w:val="00326F04"/>
    <w:rsid w:val="00327EE9"/>
    <w:rsid w:val="0034727B"/>
    <w:rsid w:val="00350364"/>
    <w:rsid w:val="003561F1"/>
    <w:rsid w:val="003611EF"/>
    <w:rsid w:val="0036314B"/>
    <w:rsid w:val="003639CF"/>
    <w:rsid w:val="00366091"/>
    <w:rsid w:val="003740A7"/>
    <w:rsid w:val="00381BE0"/>
    <w:rsid w:val="0038624D"/>
    <w:rsid w:val="00387DDA"/>
    <w:rsid w:val="0039082B"/>
    <w:rsid w:val="0039784B"/>
    <w:rsid w:val="003A093D"/>
    <w:rsid w:val="003A7EEB"/>
    <w:rsid w:val="003B499D"/>
    <w:rsid w:val="003B4ED7"/>
    <w:rsid w:val="003B759E"/>
    <w:rsid w:val="003D234B"/>
    <w:rsid w:val="003D61F5"/>
    <w:rsid w:val="003D7626"/>
    <w:rsid w:val="003E2065"/>
    <w:rsid w:val="003E2D64"/>
    <w:rsid w:val="003E7004"/>
    <w:rsid w:val="003F28E4"/>
    <w:rsid w:val="003F7758"/>
    <w:rsid w:val="00402555"/>
    <w:rsid w:val="0041139D"/>
    <w:rsid w:val="00412969"/>
    <w:rsid w:val="00412FC8"/>
    <w:rsid w:val="004156BC"/>
    <w:rsid w:val="00421ABA"/>
    <w:rsid w:val="0043199B"/>
    <w:rsid w:val="0044159B"/>
    <w:rsid w:val="004418FE"/>
    <w:rsid w:val="00442F08"/>
    <w:rsid w:val="004475E8"/>
    <w:rsid w:val="00450862"/>
    <w:rsid w:val="00462EA8"/>
    <w:rsid w:val="00466B8F"/>
    <w:rsid w:val="0046776D"/>
    <w:rsid w:val="00470C3C"/>
    <w:rsid w:val="00470CA8"/>
    <w:rsid w:val="00473DC0"/>
    <w:rsid w:val="0048478B"/>
    <w:rsid w:val="0048656D"/>
    <w:rsid w:val="00495975"/>
    <w:rsid w:val="004B0855"/>
    <w:rsid w:val="004B2B5D"/>
    <w:rsid w:val="004B3AB5"/>
    <w:rsid w:val="004C4342"/>
    <w:rsid w:val="004D046F"/>
    <w:rsid w:val="004E3D43"/>
    <w:rsid w:val="004F2C9B"/>
    <w:rsid w:val="004F31D7"/>
    <w:rsid w:val="00500734"/>
    <w:rsid w:val="00506CC8"/>
    <w:rsid w:val="00511962"/>
    <w:rsid w:val="00512257"/>
    <w:rsid w:val="00524F3C"/>
    <w:rsid w:val="00530852"/>
    <w:rsid w:val="00530A9F"/>
    <w:rsid w:val="005452DF"/>
    <w:rsid w:val="0055398A"/>
    <w:rsid w:val="00555D67"/>
    <w:rsid w:val="00556094"/>
    <w:rsid w:val="005675E9"/>
    <w:rsid w:val="005771B0"/>
    <w:rsid w:val="005814CA"/>
    <w:rsid w:val="005817B8"/>
    <w:rsid w:val="0058226B"/>
    <w:rsid w:val="00595B59"/>
    <w:rsid w:val="005B53E6"/>
    <w:rsid w:val="005C379E"/>
    <w:rsid w:val="005C75B2"/>
    <w:rsid w:val="005D0B2D"/>
    <w:rsid w:val="005D48D3"/>
    <w:rsid w:val="005D6282"/>
    <w:rsid w:val="005D687A"/>
    <w:rsid w:val="005D7C4C"/>
    <w:rsid w:val="005F56D1"/>
    <w:rsid w:val="00600502"/>
    <w:rsid w:val="0060078E"/>
    <w:rsid w:val="00601157"/>
    <w:rsid w:val="00601AF6"/>
    <w:rsid w:val="00605D71"/>
    <w:rsid w:val="00611156"/>
    <w:rsid w:val="00612225"/>
    <w:rsid w:val="00614F89"/>
    <w:rsid w:val="006152C2"/>
    <w:rsid w:val="006308DA"/>
    <w:rsid w:val="00631932"/>
    <w:rsid w:val="0064007B"/>
    <w:rsid w:val="00643788"/>
    <w:rsid w:val="00650D27"/>
    <w:rsid w:val="00660087"/>
    <w:rsid w:val="0067256F"/>
    <w:rsid w:val="0067477E"/>
    <w:rsid w:val="0067485E"/>
    <w:rsid w:val="00680231"/>
    <w:rsid w:val="006810C0"/>
    <w:rsid w:val="006834DB"/>
    <w:rsid w:val="006915E5"/>
    <w:rsid w:val="006A41B8"/>
    <w:rsid w:val="006A69FE"/>
    <w:rsid w:val="006B580F"/>
    <w:rsid w:val="006D363D"/>
    <w:rsid w:val="006D3835"/>
    <w:rsid w:val="006D554C"/>
    <w:rsid w:val="006D63B8"/>
    <w:rsid w:val="006E2A9D"/>
    <w:rsid w:val="006E56A5"/>
    <w:rsid w:val="006F4547"/>
    <w:rsid w:val="00701B04"/>
    <w:rsid w:val="00711503"/>
    <w:rsid w:val="0071532A"/>
    <w:rsid w:val="00720EA5"/>
    <w:rsid w:val="00723CA5"/>
    <w:rsid w:val="00723FDC"/>
    <w:rsid w:val="00727C2C"/>
    <w:rsid w:val="0073501C"/>
    <w:rsid w:val="00735928"/>
    <w:rsid w:val="00765481"/>
    <w:rsid w:val="00767508"/>
    <w:rsid w:val="0078188C"/>
    <w:rsid w:val="0078212B"/>
    <w:rsid w:val="0078364C"/>
    <w:rsid w:val="007849E0"/>
    <w:rsid w:val="0078530C"/>
    <w:rsid w:val="007864B2"/>
    <w:rsid w:val="007908A2"/>
    <w:rsid w:val="00790902"/>
    <w:rsid w:val="00790928"/>
    <w:rsid w:val="007A0ABB"/>
    <w:rsid w:val="007A0C35"/>
    <w:rsid w:val="007A40B0"/>
    <w:rsid w:val="007A77AF"/>
    <w:rsid w:val="007A78F9"/>
    <w:rsid w:val="007B6024"/>
    <w:rsid w:val="007C4EA0"/>
    <w:rsid w:val="007D0A41"/>
    <w:rsid w:val="007F2F35"/>
    <w:rsid w:val="007F640A"/>
    <w:rsid w:val="0081003D"/>
    <w:rsid w:val="00811D95"/>
    <w:rsid w:val="008175FB"/>
    <w:rsid w:val="00820C6F"/>
    <w:rsid w:val="00824BA4"/>
    <w:rsid w:val="0082756F"/>
    <w:rsid w:val="00844DDC"/>
    <w:rsid w:val="008536DA"/>
    <w:rsid w:val="00853B5D"/>
    <w:rsid w:val="00863B90"/>
    <w:rsid w:val="00865EB8"/>
    <w:rsid w:val="00867A24"/>
    <w:rsid w:val="008714D9"/>
    <w:rsid w:val="00875D71"/>
    <w:rsid w:val="008916B0"/>
    <w:rsid w:val="008B2C35"/>
    <w:rsid w:val="008B4949"/>
    <w:rsid w:val="008C128A"/>
    <w:rsid w:val="008C2BE0"/>
    <w:rsid w:val="008C3C1E"/>
    <w:rsid w:val="008C6D48"/>
    <w:rsid w:val="008C7333"/>
    <w:rsid w:val="008D6CC0"/>
    <w:rsid w:val="008E1DB6"/>
    <w:rsid w:val="008F3C55"/>
    <w:rsid w:val="00901E60"/>
    <w:rsid w:val="00902E85"/>
    <w:rsid w:val="0091073A"/>
    <w:rsid w:val="00911F7E"/>
    <w:rsid w:val="0091312F"/>
    <w:rsid w:val="009132CB"/>
    <w:rsid w:val="009132D1"/>
    <w:rsid w:val="00914416"/>
    <w:rsid w:val="009242BD"/>
    <w:rsid w:val="009317EF"/>
    <w:rsid w:val="009500FB"/>
    <w:rsid w:val="00962848"/>
    <w:rsid w:val="00963173"/>
    <w:rsid w:val="00964F40"/>
    <w:rsid w:val="00981638"/>
    <w:rsid w:val="00990F21"/>
    <w:rsid w:val="00994D73"/>
    <w:rsid w:val="0099745F"/>
    <w:rsid w:val="00997659"/>
    <w:rsid w:val="00997849"/>
    <w:rsid w:val="009A1F17"/>
    <w:rsid w:val="009A55CA"/>
    <w:rsid w:val="009A5E50"/>
    <w:rsid w:val="009B1AB3"/>
    <w:rsid w:val="009B29ED"/>
    <w:rsid w:val="009C1EA8"/>
    <w:rsid w:val="009D4ADE"/>
    <w:rsid w:val="009D70B4"/>
    <w:rsid w:val="009E46A8"/>
    <w:rsid w:val="009F0674"/>
    <w:rsid w:val="009F1A46"/>
    <w:rsid w:val="009F262D"/>
    <w:rsid w:val="009F6B24"/>
    <w:rsid w:val="009F79B5"/>
    <w:rsid w:val="00A0325F"/>
    <w:rsid w:val="00A2427B"/>
    <w:rsid w:val="00A3345D"/>
    <w:rsid w:val="00A3794F"/>
    <w:rsid w:val="00A42AF2"/>
    <w:rsid w:val="00A4446A"/>
    <w:rsid w:val="00A546EF"/>
    <w:rsid w:val="00A56285"/>
    <w:rsid w:val="00A642A5"/>
    <w:rsid w:val="00A6722F"/>
    <w:rsid w:val="00A67727"/>
    <w:rsid w:val="00A748CA"/>
    <w:rsid w:val="00A822D1"/>
    <w:rsid w:val="00A87384"/>
    <w:rsid w:val="00A957D8"/>
    <w:rsid w:val="00AB4B88"/>
    <w:rsid w:val="00AC0053"/>
    <w:rsid w:val="00AC01D9"/>
    <w:rsid w:val="00AC29A3"/>
    <w:rsid w:val="00AD0D28"/>
    <w:rsid w:val="00AE01B5"/>
    <w:rsid w:val="00AE2AAD"/>
    <w:rsid w:val="00AE535E"/>
    <w:rsid w:val="00AE56DF"/>
    <w:rsid w:val="00AF1041"/>
    <w:rsid w:val="00B0226C"/>
    <w:rsid w:val="00B11334"/>
    <w:rsid w:val="00B12E49"/>
    <w:rsid w:val="00B22CCE"/>
    <w:rsid w:val="00B27F5F"/>
    <w:rsid w:val="00B34C7C"/>
    <w:rsid w:val="00B36B33"/>
    <w:rsid w:val="00B40AC1"/>
    <w:rsid w:val="00B41BFA"/>
    <w:rsid w:val="00B43D35"/>
    <w:rsid w:val="00B45738"/>
    <w:rsid w:val="00B45C59"/>
    <w:rsid w:val="00B5406F"/>
    <w:rsid w:val="00B5622F"/>
    <w:rsid w:val="00B56FFD"/>
    <w:rsid w:val="00B57A69"/>
    <w:rsid w:val="00B63B7B"/>
    <w:rsid w:val="00B76793"/>
    <w:rsid w:val="00B77070"/>
    <w:rsid w:val="00B854F1"/>
    <w:rsid w:val="00B85D28"/>
    <w:rsid w:val="00BA5E98"/>
    <w:rsid w:val="00BB037D"/>
    <w:rsid w:val="00BB23ED"/>
    <w:rsid w:val="00BB4A11"/>
    <w:rsid w:val="00BB4D96"/>
    <w:rsid w:val="00BC0C10"/>
    <w:rsid w:val="00BC22BB"/>
    <w:rsid w:val="00BC4864"/>
    <w:rsid w:val="00BD3534"/>
    <w:rsid w:val="00BD3DBF"/>
    <w:rsid w:val="00BD6169"/>
    <w:rsid w:val="00BD6618"/>
    <w:rsid w:val="00BE37CB"/>
    <w:rsid w:val="00BF09DE"/>
    <w:rsid w:val="00BF5D2D"/>
    <w:rsid w:val="00BF69B5"/>
    <w:rsid w:val="00C040FE"/>
    <w:rsid w:val="00C1089D"/>
    <w:rsid w:val="00C10998"/>
    <w:rsid w:val="00C215AD"/>
    <w:rsid w:val="00C32D46"/>
    <w:rsid w:val="00C33FB4"/>
    <w:rsid w:val="00C35356"/>
    <w:rsid w:val="00C3645A"/>
    <w:rsid w:val="00C36BCB"/>
    <w:rsid w:val="00C41CE0"/>
    <w:rsid w:val="00C43EDE"/>
    <w:rsid w:val="00C4496B"/>
    <w:rsid w:val="00C5159A"/>
    <w:rsid w:val="00C5293B"/>
    <w:rsid w:val="00C53AF0"/>
    <w:rsid w:val="00C5692A"/>
    <w:rsid w:val="00C62691"/>
    <w:rsid w:val="00C62F34"/>
    <w:rsid w:val="00C65253"/>
    <w:rsid w:val="00C71C46"/>
    <w:rsid w:val="00C74C51"/>
    <w:rsid w:val="00C81BC0"/>
    <w:rsid w:val="00C859E5"/>
    <w:rsid w:val="00C85C7F"/>
    <w:rsid w:val="00C8625B"/>
    <w:rsid w:val="00C87335"/>
    <w:rsid w:val="00CA3DFD"/>
    <w:rsid w:val="00CB3A0E"/>
    <w:rsid w:val="00CB657A"/>
    <w:rsid w:val="00CC0CD3"/>
    <w:rsid w:val="00CC3F1B"/>
    <w:rsid w:val="00CC44B6"/>
    <w:rsid w:val="00CC4529"/>
    <w:rsid w:val="00CC6CEF"/>
    <w:rsid w:val="00CD1779"/>
    <w:rsid w:val="00CE6393"/>
    <w:rsid w:val="00CF6FB0"/>
    <w:rsid w:val="00CF7680"/>
    <w:rsid w:val="00D0320F"/>
    <w:rsid w:val="00D0429B"/>
    <w:rsid w:val="00D05BA1"/>
    <w:rsid w:val="00D13566"/>
    <w:rsid w:val="00D15C4E"/>
    <w:rsid w:val="00D2720F"/>
    <w:rsid w:val="00D3052A"/>
    <w:rsid w:val="00D326A3"/>
    <w:rsid w:val="00D3302F"/>
    <w:rsid w:val="00D356FB"/>
    <w:rsid w:val="00D37117"/>
    <w:rsid w:val="00D37EBB"/>
    <w:rsid w:val="00D43B4D"/>
    <w:rsid w:val="00D43F30"/>
    <w:rsid w:val="00D472EA"/>
    <w:rsid w:val="00D64834"/>
    <w:rsid w:val="00D72C94"/>
    <w:rsid w:val="00D83B78"/>
    <w:rsid w:val="00D86AB0"/>
    <w:rsid w:val="00D928DB"/>
    <w:rsid w:val="00D9298D"/>
    <w:rsid w:val="00D92F07"/>
    <w:rsid w:val="00DA291A"/>
    <w:rsid w:val="00DC5EFA"/>
    <w:rsid w:val="00DD1303"/>
    <w:rsid w:val="00DD1D85"/>
    <w:rsid w:val="00DE7720"/>
    <w:rsid w:val="00DF5B06"/>
    <w:rsid w:val="00E03594"/>
    <w:rsid w:val="00E07F30"/>
    <w:rsid w:val="00E133A3"/>
    <w:rsid w:val="00E17F87"/>
    <w:rsid w:val="00E2022B"/>
    <w:rsid w:val="00E232DB"/>
    <w:rsid w:val="00E25C44"/>
    <w:rsid w:val="00E358A5"/>
    <w:rsid w:val="00E41C44"/>
    <w:rsid w:val="00E451B5"/>
    <w:rsid w:val="00E45F2E"/>
    <w:rsid w:val="00E521E5"/>
    <w:rsid w:val="00E55983"/>
    <w:rsid w:val="00E56EF7"/>
    <w:rsid w:val="00E57880"/>
    <w:rsid w:val="00E64237"/>
    <w:rsid w:val="00E660A7"/>
    <w:rsid w:val="00E66F02"/>
    <w:rsid w:val="00E704EC"/>
    <w:rsid w:val="00E713B7"/>
    <w:rsid w:val="00E76C9F"/>
    <w:rsid w:val="00E77BDF"/>
    <w:rsid w:val="00E81EE7"/>
    <w:rsid w:val="00E85331"/>
    <w:rsid w:val="00E872C5"/>
    <w:rsid w:val="00E9127D"/>
    <w:rsid w:val="00E9224A"/>
    <w:rsid w:val="00E935ED"/>
    <w:rsid w:val="00E9387C"/>
    <w:rsid w:val="00E94436"/>
    <w:rsid w:val="00EA02F6"/>
    <w:rsid w:val="00EA128F"/>
    <w:rsid w:val="00EA40E9"/>
    <w:rsid w:val="00EA41A5"/>
    <w:rsid w:val="00EA64A8"/>
    <w:rsid w:val="00EB3502"/>
    <w:rsid w:val="00EB5468"/>
    <w:rsid w:val="00EC6CE5"/>
    <w:rsid w:val="00ED0285"/>
    <w:rsid w:val="00ED124F"/>
    <w:rsid w:val="00EE27F8"/>
    <w:rsid w:val="00EE6BAE"/>
    <w:rsid w:val="00EF045E"/>
    <w:rsid w:val="00EF0B32"/>
    <w:rsid w:val="00EF492C"/>
    <w:rsid w:val="00F05A28"/>
    <w:rsid w:val="00F108A3"/>
    <w:rsid w:val="00F14958"/>
    <w:rsid w:val="00F15031"/>
    <w:rsid w:val="00F23F6A"/>
    <w:rsid w:val="00F33F97"/>
    <w:rsid w:val="00F3476A"/>
    <w:rsid w:val="00F52177"/>
    <w:rsid w:val="00F52872"/>
    <w:rsid w:val="00F54A62"/>
    <w:rsid w:val="00F56E6C"/>
    <w:rsid w:val="00F57913"/>
    <w:rsid w:val="00F62B4B"/>
    <w:rsid w:val="00F653A0"/>
    <w:rsid w:val="00F822B2"/>
    <w:rsid w:val="00F84B33"/>
    <w:rsid w:val="00F93213"/>
    <w:rsid w:val="00F935AA"/>
    <w:rsid w:val="00F9563C"/>
    <w:rsid w:val="00FA3EC6"/>
    <w:rsid w:val="00FB19C8"/>
    <w:rsid w:val="00FB33B0"/>
    <w:rsid w:val="00FC6278"/>
    <w:rsid w:val="00FD0748"/>
    <w:rsid w:val="00FE3017"/>
    <w:rsid w:val="00FF2108"/>
    <w:rsid w:val="00FF29AB"/>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1790-B506-4BA6-9309-E917C555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3185</Words>
  <Characters>17523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2020-03-04T23:59:00Z</dcterms:created>
  <dcterms:modified xsi:type="dcterms:W3CDTF">2020-03-04T23:59:00Z</dcterms:modified>
</cp:coreProperties>
</file>