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7A202C" w14:textId="15BBF617" w:rsidR="00112C06" w:rsidRPr="00424C05" w:rsidRDefault="00112C06" w:rsidP="009A5E50">
      <w:pPr>
        <w:pStyle w:val="Ttulo"/>
        <w:jc w:val="both"/>
        <w:rPr>
          <w:rFonts w:ascii="Verdana" w:eastAsia="Verdana" w:hAnsi="Verdana" w:cs="Verdana"/>
          <w:b/>
          <w:sz w:val="32"/>
          <w:szCs w:val="32"/>
        </w:rPr>
      </w:pPr>
      <w:bookmarkStart w:id="0" w:name="_GoBack"/>
      <w:bookmarkEnd w:id="0"/>
      <w:r w:rsidRPr="00424C05">
        <w:rPr>
          <w:rFonts w:ascii="Verdana" w:eastAsia="Verdana" w:hAnsi="Verdana" w:cs="Verdana"/>
          <w:b/>
          <w:sz w:val="32"/>
          <w:szCs w:val="32"/>
        </w:rPr>
        <w:t>INFORME CNO 5</w:t>
      </w:r>
      <w:r w:rsidR="00137792">
        <w:rPr>
          <w:rFonts w:ascii="Verdana" w:eastAsia="Verdana" w:hAnsi="Verdana" w:cs="Verdana"/>
          <w:b/>
          <w:sz w:val="32"/>
          <w:szCs w:val="32"/>
        </w:rPr>
        <w:t>7</w:t>
      </w:r>
      <w:r w:rsidR="004C4342">
        <w:rPr>
          <w:rFonts w:ascii="Verdana" w:eastAsia="Verdana" w:hAnsi="Verdana" w:cs="Verdana"/>
          <w:b/>
          <w:sz w:val="32"/>
          <w:szCs w:val="32"/>
        </w:rPr>
        <w:t>5</w:t>
      </w:r>
    </w:p>
    <w:p w14:paraId="63311C03" w14:textId="77777777" w:rsidR="00112C06" w:rsidRPr="00424C05" w:rsidRDefault="00112C06" w:rsidP="009A5E50">
      <w:pPr>
        <w:jc w:val="both"/>
        <w:rPr>
          <w:rFonts w:ascii="Verdana" w:eastAsia="Verdana" w:hAnsi="Verdana" w:cs="Verdana"/>
          <w:sz w:val="22"/>
          <w:szCs w:val="22"/>
        </w:rPr>
      </w:pPr>
    </w:p>
    <w:p w14:paraId="6E0C8BBC" w14:textId="64798BF3" w:rsidR="00112C06" w:rsidRPr="00424C05" w:rsidRDefault="00112C06" w:rsidP="009A5E50">
      <w:pPr>
        <w:jc w:val="both"/>
        <w:rPr>
          <w:rFonts w:ascii="Verdana" w:eastAsia="Verdana" w:hAnsi="Verdana" w:cs="Verdana"/>
          <w:sz w:val="22"/>
          <w:szCs w:val="22"/>
        </w:rPr>
      </w:pPr>
      <w:r w:rsidRPr="00424C05">
        <w:rPr>
          <w:rFonts w:ascii="Verdana" w:eastAsia="Verdana" w:hAnsi="Verdana" w:cs="Verdana"/>
          <w:sz w:val="22"/>
          <w:szCs w:val="22"/>
        </w:rPr>
        <w:t xml:space="preserve">Fecha: </w:t>
      </w:r>
      <w:r w:rsidR="004C4342">
        <w:rPr>
          <w:rFonts w:ascii="Verdana" w:eastAsia="Verdana" w:hAnsi="Verdana" w:cs="Verdana"/>
          <w:sz w:val="22"/>
          <w:szCs w:val="22"/>
        </w:rPr>
        <w:t>noviem</w:t>
      </w:r>
      <w:r w:rsidR="00C5293B">
        <w:rPr>
          <w:rFonts w:ascii="Verdana" w:eastAsia="Verdana" w:hAnsi="Verdana" w:cs="Verdana"/>
          <w:sz w:val="22"/>
          <w:szCs w:val="22"/>
        </w:rPr>
        <w:t xml:space="preserve">bre </w:t>
      </w:r>
      <w:r w:rsidR="004C4342">
        <w:rPr>
          <w:rFonts w:ascii="Verdana" w:eastAsia="Verdana" w:hAnsi="Verdana" w:cs="Verdana"/>
          <w:sz w:val="22"/>
          <w:szCs w:val="22"/>
        </w:rPr>
        <w:t>7</w:t>
      </w:r>
      <w:r w:rsidR="00C5293B">
        <w:rPr>
          <w:rFonts w:ascii="Verdana" w:eastAsia="Verdana" w:hAnsi="Verdana" w:cs="Verdana"/>
          <w:sz w:val="22"/>
          <w:szCs w:val="22"/>
        </w:rPr>
        <w:t xml:space="preserve"> </w:t>
      </w:r>
      <w:r w:rsidRPr="00424C05">
        <w:rPr>
          <w:rFonts w:ascii="Verdana" w:eastAsia="Verdana" w:hAnsi="Verdana" w:cs="Verdana"/>
          <w:sz w:val="22"/>
          <w:szCs w:val="22"/>
        </w:rPr>
        <w:t>de 2019.</w:t>
      </w:r>
    </w:p>
    <w:p w14:paraId="725993AB" w14:textId="77777777" w:rsidR="00112C06" w:rsidRPr="00424C05" w:rsidRDefault="00112C06" w:rsidP="009A5E50">
      <w:pPr>
        <w:jc w:val="both"/>
        <w:rPr>
          <w:rFonts w:ascii="Verdana" w:hAnsi="Verdana"/>
          <w:sz w:val="22"/>
          <w:szCs w:val="22"/>
        </w:rPr>
      </w:pPr>
    </w:p>
    <w:p w14:paraId="7183085F" w14:textId="77777777" w:rsidR="00112C06" w:rsidRPr="00424C05" w:rsidRDefault="00112C06" w:rsidP="009A5E50">
      <w:pPr>
        <w:jc w:val="both"/>
        <w:rPr>
          <w:rFonts w:ascii="Verdana" w:eastAsia="Verdana" w:hAnsi="Verdana" w:cs="Verdana"/>
          <w:b/>
          <w:sz w:val="22"/>
          <w:szCs w:val="22"/>
          <w:u w:val="single"/>
        </w:rPr>
      </w:pPr>
      <w:r w:rsidRPr="00424C05">
        <w:rPr>
          <w:rFonts w:ascii="Verdana" w:eastAsia="Verdana" w:hAnsi="Verdana" w:cs="Verdana"/>
          <w:b/>
          <w:sz w:val="22"/>
          <w:szCs w:val="22"/>
          <w:u w:val="single"/>
        </w:rPr>
        <w:t>ASPECTOS ADMINISTRATIVOS:</w:t>
      </w:r>
    </w:p>
    <w:p w14:paraId="4AE50B17" w14:textId="77777777" w:rsidR="00112C06" w:rsidRPr="00424C05" w:rsidRDefault="00112C06" w:rsidP="009A5E50">
      <w:pPr>
        <w:jc w:val="both"/>
        <w:rPr>
          <w:rFonts w:ascii="Verdana" w:eastAsia="Verdana" w:hAnsi="Verdana" w:cs="Verdana"/>
          <w:sz w:val="22"/>
          <w:szCs w:val="22"/>
        </w:rPr>
      </w:pPr>
    </w:p>
    <w:p w14:paraId="15C73969" w14:textId="77777777" w:rsidR="002F6519" w:rsidRPr="00EF0B32" w:rsidRDefault="002F6519" w:rsidP="009A5E50">
      <w:pPr>
        <w:pStyle w:val="Prrafodelista"/>
        <w:autoSpaceDE w:val="0"/>
        <w:autoSpaceDN w:val="0"/>
        <w:adjustRightInd w:val="0"/>
        <w:ind w:left="360"/>
        <w:jc w:val="both"/>
        <w:rPr>
          <w:rFonts w:ascii="Verdana" w:hAnsi="Verdana"/>
          <w:bCs/>
          <w:sz w:val="22"/>
          <w:szCs w:val="22"/>
        </w:rPr>
      </w:pPr>
    </w:p>
    <w:p w14:paraId="263F3C0F" w14:textId="7E1A143C" w:rsidR="00B854F1" w:rsidRPr="00FA3EC6" w:rsidRDefault="00FA3EC6" w:rsidP="009A5E50">
      <w:pPr>
        <w:pStyle w:val="Prrafodelista"/>
        <w:numPr>
          <w:ilvl w:val="0"/>
          <w:numId w:val="17"/>
        </w:numPr>
        <w:autoSpaceDE w:val="0"/>
        <w:autoSpaceDN w:val="0"/>
        <w:adjustRightInd w:val="0"/>
        <w:jc w:val="both"/>
        <w:rPr>
          <w:rFonts w:ascii="Verdana" w:hAnsi="Verdana"/>
          <w:bCs/>
          <w:sz w:val="22"/>
          <w:szCs w:val="22"/>
        </w:rPr>
      </w:pPr>
      <w:r>
        <w:rPr>
          <w:rFonts w:ascii="Verdana" w:hAnsi="Verdana"/>
          <w:bCs/>
          <w:sz w:val="22"/>
          <w:szCs w:val="22"/>
        </w:rPr>
        <w:t>E</w:t>
      </w:r>
      <w:r w:rsidR="00B854F1" w:rsidRPr="00FA3EC6">
        <w:rPr>
          <w:rFonts w:ascii="Verdana" w:hAnsi="Verdana"/>
          <w:bCs/>
          <w:sz w:val="22"/>
          <w:szCs w:val="22"/>
        </w:rPr>
        <w:t xml:space="preserve">l séptimo </w:t>
      </w:r>
      <w:r w:rsidR="00AC0053">
        <w:rPr>
          <w:rFonts w:ascii="Verdana" w:hAnsi="Verdana"/>
          <w:bCs/>
          <w:sz w:val="22"/>
          <w:szCs w:val="22"/>
        </w:rPr>
        <w:t>F</w:t>
      </w:r>
      <w:r w:rsidR="00B854F1" w:rsidRPr="00FA3EC6">
        <w:rPr>
          <w:rFonts w:ascii="Verdana" w:hAnsi="Verdana"/>
          <w:bCs/>
          <w:sz w:val="22"/>
          <w:szCs w:val="22"/>
        </w:rPr>
        <w:t xml:space="preserve">oro de </w:t>
      </w:r>
      <w:r w:rsidR="00AC0053">
        <w:rPr>
          <w:rFonts w:ascii="Verdana" w:hAnsi="Verdana"/>
          <w:bCs/>
          <w:sz w:val="22"/>
          <w:szCs w:val="22"/>
        </w:rPr>
        <w:t>É</w:t>
      </w:r>
      <w:r w:rsidR="00B854F1" w:rsidRPr="00FA3EC6">
        <w:rPr>
          <w:rFonts w:ascii="Verdana" w:hAnsi="Verdana"/>
          <w:bCs/>
          <w:sz w:val="22"/>
          <w:szCs w:val="22"/>
        </w:rPr>
        <w:t>tica del sector eléctrico se llevará a cabo el próximo 13 de noviembre de</w:t>
      </w:r>
      <w:r>
        <w:rPr>
          <w:rFonts w:ascii="Verdana" w:hAnsi="Verdana"/>
          <w:bCs/>
          <w:sz w:val="22"/>
          <w:szCs w:val="22"/>
        </w:rPr>
        <w:t>l año en curso, entre las</w:t>
      </w:r>
      <w:r w:rsidR="00B854F1" w:rsidRPr="00FA3EC6">
        <w:rPr>
          <w:rFonts w:ascii="Verdana" w:hAnsi="Verdana"/>
          <w:bCs/>
          <w:sz w:val="22"/>
          <w:szCs w:val="22"/>
        </w:rPr>
        <w:t xml:space="preserve"> 8</w:t>
      </w:r>
      <w:r>
        <w:rPr>
          <w:rFonts w:ascii="Verdana" w:hAnsi="Verdana"/>
          <w:bCs/>
          <w:sz w:val="22"/>
          <w:szCs w:val="22"/>
        </w:rPr>
        <w:t>:00</w:t>
      </w:r>
      <w:r w:rsidR="00B854F1" w:rsidRPr="00FA3EC6">
        <w:rPr>
          <w:rFonts w:ascii="Verdana" w:hAnsi="Verdana"/>
          <w:bCs/>
          <w:sz w:val="22"/>
          <w:szCs w:val="22"/>
        </w:rPr>
        <w:t xml:space="preserve"> </w:t>
      </w:r>
      <w:r w:rsidRPr="00FA3EC6">
        <w:rPr>
          <w:rFonts w:ascii="Verdana" w:hAnsi="Verdana"/>
          <w:bCs/>
          <w:sz w:val="22"/>
          <w:szCs w:val="22"/>
        </w:rPr>
        <w:t>a.m.</w:t>
      </w:r>
      <w:r>
        <w:rPr>
          <w:rFonts w:ascii="Verdana" w:hAnsi="Verdana"/>
          <w:bCs/>
          <w:sz w:val="22"/>
          <w:szCs w:val="22"/>
        </w:rPr>
        <w:t xml:space="preserve"> y </w:t>
      </w:r>
      <w:r w:rsidR="00B854F1" w:rsidRPr="00FA3EC6">
        <w:rPr>
          <w:rFonts w:ascii="Verdana" w:hAnsi="Verdana"/>
          <w:bCs/>
          <w:sz w:val="22"/>
          <w:szCs w:val="22"/>
        </w:rPr>
        <w:t>12</w:t>
      </w:r>
      <w:r>
        <w:rPr>
          <w:rFonts w:ascii="Verdana" w:hAnsi="Verdana"/>
          <w:bCs/>
          <w:sz w:val="22"/>
          <w:szCs w:val="22"/>
        </w:rPr>
        <w:t>:</w:t>
      </w:r>
      <w:r w:rsidR="00B854F1" w:rsidRPr="00FA3EC6">
        <w:rPr>
          <w:rFonts w:ascii="Verdana" w:hAnsi="Verdana"/>
          <w:bCs/>
          <w:sz w:val="22"/>
          <w:szCs w:val="22"/>
        </w:rPr>
        <w:t>30 p.m</w:t>
      </w:r>
      <w:r>
        <w:rPr>
          <w:rFonts w:ascii="Verdana" w:hAnsi="Verdana"/>
          <w:bCs/>
          <w:sz w:val="22"/>
          <w:szCs w:val="22"/>
        </w:rPr>
        <w:t xml:space="preserve">. </w:t>
      </w:r>
      <w:r w:rsidR="00B854F1" w:rsidRPr="00FA3EC6">
        <w:rPr>
          <w:rFonts w:ascii="Verdana" w:hAnsi="Verdana"/>
          <w:bCs/>
          <w:sz w:val="22"/>
          <w:szCs w:val="22"/>
        </w:rPr>
        <w:t>en el Hotel Marriott de Bogotá.</w:t>
      </w:r>
      <w:r>
        <w:rPr>
          <w:rFonts w:ascii="Verdana" w:hAnsi="Verdana"/>
          <w:bCs/>
          <w:sz w:val="22"/>
          <w:szCs w:val="22"/>
        </w:rPr>
        <w:t xml:space="preserve"> Invitamos a las empresas miembros del CNO a participar en este importante evento.</w:t>
      </w:r>
    </w:p>
    <w:p w14:paraId="094DB9D4" w14:textId="2D476EE9" w:rsidR="004C4342" w:rsidRDefault="004C4342" w:rsidP="009A5E50">
      <w:pPr>
        <w:autoSpaceDE w:val="0"/>
        <w:autoSpaceDN w:val="0"/>
        <w:adjustRightInd w:val="0"/>
        <w:jc w:val="both"/>
        <w:rPr>
          <w:rFonts w:ascii="Verdana" w:eastAsia="Verdana" w:hAnsi="Verdana" w:cs="Verdana"/>
          <w:sz w:val="22"/>
          <w:szCs w:val="22"/>
        </w:rPr>
      </w:pPr>
    </w:p>
    <w:p w14:paraId="2876A4E8" w14:textId="44B6DADD" w:rsidR="004C4342" w:rsidRDefault="00FA3EC6" w:rsidP="009A5E50">
      <w:pPr>
        <w:pStyle w:val="Prrafodelista"/>
        <w:numPr>
          <w:ilvl w:val="0"/>
          <w:numId w:val="17"/>
        </w:numPr>
        <w:autoSpaceDE w:val="0"/>
        <w:autoSpaceDN w:val="0"/>
        <w:adjustRightInd w:val="0"/>
        <w:jc w:val="both"/>
        <w:rPr>
          <w:rFonts w:ascii="Verdana" w:eastAsia="Verdana" w:hAnsi="Verdana" w:cs="Verdana"/>
          <w:sz w:val="22"/>
          <w:szCs w:val="22"/>
        </w:rPr>
      </w:pPr>
      <w:r>
        <w:rPr>
          <w:rFonts w:ascii="Verdana" w:eastAsia="Verdana" w:hAnsi="Verdana" w:cs="Verdana"/>
          <w:sz w:val="22"/>
          <w:szCs w:val="22"/>
        </w:rPr>
        <w:t xml:space="preserve">Anexo a este informe encontrarán </w:t>
      </w:r>
      <w:r w:rsidR="002E67EE">
        <w:rPr>
          <w:rFonts w:ascii="Verdana" w:eastAsia="Verdana" w:hAnsi="Verdana" w:cs="Verdana"/>
          <w:sz w:val="22"/>
          <w:szCs w:val="22"/>
        </w:rPr>
        <w:t xml:space="preserve">el presupuesto preliminar </w:t>
      </w:r>
      <w:r>
        <w:rPr>
          <w:rFonts w:ascii="Verdana" w:eastAsia="Verdana" w:hAnsi="Verdana" w:cs="Verdana"/>
          <w:sz w:val="22"/>
          <w:szCs w:val="22"/>
        </w:rPr>
        <w:t>del Con</w:t>
      </w:r>
      <w:r w:rsidR="00AC0053">
        <w:rPr>
          <w:rFonts w:ascii="Verdana" w:eastAsia="Verdana" w:hAnsi="Verdana" w:cs="Verdana"/>
          <w:sz w:val="22"/>
          <w:szCs w:val="22"/>
        </w:rPr>
        <w:t>s</w:t>
      </w:r>
      <w:r>
        <w:rPr>
          <w:rFonts w:ascii="Verdana" w:eastAsia="Verdana" w:hAnsi="Verdana" w:cs="Verdana"/>
          <w:sz w:val="22"/>
          <w:szCs w:val="22"/>
        </w:rPr>
        <w:t xml:space="preserve">ejo para el año </w:t>
      </w:r>
      <w:r w:rsidR="002E67EE">
        <w:rPr>
          <w:rFonts w:ascii="Verdana" w:eastAsia="Verdana" w:hAnsi="Verdana" w:cs="Verdana"/>
          <w:sz w:val="22"/>
          <w:szCs w:val="22"/>
        </w:rPr>
        <w:t>2020</w:t>
      </w:r>
      <w:r>
        <w:rPr>
          <w:rFonts w:ascii="Verdana" w:eastAsia="Verdana" w:hAnsi="Verdana" w:cs="Verdana"/>
          <w:sz w:val="22"/>
          <w:szCs w:val="22"/>
        </w:rPr>
        <w:t>,</w:t>
      </w:r>
      <w:r w:rsidR="002E67EE">
        <w:rPr>
          <w:rFonts w:ascii="Verdana" w:eastAsia="Verdana" w:hAnsi="Verdana" w:cs="Verdana"/>
          <w:sz w:val="22"/>
          <w:szCs w:val="22"/>
        </w:rPr>
        <w:t xml:space="preserve"> con un supuesto de incremento del SMLM del 5 %.</w:t>
      </w:r>
    </w:p>
    <w:p w14:paraId="67B5CCAC" w14:textId="77777777" w:rsidR="00D43B4D" w:rsidRPr="00387DDA" w:rsidRDefault="00D43B4D" w:rsidP="00387DDA">
      <w:pPr>
        <w:pStyle w:val="Prrafodelista"/>
        <w:rPr>
          <w:rFonts w:ascii="Verdana" w:eastAsia="Verdana" w:hAnsi="Verdana" w:cs="Verdana"/>
          <w:sz w:val="22"/>
          <w:szCs w:val="22"/>
        </w:rPr>
      </w:pPr>
    </w:p>
    <w:p w14:paraId="35F734EA" w14:textId="33DA164C" w:rsidR="00D43B4D" w:rsidRDefault="00D43B4D" w:rsidP="009A5E50">
      <w:pPr>
        <w:pStyle w:val="Prrafodelista"/>
        <w:numPr>
          <w:ilvl w:val="0"/>
          <w:numId w:val="17"/>
        </w:numPr>
        <w:autoSpaceDE w:val="0"/>
        <w:autoSpaceDN w:val="0"/>
        <w:adjustRightInd w:val="0"/>
        <w:jc w:val="both"/>
        <w:rPr>
          <w:rFonts w:ascii="Verdana" w:eastAsia="Verdana" w:hAnsi="Verdana" w:cs="Verdana"/>
          <w:sz w:val="22"/>
          <w:szCs w:val="22"/>
        </w:rPr>
      </w:pPr>
      <w:r>
        <w:rPr>
          <w:rFonts w:ascii="Verdana" w:eastAsia="Verdana" w:hAnsi="Verdana" w:cs="Verdana"/>
          <w:sz w:val="22"/>
          <w:szCs w:val="22"/>
        </w:rPr>
        <w:t xml:space="preserve">Se abrió la convocatoria para elegir a los miembros del CNO en el año 2020 que representen las actividades de generación (generadores con capacidad instalada entre el 1% y el 5% de la capacidad instalada total nacional, generadores con capacidad instalada inferior al 1%), transmisión y distribución. Se publicó la convocatoria en El Tiempo los días 1, 2, 3 y 4 de noviembre de 2019. Los requisitos para postularse como miembros del Consejo se encuentran publicados en la página en el siguiente enlace: </w:t>
      </w:r>
      <w:hyperlink r:id="rId8" w:history="1">
        <w:r w:rsidRPr="00973979">
          <w:rPr>
            <w:rStyle w:val="Hipervnculo"/>
            <w:rFonts w:ascii="Verdana" w:eastAsia="Verdana" w:hAnsi="Verdana" w:cs="Verdana"/>
            <w:sz w:val="22"/>
            <w:szCs w:val="22"/>
          </w:rPr>
          <w:t>https://www.cno.org.co/content/miembros-por-eleccion-cno-ano-2020</w:t>
        </w:r>
      </w:hyperlink>
    </w:p>
    <w:p w14:paraId="5096421E" w14:textId="77777777" w:rsidR="00D43B4D" w:rsidRPr="00387DDA" w:rsidRDefault="00D43B4D" w:rsidP="00387DDA">
      <w:pPr>
        <w:pStyle w:val="Prrafodelista"/>
        <w:rPr>
          <w:rFonts w:ascii="Verdana" w:eastAsia="Verdana" w:hAnsi="Verdana" w:cs="Verdana"/>
          <w:sz w:val="22"/>
          <w:szCs w:val="22"/>
        </w:rPr>
      </w:pPr>
    </w:p>
    <w:p w14:paraId="3000846C" w14:textId="40A6CBC1" w:rsidR="00D43B4D" w:rsidRDefault="00D43B4D" w:rsidP="00D43B4D">
      <w:pPr>
        <w:pStyle w:val="Prrafodelista"/>
        <w:autoSpaceDE w:val="0"/>
        <w:autoSpaceDN w:val="0"/>
        <w:adjustRightInd w:val="0"/>
        <w:ind w:left="360"/>
        <w:jc w:val="both"/>
        <w:rPr>
          <w:rFonts w:ascii="Verdana" w:eastAsia="Verdana" w:hAnsi="Verdana" w:cs="Verdana"/>
          <w:sz w:val="22"/>
          <w:szCs w:val="22"/>
        </w:rPr>
      </w:pPr>
      <w:r>
        <w:rPr>
          <w:rFonts w:ascii="Verdana" w:eastAsia="Verdana" w:hAnsi="Verdana" w:cs="Verdana"/>
          <w:sz w:val="22"/>
          <w:szCs w:val="22"/>
        </w:rPr>
        <w:t>A continuación se presenta el cronograma de la elección de los miembros del CNO:</w:t>
      </w:r>
    </w:p>
    <w:p w14:paraId="2A225A44" w14:textId="02EDBD98" w:rsidR="00D43B4D" w:rsidRDefault="00D43B4D" w:rsidP="00D43B4D">
      <w:pPr>
        <w:pStyle w:val="Prrafodelista"/>
        <w:autoSpaceDE w:val="0"/>
        <w:autoSpaceDN w:val="0"/>
        <w:adjustRightInd w:val="0"/>
        <w:ind w:left="360"/>
        <w:jc w:val="both"/>
        <w:rPr>
          <w:rFonts w:ascii="Verdana" w:eastAsia="Verdana" w:hAnsi="Verdana" w:cs="Verdana"/>
          <w:sz w:val="22"/>
          <w:szCs w:val="22"/>
        </w:rPr>
      </w:pPr>
    </w:p>
    <w:p w14:paraId="758F305B" w14:textId="3240CE54" w:rsidR="00D43B4D" w:rsidRPr="004C4342" w:rsidRDefault="00D43B4D" w:rsidP="00387DDA">
      <w:pPr>
        <w:pStyle w:val="Prrafodelista"/>
        <w:autoSpaceDE w:val="0"/>
        <w:autoSpaceDN w:val="0"/>
        <w:adjustRightInd w:val="0"/>
        <w:ind w:left="360"/>
        <w:jc w:val="both"/>
        <w:rPr>
          <w:rFonts w:ascii="Verdana" w:eastAsia="Verdana" w:hAnsi="Verdana" w:cs="Verdana"/>
          <w:sz w:val="22"/>
          <w:szCs w:val="22"/>
        </w:rPr>
      </w:pPr>
      <w:r w:rsidRPr="00D43B4D">
        <w:rPr>
          <w:rFonts w:ascii="Verdana" w:eastAsia="Verdana" w:hAnsi="Verdana" w:cs="Verdana"/>
          <w:noProof/>
          <w:sz w:val="22"/>
          <w:szCs w:val="22"/>
        </w:rPr>
        <w:drawing>
          <wp:inline distT="0" distB="0" distL="0" distR="0" wp14:anchorId="7B383AD0" wp14:editId="47C57D98">
            <wp:extent cx="5115698" cy="2115347"/>
            <wp:effectExtent l="0" t="0" r="2540" b="5715"/>
            <wp:docPr id="1" name="Imagen 1" descr="Imagen que contiene captura de pantal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134592" cy="2123160"/>
                    </a:xfrm>
                    <a:prstGeom prst="rect">
                      <a:avLst/>
                    </a:prstGeom>
                  </pic:spPr>
                </pic:pic>
              </a:graphicData>
            </a:graphic>
          </wp:inline>
        </w:drawing>
      </w:r>
    </w:p>
    <w:p w14:paraId="2AC94F6E" w14:textId="18286E9F" w:rsidR="004C4342" w:rsidRDefault="004C4342" w:rsidP="009A5E50">
      <w:pPr>
        <w:autoSpaceDE w:val="0"/>
        <w:autoSpaceDN w:val="0"/>
        <w:adjustRightInd w:val="0"/>
        <w:jc w:val="both"/>
        <w:rPr>
          <w:rFonts w:ascii="Verdana" w:eastAsia="Verdana" w:hAnsi="Verdana" w:cs="Verdana"/>
          <w:sz w:val="22"/>
          <w:szCs w:val="22"/>
        </w:rPr>
      </w:pPr>
    </w:p>
    <w:p w14:paraId="6228930A" w14:textId="499DD933" w:rsidR="004C4342" w:rsidRDefault="004C4342" w:rsidP="009A5E50">
      <w:pPr>
        <w:autoSpaceDE w:val="0"/>
        <w:autoSpaceDN w:val="0"/>
        <w:adjustRightInd w:val="0"/>
        <w:jc w:val="both"/>
        <w:rPr>
          <w:rFonts w:ascii="Verdana" w:eastAsia="Verdana" w:hAnsi="Verdana" w:cs="Verdana"/>
          <w:sz w:val="22"/>
          <w:szCs w:val="22"/>
        </w:rPr>
      </w:pPr>
    </w:p>
    <w:p w14:paraId="43EE1A47" w14:textId="77777777" w:rsidR="00112C06" w:rsidRPr="00424C05" w:rsidRDefault="00112C06" w:rsidP="009A5E50">
      <w:pPr>
        <w:jc w:val="both"/>
        <w:rPr>
          <w:rFonts w:ascii="Verdana" w:eastAsia="Verdana" w:hAnsi="Verdana" w:cs="Verdana"/>
          <w:b/>
          <w:sz w:val="22"/>
          <w:szCs w:val="22"/>
          <w:u w:val="single"/>
        </w:rPr>
      </w:pPr>
      <w:r w:rsidRPr="00424C05">
        <w:rPr>
          <w:rFonts w:ascii="Verdana" w:eastAsia="Verdana" w:hAnsi="Verdana" w:cs="Verdana"/>
          <w:b/>
          <w:sz w:val="22"/>
          <w:szCs w:val="22"/>
          <w:u w:val="single"/>
        </w:rPr>
        <w:t>ASPECTOS TÉCNICOS:</w:t>
      </w:r>
    </w:p>
    <w:p w14:paraId="55D54EE9" w14:textId="34095C82" w:rsidR="00112C06" w:rsidRDefault="00112C06" w:rsidP="009A5E50">
      <w:pPr>
        <w:jc w:val="both"/>
        <w:rPr>
          <w:rFonts w:ascii="Verdana" w:hAnsi="Verdana"/>
          <w:bCs/>
          <w:sz w:val="22"/>
          <w:szCs w:val="22"/>
        </w:rPr>
      </w:pPr>
    </w:p>
    <w:p w14:paraId="26F725C9" w14:textId="64FDF8C4" w:rsidR="00FA3EC6" w:rsidRPr="003B759E" w:rsidRDefault="00FA3EC6" w:rsidP="009A5E50">
      <w:pPr>
        <w:pStyle w:val="Prrafodelista"/>
        <w:numPr>
          <w:ilvl w:val="0"/>
          <w:numId w:val="17"/>
        </w:numPr>
        <w:autoSpaceDE w:val="0"/>
        <w:autoSpaceDN w:val="0"/>
        <w:adjustRightInd w:val="0"/>
        <w:jc w:val="both"/>
        <w:rPr>
          <w:rFonts w:ascii="Verdana" w:eastAsia="Verdana" w:hAnsi="Verdana" w:cs="Verdana"/>
          <w:sz w:val="22"/>
          <w:szCs w:val="22"/>
        </w:rPr>
      </w:pPr>
      <w:r w:rsidRPr="00267C1D">
        <w:rPr>
          <w:rFonts w:ascii="Verdana" w:hAnsi="Verdana"/>
          <w:bCs/>
          <w:sz w:val="22"/>
          <w:szCs w:val="22"/>
        </w:rPr>
        <w:t xml:space="preserve">Se llevó a cabo la versión 25 del Congreso del Mercado de Energía Mayorista-MEM. </w:t>
      </w:r>
      <w:r w:rsidR="00D43B4D">
        <w:rPr>
          <w:rFonts w:ascii="Verdana" w:hAnsi="Verdana"/>
          <w:bCs/>
          <w:sz w:val="22"/>
          <w:szCs w:val="22"/>
        </w:rPr>
        <w:t>En</w:t>
      </w:r>
      <w:r w:rsidRPr="00267C1D">
        <w:rPr>
          <w:rFonts w:ascii="Verdana" w:hAnsi="Verdana"/>
          <w:bCs/>
          <w:sz w:val="22"/>
          <w:szCs w:val="22"/>
        </w:rPr>
        <w:t xml:space="preserve"> la agenda técnica se destacó la presentación del profesor Pierluigi Mancarella sobre la importancia de la coordinación Gas-Electricidad bajo escenarios de incorporación masiva de Fuentes Variables Renovables de Energía-VRE. También el Coordinador Eléctrico Chileno realizó una ponencia sobre la flexibilidad en los Sistemas Eléctricos de Potencia, atributo fundamental para </w:t>
      </w:r>
      <w:r w:rsidR="00530852" w:rsidRPr="00267C1D">
        <w:rPr>
          <w:rFonts w:ascii="Verdana" w:hAnsi="Verdana"/>
          <w:bCs/>
          <w:sz w:val="22"/>
          <w:szCs w:val="22"/>
        </w:rPr>
        <w:t>evaluar</w:t>
      </w:r>
      <w:r w:rsidRPr="00267C1D">
        <w:rPr>
          <w:rFonts w:ascii="Verdana" w:hAnsi="Verdana"/>
          <w:bCs/>
          <w:sz w:val="22"/>
          <w:szCs w:val="22"/>
        </w:rPr>
        <w:t xml:space="preserve"> los porcentajes máximos de integración de fuentes VRE.</w:t>
      </w:r>
      <w:r>
        <w:rPr>
          <w:rFonts w:ascii="Verdana" w:hAnsi="Verdana"/>
          <w:bCs/>
          <w:sz w:val="22"/>
          <w:szCs w:val="22"/>
        </w:rPr>
        <w:t xml:space="preserve"> </w:t>
      </w:r>
      <w:r w:rsidRPr="003B759E">
        <w:rPr>
          <w:rFonts w:ascii="Verdana" w:hAnsi="Verdana"/>
          <w:bCs/>
          <w:sz w:val="22"/>
          <w:szCs w:val="22"/>
        </w:rPr>
        <w:t xml:space="preserve">Adicionalmente, se llevó a cabo un panel </w:t>
      </w:r>
      <w:r w:rsidRPr="003B759E">
        <w:rPr>
          <w:rFonts w:ascii="Verdana" w:hAnsi="Verdana"/>
          <w:bCs/>
          <w:sz w:val="22"/>
          <w:szCs w:val="22"/>
        </w:rPr>
        <w:lastRenderedPageBreak/>
        <w:t xml:space="preserve">entre MINENERGÍA, el MADS y la </w:t>
      </w:r>
      <w:r w:rsidR="00AC0053">
        <w:rPr>
          <w:rFonts w:ascii="Verdana" w:hAnsi="Verdana"/>
          <w:bCs/>
          <w:sz w:val="22"/>
          <w:szCs w:val="22"/>
        </w:rPr>
        <w:t>a</w:t>
      </w:r>
      <w:r w:rsidRPr="003B759E">
        <w:rPr>
          <w:rFonts w:ascii="Verdana" w:hAnsi="Verdana"/>
          <w:bCs/>
          <w:sz w:val="22"/>
          <w:szCs w:val="22"/>
        </w:rPr>
        <w:t>cademia sobre el estado actual de la Guía de Cálculo del Caudal Ambiental y lo que se espera en el corto plazo respecto a su implementación a escala nacional.</w:t>
      </w:r>
      <w:r>
        <w:rPr>
          <w:rFonts w:ascii="Verdana" w:hAnsi="Verdana"/>
          <w:bCs/>
          <w:sz w:val="22"/>
          <w:szCs w:val="22"/>
        </w:rPr>
        <w:t xml:space="preserve"> </w:t>
      </w:r>
      <w:r w:rsidRPr="003B759E">
        <w:rPr>
          <w:rFonts w:ascii="Verdana" w:hAnsi="Verdana"/>
          <w:bCs/>
          <w:sz w:val="22"/>
          <w:szCs w:val="22"/>
        </w:rPr>
        <w:t xml:space="preserve">Asimismo, el CND realizó una presentación sobre flexibilidad y servicios complementarios, planteando algunos nuevos, por ejemplo, </w:t>
      </w:r>
      <w:r w:rsidR="00AC0053">
        <w:rPr>
          <w:rFonts w:ascii="Verdana" w:hAnsi="Verdana"/>
          <w:bCs/>
          <w:sz w:val="22"/>
          <w:szCs w:val="22"/>
        </w:rPr>
        <w:t xml:space="preserve">la </w:t>
      </w:r>
      <w:r w:rsidRPr="003B759E">
        <w:rPr>
          <w:rFonts w:ascii="Verdana" w:hAnsi="Verdana"/>
          <w:bCs/>
          <w:sz w:val="22"/>
          <w:szCs w:val="22"/>
        </w:rPr>
        <w:t xml:space="preserve">inyección de corriente de cortocircuito.   </w:t>
      </w:r>
    </w:p>
    <w:p w14:paraId="72715C85" w14:textId="77777777" w:rsidR="00FA3EC6" w:rsidRPr="003B759E" w:rsidRDefault="00FA3EC6" w:rsidP="009A5E50">
      <w:pPr>
        <w:pStyle w:val="Prrafodelista"/>
        <w:autoSpaceDE w:val="0"/>
        <w:autoSpaceDN w:val="0"/>
        <w:adjustRightInd w:val="0"/>
        <w:ind w:left="360"/>
        <w:jc w:val="both"/>
        <w:rPr>
          <w:rFonts w:ascii="Verdana" w:eastAsia="Verdana" w:hAnsi="Verdana" w:cs="Verdana"/>
          <w:sz w:val="22"/>
          <w:szCs w:val="22"/>
        </w:rPr>
      </w:pPr>
    </w:p>
    <w:p w14:paraId="01F7459E" w14:textId="77777777" w:rsidR="00FA3EC6" w:rsidRPr="003B759E" w:rsidRDefault="00FA3EC6" w:rsidP="009A5E50">
      <w:pPr>
        <w:pStyle w:val="Prrafodelista"/>
        <w:autoSpaceDE w:val="0"/>
        <w:autoSpaceDN w:val="0"/>
        <w:adjustRightInd w:val="0"/>
        <w:ind w:left="360"/>
        <w:jc w:val="both"/>
        <w:rPr>
          <w:rFonts w:ascii="Verdana" w:eastAsia="Verdana" w:hAnsi="Verdana" w:cs="Verdana"/>
          <w:sz w:val="22"/>
          <w:szCs w:val="22"/>
        </w:rPr>
      </w:pPr>
      <w:r>
        <w:rPr>
          <w:rFonts w:ascii="Verdana" w:eastAsia="Verdana" w:hAnsi="Verdana" w:cs="Verdana"/>
          <w:sz w:val="22"/>
          <w:szCs w:val="22"/>
        </w:rPr>
        <w:t>En el siguiente enlace podrán encontrar todas las presentaciones del Congreso, como la misión de transformación, los resultados preliminares del Plan de Expansión de Referencia Generación y Transmisión 2019-2033, los Retos de la Digitalización, entre otros.</w:t>
      </w:r>
    </w:p>
    <w:p w14:paraId="06367613" w14:textId="77777777" w:rsidR="00FA3EC6" w:rsidRDefault="008569C3" w:rsidP="009A5E50">
      <w:pPr>
        <w:pStyle w:val="Prrafodelista"/>
        <w:autoSpaceDE w:val="0"/>
        <w:autoSpaceDN w:val="0"/>
        <w:adjustRightInd w:val="0"/>
        <w:ind w:left="360"/>
        <w:jc w:val="both"/>
        <w:rPr>
          <w:rFonts w:ascii="Verdana" w:eastAsia="Verdana" w:hAnsi="Verdana" w:cs="Verdana"/>
          <w:sz w:val="22"/>
          <w:szCs w:val="22"/>
        </w:rPr>
      </w:pPr>
      <w:hyperlink r:id="rId10" w:history="1">
        <w:r w:rsidR="00FA3EC6" w:rsidRPr="00236EAB">
          <w:rPr>
            <w:rStyle w:val="Hipervnculo"/>
            <w:rFonts w:ascii="Verdana" w:eastAsia="Verdana" w:hAnsi="Verdana" w:cs="Verdana"/>
            <w:sz w:val="22"/>
            <w:szCs w:val="22"/>
          </w:rPr>
          <w:t>https://www.energiamayorista.com.co/memorias/memorias-2019/</w:t>
        </w:r>
      </w:hyperlink>
    </w:p>
    <w:p w14:paraId="1E34B44E" w14:textId="1C88C5DE" w:rsidR="000F403F" w:rsidRPr="000F403F" w:rsidRDefault="00B56FFD" w:rsidP="009A5E50">
      <w:pPr>
        <w:autoSpaceDE w:val="0"/>
        <w:autoSpaceDN w:val="0"/>
        <w:adjustRightInd w:val="0"/>
        <w:jc w:val="both"/>
        <w:rPr>
          <w:rFonts w:ascii="Verdana" w:hAnsi="Verdana"/>
          <w:bCs/>
          <w:color w:val="000000" w:themeColor="text1"/>
          <w:sz w:val="22"/>
          <w:szCs w:val="22"/>
        </w:rPr>
      </w:pPr>
      <w:r w:rsidRPr="000F403F">
        <w:rPr>
          <w:rFonts w:ascii="Verdana" w:hAnsi="Verdana"/>
          <w:bCs/>
          <w:sz w:val="22"/>
          <w:szCs w:val="22"/>
        </w:rPr>
        <w:t xml:space="preserve"> </w:t>
      </w:r>
    </w:p>
    <w:p w14:paraId="34D6D469" w14:textId="703BDB65" w:rsidR="00E935ED" w:rsidRPr="00387DDA" w:rsidRDefault="002E67EE" w:rsidP="009A5E50">
      <w:pPr>
        <w:pStyle w:val="Prrafodelista"/>
        <w:numPr>
          <w:ilvl w:val="0"/>
          <w:numId w:val="17"/>
        </w:numPr>
        <w:autoSpaceDE w:val="0"/>
        <w:autoSpaceDN w:val="0"/>
        <w:adjustRightInd w:val="0"/>
        <w:jc w:val="both"/>
        <w:rPr>
          <w:rFonts w:ascii="Verdana" w:hAnsi="Verdana"/>
          <w:bCs/>
          <w:color w:val="000000" w:themeColor="text1"/>
          <w:sz w:val="22"/>
          <w:szCs w:val="22"/>
        </w:rPr>
      </w:pPr>
      <w:r w:rsidRPr="00E07F30">
        <w:rPr>
          <w:rFonts w:ascii="Verdana" w:hAnsi="Verdana"/>
          <w:bCs/>
          <w:sz w:val="22"/>
          <w:szCs w:val="22"/>
        </w:rPr>
        <w:t>El</w:t>
      </w:r>
      <w:r w:rsidR="000A2032" w:rsidRPr="00E07F30">
        <w:rPr>
          <w:rFonts w:ascii="Verdana" w:hAnsi="Verdana"/>
          <w:bCs/>
          <w:sz w:val="22"/>
          <w:szCs w:val="22"/>
        </w:rPr>
        <w:t xml:space="preserve"> Consejo solicit</w:t>
      </w:r>
      <w:r w:rsidR="00F56E6C" w:rsidRPr="00E07F30">
        <w:rPr>
          <w:rFonts w:ascii="Verdana" w:hAnsi="Verdana"/>
          <w:bCs/>
          <w:sz w:val="22"/>
          <w:szCs w:val="22"/>
        </w:rPr>
        <w:t xml:space="preserve">ó </w:t>
      </w:r>
      <w:r w:rsidR="000A2032" w:rsidRPr="00E07F30">
        <w:rPr>
          <w:rFonts w:ascii="Verdana" w:hAnsi="Verdana"/>
          <w:bCs/>
          <w:sz w:val="22"/>
          <w:szCs w:val="22"/>
        </w:rPr>
        <w:t>a</w:t>
      </w:r>
      <w:r w:rsidR="00F56E6C" w:rsidRPr="00E07F30">
        <w:rPr>
          <w:rFonts w:ascii="Verdana" w:hAnsi="Verdana"/>
          <w:bCs/>
          <w:sz w:val="22"/>
          <w:szCs w:val="22"/>
        </w:rPr>
        <w:t xml:space="preserve"> </w:t>
      </w:r>
      <w:r w:rsidR="000A2032" w:rsidRPr="00E07F30">
        <w:rPr>
          <w:rFonts w:ascii="Verdana" w:hAnsi="Verdana"/>
          <w:bCs/>
          <w:sz w:val="22"/>
          <w:szCs w:val="22"/>
        </w:rPr>
        <w:t>l</w:t>
      </w:r>
      <w:r w:rsidR="00F56E6C" w:rsidRPr="00E07F30">
        <w:rPr>
          <w:rFonts w:ascii="Verdana" w:hAnsi="Verdana"/>
          <w:bCs/>
          <w:sz w:val="22"/>
          <w:szCs w:val="22"/>
        </w:rPr>
        <w:t>a</w:t>
      </w:r>
      <w:r w:rsidR="000A2032" w:rsidRPr="00E07F30">
        <w:rPr>
          <w:rFonts w:ascii="Verdana" w:hAnsi="Verdana"/>
          <w:bCs/>
          <w:sz w:val="22"/>
          <w:szCs w:val="22"/>
        </w:rPr>
        <w:t xml:space="preserve"> </w:t>
      </w:r>
      <w:r w:rsidR="00F56E6C" w:rsidRPr="00E07F30">
        <w:rPr>
          <w:rFonts w:ascii="Verdana" w:hAnsi="Verdana"/>
          <w:bCs/>
          <w:sz w:val="22"/>
          <w:szCs w:val="22"/>
        </w:rPr>
        <w:t>CREG</w:t>
      </w:r>
      <w:r w:rsidR="00E07F30">
        <w:rPr>
          <w:rFonts w:ascii="Verdana" w:hAnsi="Verdana"/>
          <w:bCs/>
          <w:sz w:val="22"/>
          <w:szCs w:val="22"/>
        </w:rPr>
        <w:t xml:space="preserve"> </w:t>
      </w:r>
      <w:r w:rsidR="00F56E6C" w:rsidRPr="00E07F30">
        <w:rPr>
          <w:rFonts w:ascii="Verdana" w:hAnsi="Verdana"/>
          <w:bCs/>
          <w:sz w:val="22"/>
          <w:szCs w:val="22"/>
        </w:rPr>
        <w:t>realizar</w:t>
      </w:r>
      <w:r w:rsidR="000A2032" w:rsidRPr="00E07F30">
        <w:rPr>
          <w:rFonts w:ascii="Verdana" w:hAnsi="Verdana"/>
          <w:bCs/>
          <w:sz w:val="22"/>
          <w:szCs w:val="22"/>
        </w:rPr>
        <w:t xml:space="preserve"> las modificaciones a la Resolución CREG 119 de 1998, que reflejen</w:t>
      </w:r>
      <w:r w:rsidR="003F28E4">
        <w:rPr>
          <w:rFonts w:ascii="Verdana" w:hAnsi="Verdana"/>
          <w:bCs/>
          <w:sz w:val="22"/>
          <w:szCs w:val="22"/>
        </w:rPr>
        <w:t xml:space="preserve"> la </w:t>
      </w:r>
      <w:r w:rsidR="00AC0053">
        <w:rPr>
          <w:rFonts w:ascii="Verdana" w:hAnsi="Verdana"/>
          <w:bCs/>
          <w:sz w:val="22"/>
          <w:szCs w:val="22"/>
        </w:rPr>
        <w:t xml:space="preserve">materialización del racionamiento de la demanda programada desde el despacho económico, por el agotamiento de red. </w:t>
      </w:r>
      <w:r w:rsidR="00F56E6C" w:rsidRPr="00387DDA">
        <w:rPr>
          <w:rFonts w:ascii="Verdana" w:hAnsi="Verdana"/>
          <w:bCs/>
          <w:color w:val="000000" w:themeColor="text1"/>
          <w:sz w:val="22"/>
          <w:szCs w:val="22"/>
        </w:rPr>
        <w:t>La carta puede ser consultada en la página web del Consejo.</w:t>
      </w:r>
    </w:p>
    <w:p w14:paraId="05F11419" w14:textId="0C9CB1FB" w:rsidR="00F56E6C" w:rsidRDefault="00F56E6C" w:rsidP="009A5E50">
      <w:pPr>
        <w:autoSpaceDE w:val="0"/>
        <w:autoSpaceDN w:val="0"/>
        <w:adjustRightInd w:val="0"/>
        <w:ind w:left="360"/>
        <w:jc w:val="both"/>
        <w:rPr>
          <w:rFonts w:ascii="Verdana" w:hAnsi="Verdana"/>
          <w:bCs/>
          <w:sz w:val="22"/>
          <w:szCs w:val="22"/>
        </w:rPr>
      </w:pPr>
    </w:p>
    <w:p w14:paraId="48102C57" w14:textId="1C18EA3F" w:rsidR="00530852" w:rsidRPr="00387DDA" w:rsidRDefault="00F56E6C" w:rsidP="009A5E50">
      <w:pPr>
        <w:pStyle w:val="Prrafodelista"/>
        <w:numPr>
          <w:ilvl w:val="0"/>
          <w:numId w:val="17"/>
        </w:numPr>
        <w:autoSpaceDE w:val="0"/>
        <w:autoSpaceDN w:val="0"/>
        <w:adjustRightInd w:val="0"/>
        <w:jc w:val="both"/>
        <w:rPr>
          <w:rFonts w:ascii="Verdana" w:hAnsi="Verdana"/>
          <w:bCs/>
          <w:sz w:val="22"/>
          <w:szCs w:val="22"/>
        </w:rPr>
      </w:pPr>
      <w:r>
        <w:rPr>
          <w:rFonts w:ascii="Verdana" w:hAnsi="Verdana"/>
          <w:bCs/>
          <w:sz w:val="22"/>
          <w:szCs w:val="22"/>
        </w:rPr>
        <w:t xml:space="preserve">Teniendo en cuenta lo acordado </w:t>
      </w:r>
      <w:r w:rsidR="00E07F30">
        <w:rPr>
          <w:rFonts w:ascii="Verdana" w:hAnsi="Verdana"/>
          <w:bCs/>
          <w:sz w:val="22"/>
          <w:szCs w:val="22"/>
        </w:rPr>
        <w:t>por</w:t>
      </w:r>
      <w:r>
        <w:rPr>
          <w:rFonts w:ascii="Verdana" w:hAnsi="Verdana"/>
          <w:bCs/>
          <w:sz w:val="22"/>
          <w:szCs w:val="22"/>
        </w:rPr>
        <w:t xml:space="preserve"> el Consejo, se envió comunicación a MINENERGÍA sobre la acciones operativ</w:t>
      </w:r>
      <w:r w:rsidR="00E07F30">
        <w:rPr>
          <w:rFonts w:ascii="Verdana" w:hAnsi="Verdana"/>
          <w:bCs/>
          <w:sz w:val="22"/>
          <w:szCs w:val="22"/>
        </w:rPr>
        <w:t>a</w:t>
      </w:r>
      <w:r>
        <w:rPr>
          <w:rFonts w:ascii="Verdana" w:hAnsi="Verdana"/>
          <w:bCs/>
          <w:sz w:val="22"/>
          <w:szCs w:val="22"/>
        </w:rPr>
        <w:t xml:space="preserve">s </w:t>
      </w:r>
      <w:r w:rsidR="00E07F30">
        <w:rPr>
          <w:rFonts w:ascii="Verdana" w:hAnsi="Verdana"/>
          <w:bCs/>
          <w:sz w:val="22"/>
          <w:szCs w:val="22"/>
        </w:rPr>
        <w:t>que el</w:t>
      </w:r>
      <w:r>
        <w:rPr>
          <w:rFonts w:ascii="Verdana" w:hAnsi="Verdana"/>
          <w:bCs/>
          <w:sz w:val="22"/>
          <w:szCs w:val="22"/>
        </w:rPr>
        <w:t xml:space="preserve"> CND y </w:t>
      </w:r>
      <w:r w:rsidR="00E07F30">
        <w:rPr>
          <w:rFonts w:ascii="Verdana" w:hAnsi="Verdana"/>
          <w:bCs/>
          <w:sz w:val="22"/>
          <w:szCs w:val="22"/>
        </w:rPr>
        <w:t>CNO han tomado para mitigar la actual situación operativa que se está presentando en el área Caribe. Las mismas están asociada</w:t>
      </w:r>
      <w:r w:rsidR="00AC0053">
        <w:rPr>
          <w:rFonts w:ascii="Verdana" w:hAnsi="Verdana"/>
          <w:bCs/>
          <w:sz w:val="22"/>
          <w:szCs w:val="22"/>
        </w:rPr>
        <w:t>s</w:t>
      </w:r>
      <w:r w:rsidR="00E07F30">
        <w:rPr>
          <w:rFonts w:ascii="Verdana" w:hAnsi="Verdana"/>
          <w:bCs/>
          <w:sz w:val="22"/>
          <w:szCs w:val="22"/>
        </w:rPr>
        <w:t xml:space="preserve"> al</w:t>
      </w:r>
      <w:r w:rsidR="00530852">
        <w:rPr>
          <w:rFonts w:ascii="Verdana" w:hAnsi="Verdana"/>
          <w:bCs/>
          <w:sz w:val="22"/>
          <w:szCs w:val="22"/>
        </w:rPr>
        <w:t xml:space="preserve"> </w:t>
      </w:r>
      <w:r w:rsidR="00E07F30">
        <w:rPr>
          <w:rFonts w:ascii="Verdana" w:hAnsi="Verdana"/>
          <w:bCs/>
          <w:sz w:val="22"/>
          <w:szCs w:val="22"/>
        </w:rPr>
        <w:t>a</w:t>
      </w:r>
      <w:r w:rsidR="00530852">
        <w:rPr>
          <w:rFonts w:ascii="Verdana" w:hAnsi="Verdana"/>
          <w:bCs/>
          <w:sz w:val="22"/>
          <w:szCs w:val="22"/>
        </w:rPr>
        <w:t>nálisis de la</w:t>
      </w:r>
      <w:r w:rsidR="00E07F30">
        <w:rPr>
          <w:rFonts w:ascii="Verdana" w:hAnsi="Verdana"/>
          <w:bCs/>
          <w:sz w:val="22"/>
          <w:szCs w:val="22"/>
        </w:rPr>
        <w:t xml:space="preserve"> evolución esperada de la DNA</w:t>
      </w:r>
      <w:r w:rsidR="00530852">
        <w:rPr>
          <w:rFonts w:ascii="Verdana" w:hAnsi="Verdana"/>
          <w:bCs/>
          <w:sz w:val="22"/>
          <w:szCs w:val="22"/>
        </w:rPr>
        <w:t xml:space="preserve"> en el corto plazo, considerando o no las medidas de mitigación de corto plazo y la fecha de puesta en servicio de las expansiones estructurales. Asimismo, se </w:t>
      </w:r>
      <w:r w:rsidR="00E133A3">
        <w:rPr>
          <w:rFonts w:ascii="Verdana" w:hAnsi="Verdana"/>
          <w:bCs/>
          <w:sz w:val="22"/>
          <w:szCs w:val="22"/>
        </w:rPr>
        <w:t xml:space="preserve">informó sobre la </w:t>
      </w:r>
      <w:r w:rsidR="00530852">
        <w:rPr>
          <w:rFonts w:ascii="Verdana" w:hAnsi="Verdana"/>
          <w:bCs/>
          <w:sz w:val="22"/>
          <w:szCs w:val="22"/>
        </w:rPr>
        <w:t>implementa</w:t>
      </w:r>
      <w:r w:rsidR="00E133A3">
        <w:rPr>
          <w:rFonts w:ascii="Verdana" w:hAnsi="Verdana"/>
          <w:bCs/>
          <w:sz w:val="22"/>
          <w:szCs w:val="22"/>
        </w:rPr>
        <w:t>ción de</w:t>
      </w:r>
      <w:r w:rsidR="00530852">
        <w:rPr>
          <w:rFonts w:ascii="Verdana" w:hAnsi="Verdana"/>
          <w:bCs/>
          <w:sz w:val="22"/>
          <w:szCs w:val="22"/>
        </w:rPr>
        <w:t xml:space="preserve"> c</w:t>
      </w:r>
      <w:r w:rsidR="00E07F30">
        <w:rPr>
          <w:rFonts w:ascii="Verdana" w:hAnsi="Verdana"/>
          <w:bCs/>
          <w:sz w:val="22"/>
          <w:szCs w:val="22"/>
        </w:rPr>
        <w:t>uatro (4) Esquemas Suplementarios de Protección del Sistema-ESPS</w:t>
      </w:r>
      <w:r w:rsidR="00530852">
        <w:rPr>
          <w:rFonts w:ascii="Verdana" w:hAnsi="Verdana"/>
          <w:bCs/>
          <w:sz w:val="22"/>
          <w:szCs w:val="22"/>
        </w:rPr>
        <w:t xml:space="preserve"> para mitigar el impacto de contingencias N-1 en la subárea GCM. </w:t>
      </w:r>
      <w:r w:rsidR="00530852" w:rsidRPr="00387DDA">
        <w:rPr>
          <w:rFonts w:ascii="Verdana" w:hAnsi="Verdana"/>
          <w:bCs/>
          <w:sz w:val="22"/>
          <w:szCs w:val="22"/>
        </w:rPr>
        <w:t>La comunicación puede ser consultada en la página web del Consejo.</w:t>
      </w:r>
    </w:p>
    <w:p w14:paraId="2F81F121" w14:textId="77777777" w:rsidR="00530852" w:rsidRPr="00530852" w:rsidRDefault="00530852" w:rsidP="009A5E50">
      <w:pPr>
        <w:pStyle w:val="Prrafodelista"/>
        <w:jc w:val="both"/>
        <w:rPr>
          <w:rFonts w:ascii="Verdana" w:hAnsi="Verdana"/>
          <w:bCs/>
          <w:sz w:val="22"/>
          <w:szCs w:val="22"/>
        </w:rPr>
      </w:pPr>
    </w:p>
    <w:p w14:paraId="64B5E787" w14:textId="53E0DB85" w:rsidR="004C4342" w:rsidRDefault="00530852" w:rsidP="009A5E50">
      <w:pPr>
        <w:pStyle w:val="Prrafodelista"/>
        <w:numPr>
          <w:ilvl w:val="0"/>
          <w:numId w:val="17"/>
        </w:numPr>
        <w:autoSpaceDE w:val="0"/>
        <w:autoSpaceDN w:val="0"/>
        <w:adjustRightInd w:val="0"/>
        <w:jc w:val="both"/>
        <w:rPr>
          <w:rFonts w:ascii="Verdana" w:hAnsi="Verdana"/>
          <w:bCs/>
          <w:sz w:val="22"/>
          <w:szCs w:val="22"/>
        </w:rPr>
      </w:pPr>
      <w:r w:rsidRPr="009F1A46">
        <w:rPr>
          <w:rFonts w:ascii="Verdana" w:hAnsi="Verdana"/>
          <w:bCs/>
          <w:sz w:val="22"/>
          <w:szCs w:val="22"/>
        </w:rPr>
        <w:t>El grupo conformado para revisar el mantenimiento de las unidades 5, 6, 7 y 8 de la central Chivor</w:t>
      </w:r>
      <w:r w:rsidR="009F1A46" w:rsidRPr="009F1A46">
        <w:rPr>
          <w:rFonts w:ascii="Verdana" w:hAnsi="Verdana"/>
          <w:bCs/>
          <w:sz w:val="22"/>
          <w:szCs w:val="22"/>
        </w:rPr>
        <w:t xml:space="preserve">, </w:t>
      </w:r>
      <w:r w:rsidR="00E133A3">
        <w:rPr>
          <w:rFonts w:ascii="Verdana" w:hAnsi="Verdana"/>
          <w:bCs/>
          <w:sz w:val="22"/>
          <w:szCs w:val="22"/>
        </w:rPr>
        <w:t>que</w:t>
      </w:r>
      <w:r w:rsidR="009F1A46" w:rsidRPr="009F1A46">
        <w:rPr>
          <w:rFonts w:ascii="Verdana" w:hAnsi="Verdana"/>
          <w:bCs/>
          <w:sz w:val="22"/>
          <w:szCs w:val="22"/>
        </w:rPr>
        <w:t xml:space="preserve"> se llevará a cabo entre l</w:t>
      </w:r>
      <w:r w:rsidR="009F1A46">
        <w:rPr>
          <w:rFonts w:ascii="Verdana" w:hAnsi="Verdana"/>
          <w:bCs/>
          <w:sz w:val="22"/>
          <w:szCs w:val="22"/>
        </w:rPr>
        <w:t>os</w:t>
      </w:r>
      <w:r w:rsidR="009F1A46" w:rsidRPr="009F1A46">
        <w:rPr>
          <w:rFonts w:ascii="Verdana" w:hAnsi="Verdana"/>
          <w:bCs/>
          <w:sz w:val="22"/>
          <w:szCs w:val="22"/>
        </w:rPr>
        <w:t xml:space="preserve"> mes</w:t>
      </w:r>
      <w:r w:rsidR="009F1A46">
        <w:rPr>
          <w:rFonts w:ascii="Verdana" w:hAnsi="Verdana"/>
          <w:bCs/>
          <w:sz w:val="22"/>
          <w:szCs w:val="22"/>
        </w:rPr>
        <w:t>es</w:t>
      </w:r>
      <w:r w:rsidR="009F1A46" w:rsidRPr="009F1A46">
        <w:rPr>
          <w:rFonts w:ascii="Verdana" w:hAnsi="Verdana"/>
          <w:bCs/>
          <w:sz w:val="22"/>
          <w:szCs w:val="22"/>
        </w:rPr>
        <w:t xml:space="preserve"> de diciembre del año en curso y mayo de</w:t>
      </w:r>
      <w:r w:rsidR="009F1A46">
        <w:rPr>
          <w:rFonts w:ascii="Verdana" w:hAnsi="Verdana"/>
          <w:bCs/>
          <w:sz w:val="22"/>
          <w:szCs w:val="22"/>
        </w:rPr>
        <w:t>l</w:t>
      </w:r>
      <w:r w:rsidR="009F1A46" w:rsidRPr="009F1A46">
        <w:rPr>
          <w:rFonts w:ascii="Verdana" w:hAnsi="Verdana"/>
          <w:bCs/>
          <w:sz w:val="22"/>
          <w:szCs w:val="22"/>
        </w:rPr>
        <w:t xml:space="preserve"> 2020,</w:t>
      </w:r>
      <w:r w:rsidR="009F1A46">
        <w:rPr>
          <w:rFonts w:ascii="Verdana" w:hAnsi="Verdana"/>
          <w:bCs/>
          <w:sz w:val="22"/>
          <w:szCs w:val="22"/>
        </w:rPr>
        <w:t xml:space="preserve"> </w:t>
      </w:r>
      <w:r w:rsidRPr="009F1A46">
        <w:rPr>
          <w:rFonts w:ascii="Verdana" w:hAnsi="Verdana"/>
          <w:bCs/>
          <w:sz w:val="22"/>
          <w:szCs w:val="22"/>
        </w:rPr>
        <w:t>se reunió para conocer la actualización de los análisis eléctricos y energéticos</w:t>
      </w:r>
      <w:r w:rsidR="00E9127D">
        <w:rPr>
          <w:rFonts w:ascii="Verdana" w:hAnsi="Verdana"/>
          <w:bCs/>
          <w:sz w:val="22"/>
          <w:szCs w:val="22"/>
        </w:rPr>
        <w:t xml:space="preserve"> </w:t>
      </w:r>
      <w:r w:rsidR="009F1A46">
        <w:rPr>
          <w:rFonts w:ascii="Verdana" w:hAnsi="Verdana"/>
          <w:bCs/>
          <w:sz w:val="22"/>
          <w:szCs w:val="22"/>
        </w:rPr>
        <w:t>asociados a su impacto en el SIN</w:t>
      </w:r>
      <w:r w:rsidR="009F1A46" w:rsidRPr="009F1A46">
        <w:rPr>
          <w:rFonts w:ascii="Verdana" w:hAnsi="Verdana"/>
          <w:bCs/>
          <w:sz w:val="22"/>
          <w:szCs w:val="22"/>
        </w:rPr>
        <w:t>.</w:t>
      </w:r>
      <w:r w:rsidR="009F1A46">
        <w:rPr>
          <w:rFonts w:ascii="Verdana" w:hAnsi="Verdana"/>
          <w:bCs/>
          <w:sz w:val="22"/>
          <w:szCs w:val="22"/>
        </w:rPr>
        <w:t xml:space="preserve"> Al respecto, si bien los resultados muestran que el área Oriental contar</w:t>
      </w:r>
      <w:r w:rsidR="00D43F30">
        <w:rPr>
          <w:rFonts w:ascii="Verdana" w:hAnsi="Verdana"/>
          <w:bCs/>
          <w:sz w:val="22"/>
          <w:szCs w:val="22"/>
        </w:rPr>
        <w:t>á</w:t>
      </w:r>
      <w:r w:rsidR="009F1A46">
        <w:rPr>
          <w:rFonts w:ascii="Verdana" w:hAnsi="Verdana"/>
          <w:bCs/>
          <w:sz w:val="22"/>
          <w:szCs w:val="22"/>
        </w:rPr>
        <w:t xml:space="preserve"> con las unidades </w:t>
      </w:r>
      <w:r w:rsidR="00D43F30">
        <w:rPr>
          <w:rFonts w:ascii="Verdana" w:hAnsi="Verdana"/>
          <w:bCs/>
          <w:sz w:val="22"/>
          <w:szCs w:val="22"/>
        </w:rPr>
        <w:t xml:space="preserve">equivalentes </w:t>
      </w:r>
      <w:r w:rsidR="009F1A46">
        <w:rPr>
          <w:rFonts w:ascii="Verdana" w:hAnsi="Verdana"/>
          <w:bCs/>
          <w:sz w:val="22"/>
          <w:szCs w:val="22"/>
        </w:rPr>
        <w:t>para el soporte de tensión y suministro de potencia reactiva (</w:t>
      </w:r>
      <w:r w:rsidR="00D43F30">
        <w:rPr>
          <w:rFonts w:ascii="Verdana" w:hAnsi="Verdana"/>
          <w:bCs/>
          <w:sz w:val="22"/>
          <w:szCs w:val="22"/>
        </w:rPr>
        <w:t>considerando las unidades 1, 2, 3 y 4 de la central Chivor</w:t>
      </w:r>
      <w:r w:rsidR="009F1A46">
        <w:rPr>
          <w:rFonts w:ascii="Verdana" w:hAnsi="Verdana"/>
          <w:bCs/>
          <w:sz w:val="22"/>
          <w:szCs w:val="22"/>
        </w:rPr>
        <w:t>)</w:t>
      </w:r>
      <w:r w:rsidR="00D43F30">
        <w:rPr>
          <w:rFonts w:ascii="Verdana" w:hAnsi="Verdana"/>
          <w:bCs/>
          <w:sz w:val="22"/>
          <w:szCs w:val="22"/>
        </w:rPr>
        <w:t>, se recomend</w:t>
      </w:r>
      <w:r w:rsidR="00E9127D">
        <w:rPr>
          <w:rFonts w:ascii="Verdana" w:hAnsi="Verdana"/>
          <w:bCs/>
          <w:sz w:val="22"/>
          <w:szCs w:val="22"/>
        </w:rPr>
        <w:t>ó por parte del CND</w:t>
      </w:r>
      <w:r w:rsidR="00D43F30">
        <w:rPr>
          <w:rFonts w:ascii="Verdana" w:hAnsi="Verdana"/>
          <w:bCs/>
          <w:sz w:val="22"/>
          <w:szCs w:val="22"/>
        </w:rPr>
        <w:t xml:space="preserve"> limitar los mantenimientos </w:t>
      </w:r>
      <w:r w:rsidR="00E9127D">
        <w:rPr>
          <w:rFonts w:ascii="Verdana" w:hAnsi="Verdana"/>
          <w:bCs/>
          <w:sz w:val="22"/>
          <w:szCs w:val="22"/>
        </w:rPr>
        <w:t xml:space="preserve">sobre activos </w:t>
      </w:r>
      <w:r w:rsidR="00D43F30">
        <w:rPr>
          <w:rFonts w:ascii="Verdana" w:hAnsi="Verdana"/>
          <w:bCs/>
          <w:sz w:val="22"/>
          <w:szCs w:val="22"/>
        </w:rPr>
        <w:t>de</w:t>
      </w:r>
      <w:r w:rsidR="00E9127D">
        <w:rPr>
          <w:rFonts w:ascii="Verdana" w:hAnsi="Verdana"/>
          <w:bCs/>
          <w:sz w:val="22"/>
          <w:szCs w:val="22"/>
        </w:rPr>
        <w:t xml:space="preserve"> transmisión y</w:t>
      </w:r>
      <w:r w:rsidR="00D43F30">
        <w:rPr>
          <w:rFonts w:ascii="Verdana" w:hAnsi="Verdana"/>
          <w:bCs/>
          <w:sz w:val="22"/>
          <w:szCs w:val="22"/>
        </w:rPr>
        <w:t xml:space="preserve"> generación en el área durante </w:t>
      </w:r>
      <w:r w:rsidR="00E9127D">
        <w:rPr>
          <w:rFonts w:ascii="Verdana" w:hAnsi="Verdana"/>
          <w:bCs/>
          <w:sz w:val="22"/>
          <w:szCs w:val="22"/>
        </w:rPr>
        <w:t>los trabajos</w:t>
      </w:r>
      <w:r w:rsidR="00D43F30">
        <w:rPr>
          <w:rFonts w:ascii="Verdana" w:hAnsi="Verdana"/>
          <w:bCs/>
          <w:sz w:val="22"/>
          <w:szCs w:val="22"/>
        </w:rPr>
        <w:t xml:space="preserve"> (máximo 2 unidades equivalentes)</w:t>
      </w:r>
      <w:r w:rsidR="00E9127D">
        <w:rPr>
          <w:rFonts w:ascii="Verdana" w:hAnsi="Verdana"/>
          <w:bCs/>
          <w:sz w:val="22"/>
          <w:szCs w:val="22"/>
        </w:rPr>
        <w:t xml:space="preserve">. Adicionalmente, se acordó revisar el programa de racionamiento de carga establecido durante el </w:t>
      </w:r>
      <w:r w:rsidR="007849E0">
        <w:rPr>
          <w:rFonts w:ascii="Verdana" w:hAnsi="Verdana"/>
          <w:bCs/>
          <w:sz w:val="22"/>
          <w:szCs w:val="22"/>
        </w:rPr>
        <w:t xml:space="preserve">pasado </w:t>
      </w:r>
      <w:r w:rsidR="00E9127D">
        <w:rPr>
          <w:rFonts w:ascii="Verdana" w:hAnsi="Verdana"/>
          <w:bCs/>
          <w:sz w:val="22"/>
          <w:szCs w:val="22"/>
        </w:rPr>
        <w:t xml:space="preserve">mantenimiento de la central Guavio ante indisponibilidad del circuito Primavera-Bacatá 500 kV.  </w:t>
      </w:r>
      <w:r w:rsidR="00D43F30">
        <w:rPr>
          <w:rFonts w:ascii="Verdana" w:hAnsi="Verdana"/>
          <w:bCs/>
          <w:sz w:val="22"/>
          <w:szCs w:val="22"/>
        </w:rPr>
        <w:t xml:space="preserve"> </w:t>
      </w:r>
      <w:r w:rsidR="009F1A46">
        <w:rPr>
          <w:rFonts w:ascii="Verdana" w:hAnsi="Verdana"/>
          <w:bCs/>
          <w:sz w:val="22"/>
          <w:szCs w:val="22"/>
        </w:rPr>
        <w:t xml:space="preserve">  </w:t>
      </w:r>
      <w:r w:rsidR="009F1A46" w:rsidRPr="009F1A46">
        <w:rPr>
          <w:rFonts w:ascii="Verdana" w:hAnsi="Verdana"/>
          <w:bCs/>
          <w:sz w:val="22"/>
          <w:szCs w:val="22"/>
        </w:rPr>
        <w:t xml:space="preserve"> </w:t>
      </w:r>
    </w:p>
    <w:p w14:paraId="5C6DA898" w14:textId="77777777" w:rsidR="009F1A46" w:rsidRPr="009F1A46" w:rsidRDefault="009F1A46" w:rsidP="009A5E50">
      <w:pPr>
        <w:pStyle w:val="Prrafodelista"/>
        <w:jc w:val="both"/>
        <w:rPr>
          <w:rFonts w:ascii="Verdana" w:hAnsi="Verdana"/>
          <w:bCs/>
          <w:sz w:val="22"/>
          <w:szCs w:val="22"/>
        </w:rPr>
      </w:pPr>
    </w:p>
    <w:p w14:paraId="73185DDE" w14:textId="7A30C77D" w:rsidR="004B0855" w:rsidRPr="00387DDA" w:rsidRDefault="004B0855" w:rsidP="009A5E50">
      <w:pPr>
        <w:pStyle w:val="Prrafodelista"/>
        <w:numPr>
          <w:ilvl w:val="0"/>
          <w:numId w:val="17"/>
        </w:numPr>
        <w:jc w:val="both"/>
        <w:rPr>
          <w:rFonts w:ascii="Verdana" w:hAnsi="Verdana"/>
          <w:bCs/>
          <w:sz w:val="22"/>
          <w:szCs w:val="22"/>
        </w:rPr>
      </w:pPr>
      <w:r>
        <w:rPr>
          <w:rFonts w:ascii="Verdana" w:hAnsi="Verdana"/>
          <w:bCs/>
          <w:sz w:val="22"/>
          <w:szCs w:val="22"/>
        </w:rPr>
        <w:t>L</w:t>
      </w:r>
      <w:r w:rsidRPr="004B0855">
        <w:rPr>
          <w:rFonts w:ascii="Verdana" w:hAnsi="Verdana"/>
          <w:bCs/>
          <w:sz w:val="22"/>
          <w:szCs w:val="22"/>
        </w:rPr>
        <w:t>os Comités de Transmisión y Distribución</w:t>
      </w:r>
      <w:r>
        <w:rPr>
          <w:rFonts w:ascii="Verdana" w:hAnsi="Verdana"/>
          <w:bCs/>
          <w:sz w:val="22"/>
          <w:szCs w:val="22"/>
        </w:rPr>
        <w:t xml:space="preserve"> del Consejo</w:t>
      </w:r>
      <w:r w:rsidRPr="004B0855">
        <w:rPr>
          <w:rFonts w:ascii="Verdana" w:hAnsi="Verdana"/>
          <w:bCs/>
          <w:sz w:val="22"/>
          <w:szCs w:val="22"/>
        </w:rPr>
        <w:t xml:space="preserve"> </w:t>
      </w:r>
      <w:r>
        <w:rPr>
          <w:rFonts w:ascii="Verdana" w:hAnsi="Verdana"/>
          <w:bCs/>
          <w:sz w:val="22"/>
          <w:szCs w:val="22"/>
        </w:rPr>
        <w:t>formularon</w:t>
      </w:r>
      <w:r w:rsidRPr="004B0855">
        <w:rPr>
          <w:rFonts w:ascii="Verdana" w:hAnsi="Verdana"/>
          <w:bCs/>
          <w:sz w:val="22"/>
          <w:szCs w:val="22"/>
        </w:rPr>
        <w:t xml:space="preserve"> una comunicación de comentarios a la Resolución CREG 100 de 2019, “</w:t>
      </w:r>
      <w:r w:rsidRPr="004B0855">
        <w:rPr>
          <w:rFonts w:ascii="Verdana" w:hAnsi="Verdana"/>
          <w:bCs/>
          <w:i/>
          <w:iCs/>
          <w:sz w:val="22"/>
          <w:szCs w:val="22"/>
        </w:rPr>
        <w:t>por la cual se proponen modificaciones a las Resoluciones CREG 025 de 1995 y CREG 063 de 2000 y se establecen otras disposiciones</w:t>
      </w:r>
      <w:r w:rsidRPr="004B0855">
        <w:rPr>
          <w:rFonts w:ascii="Verdana" w:hAnsi="Verdana"/>
          <w:bCs/>
          <w:sz w:val="22"/>
          <w:szCs w:val="22"/>
        </w:rPr>
        <w:t>”. Las observaciones se enmarcar</w:t>
      </w:r>
      <w:r>
        <w:rPr>
          <w:rFonts w:ascii="Verdana" w:hAnsi="Verdana"/>
          <w:bCs/>
          <w:sz w:val="22"/>
          <w:szCs w:val="22"/>
        </w:rPr>
        <w:t>o</w:t>
      </w:r>
      <w:r w:rsidRPr="004B0855">
        <w:rPr>
          <w:rFonts w:ascii="Verdana" w:hAnsi="Verdana"/>
          <w:bCs/>
          <w:sz w:val="22"/>
          <w:szCs w:val="22"/>
        </w:rPr>
        <w:t xml:space="preserve">n en la importancia de vincular a las cargas especiales en los procesos de pronósticos de la demanda, asignar adecuadamente el costo de las restricciones a los agentes que las causen, y llamar la atención sobre el enfoque de penalizar los mantenimientos por fuera de la franja 10:00 pm – 6:00 am. </w:t>
      </w:r>
      <w:r w:rsidRPr="00387DDA">
        <w:rPr>
          <w:rFonts w:ascii="Verdana" w:hAnsi="Verdana"/>
          <w:bCs/>
          <w:sz w:val="22"/>
          <w:szCs w:val="22"/>
        </w:rPr>
        <w:t xml:space="preserve">La carta puede ser consultada en la página web del CNO. </w:t>
      </w:r>
    </w:p>
    <w:p w14:paraId="5D6818C5" w14:textId="77777777" w:rsidR="004B0855" w:rsidRPr="004B0855" w:rsidRDefault="004B0855" w:rsidP="009A5E50">
      <w:pPr>
        <w:pStyle w:val="Prrafodelista"/>
        <w:jc w:val="both"/>
        <w:rPr>
          <w:rFonts w:ascii="Verdana" w:hAnsi="Verdana"/>
          <w:bCs/>
          <w:sz w:val="22"/>
          <w:szCs w:val="22"/>
        </w:rPr>
      </w:pPr>
    </w:p>
    <w:p w14:paraId="5BB8A5DF" w14:textId="1553CD6A" w:rsidR="003561F1" w:rsidRDefault="004B3AB5" w:rsidP="009A5E50">
      <w:pPr>
        <w:pStyle w:val="Prrafodelista"/>
        <w:numPr>
          <w:ilvl w:val="0"/>
          <w:numId w:val="17"/>
        </w:numPr>
        <w:jc w:val="both"/>
        <w:rPr>
          <w:rFonts w:ascii="Verdana" w:hAnsi="Verdana"/>
          <w:bCs/>
          <w:sz w:val="22"/>
          <w:szCs w:val="22"/>
        </w:rPr>
      </w:pPr>
      <w:r w:rsidRPr="003561F1">
        <w:rPr>
          <w:rFonts w:ascii="Verdana" w:hAnsi="Verdana"/>
          <w:bCs/>
          <w:sz w:val="22"/>
          <w:szCs w:val="22"/>
        </w:rPr>
        <w:t xml:space="preserve">Se </w:t>
      </w:r>
      <w:r w:rsidR="004B0855" w:rsidRPr="003561F1">
        <w:rPr>
          <w:rFonts w:ascii="Verdana" w:hAnsi="Verdana"/>
          <w:bCs/>
          <w:sz w:val="22"/>
          <w:szCs w:val="22"/>
        </w:rPr>
        <w:t>llevó a cabo la primera reunión CNO-CND-UPME para revisar las tareas asignadas por la CREG al Consejo</w:t>
      </w:r>
      <w:r w:rsidR="003561F1" w:rsidRPr="003561F1">
        <w:rPr>
          <w:rFonts w:ascii="Verdana" w:hAnsi="Verdana"/>
          <w:bCs/>
          <w:sz w:val="22"/>
          <w:szCs w:val="22"/>
        </w:rPr>
        <w:t>,</w:t>
      </w:r>
      <w:r w:rsidR="004B0855" w:rsidRPr="003561F1">
        <w:rPr>
          <w:rFonts w:ascii="Verdana" w:hAnsi="Verdana"/>
          <w:bCs/>
          <w:sz w:val="22"/>
          <w:szCs w:val="22"/>
        </w:rPr>
        <w:t xml:space="preserve"> </w:t>
      </w:r>
      <w:r w:rsidR="003561F1" w:rsidRPr="003561F1">
        <w:rPr>
          <w:rFonts w:ascii="Verdana" w:hAnsi="Verdana"/>
          <w:bCs/>
          <w:sz w:val="22"/>
          <w:szCs w:val="22"/>
        </w:rPr>
        <w:t>con</w:t>
      </w:r>
      <w:r w:rsidR="004B0855" w:rsidRPr="003561F1">
        <w:rPr>
          <w:rFonts w:ascii="Verdana" w:hAnsi="Verdana"/>
          <w:bCs/>
          <w:sz w:val="22"/>
          <w:szCs w:val="22"/>
        </w:rPr>
        <w:t xml:space="preserve"> relación a </w:t>
      </w:r>
      <w:r w:rsidR="003561F1" w:rsidRPr="003561F1">
        <w:rPr>
          <w:rFonts w:ascii="Verdana" w:hAnsi="Verdana"/>
          <w:bCs/>
          <w:sz w:val="22"/>
          <w:szCs w:val="22"/>
        </w:rPr>
        <w:t>la incorporación del almacenamiento electroquímico en el SIN</w:t>
      </w:r>
      <w:r w:rsidR="004B0855" w:rsidRPr="003561F1">
        <w:rPr>
          <w:rFonts w:ascii="Verdana" w:hAnsi="Verdana"/>
          <w:bCs/>
          <w:sz w:val="22"/>
          <w:szCs w:val="22"/>
        </w:rPr>
        <w:t xml:space="preserve">, específicamente </w:t>
      </w:r>
      <w:r w:rsidR="003561F1">
        <w:rPr>
          <w:rFonts w:ascii="Verdana" w:hAnsi="Verdana"/>
          <w:bCs/>
          <w:sz w:val="22"/>
          <w:szCs w:val="22"/>
        </w:rPr>
        <w:t>la</w:t>
      </w:r>
      <w:r w:rsidR="004B0855" w:rsidRPr="003561F1">
        <w:rPr>
          <w:rFonts w:ascii="Verdana" w:hAnsi="Verdana"/>
          <w:bCs/>
          <w:sz w:val="22"/>
          <w:szCs w:val="22"/>
        </w:rPr>
        <w:t xml:space="preserve"> defin</w:t>
      </w:r>
      <w:r w:rsidR="003561F1">
        <w:rPr>
          <w:rFonts w:ascii="Verdana" w:hAnsi="Verdana"/>
          <w:bCs/>
          <w:sz w:val="22"/>
          <w:szCs w:val="22"/>
        </w:rPr>
        <w:t>ición de</w:t>
      </w:r>
      <w:r w:rsidR="004B0855" w:rsidRPr="003561F1">
        <w:rPr>
          <w:rFonts w:ascii="Verdana" w:hAnsi="Verdana"/>
          <w:bCs/>
          <w:sz w:val="22"/>
          <w:szCs w:val="22"/>
        </w:rPr>
        <w:t xml:space="preserve"> las condiciones de conexión y pruebas que deben cumplir los dispositivos SAEB.</w:t>
      </w:r>
      <w:r w:rsidR="003561F1" w:rsidRPr="003561F1">
        <w:rPr>
          <w:rFonts w:ascii="Verdana" w:hAnsi="Verdana"/>
          <w:bCs/>
          <w:sz w:val="22"/>
          <w:szCs w:val="22"/>
        </w:rPr>
        <w:t xml:space="preserve"> Al respecto, se acordó enviar comunicación a la CREG para establecer </w:t>
      </w:r>
      <w:r w:rsidR="003561F1">
        <w:rPr>
          <w:rFonts w:ascii="Verdana" w:hAnsi="Verdana"/>
          <w:bCs/>
          <w:sz w:val="22"/>
          <w:szCs w:val="22"/>
        </w:rPr>
        <w:t>si los</w:t>
      </w:r>
      <w:r w:rsidR="003561F1" w:rsidRPr="003561F1">
        <w:rPr>
          <w:rFonts w:ascii="Verdana" w:hAnsi="Verdana"/>
          <w:bCs/>
          <w:sz w:val="22"/>
          <w:szCs w:val="22"/>
        </w:rPr>
        <w:t xml:space="preserve"> </w:t>
      </w:r>
      <w:r w:rsidR="003561F1" w:rsidRPr="003561F1">
        <w:rPr>
          <w:rFonts w:ascii="Verdana" w:hAnsi="Verdana"/>
          <w:bCs/>
          <w:sz w:val="22"/>
          <w:szCs w:val="22"/>
        </w:rPr>
        <w:lastRenderedPageBreak/>
        <w:t>literales a) y h) del Artículo 11</w:t>
      </w:r>
      <w:r w:rsidR="003561F1">
        <w:rPr>
          <w:rFonts w:ascii="Verdana" w:hAnsi="Verdana"/>
          <w:bCs/>
          <w:sz w:val="22"/>
          <w:szCs w:val="22"/>
        </w:rPr>
        <w:t xml:space="preserve"> de la Resolución CREG 098 de 2019</w:t>
      </w:r>
      <w:r w:rsidR="002C66AB">
        <w:rPr>
          <w:rFonts w:ascii="Verdana" w:hAnsi="Verdana"/>
          <w:bCs/>
          <w:sz w:val="22"/>
          <w:szCs w:val="22"/>
        </w:rPr>
        <w:t>,</w:t>
      </w:r>
      <w:r w:rsidR="003561F1" w:rsidRPr="003561F1">
        <w:rPr>
          <w:rFonts w:ascii="Verdana" w:hAnsi="Verdana"/>
          <w:bCs/>
          <w:sz w:val="22"/>
          <w:szCs w:val="22"/>
        </w:rPr>
        <w:t xml:space="preserve"> </w:t>
      </w:r>
      <w:r w:rsidR="003561F1">
        <w:rPr>
          <w:rFonts w:ascii="Verdana" w:hAnsi="Verdana"/>
          <w:bCs/>
          <w:sz w:val="22"/>
          <w:szCs w:val="22"/>
        </w:rPr>
        <w:t xml:space="preserve">le </w:t>
      </w:r>
      <w:r w:rsidR="003561F1" w:rsidRPr="003561F1">
        <w:rPr>
          <w:rFonts w:ascii="Verdana" w:hAnsi="Verdana"/>
          <w:bCs/>
          <w:sz w:val="22"/>
          <w:szCs w:val="22"/>
        </w:rPr>
        <w:t xml:space="preserve">permitirían </w:t>
      </w:r>
      <w:r w:rsidR="003561F1">
        <w:rPr>
          <w:rFonts w:ascii="Verdana" w:hAnsi="Verdana"/>
          <w:bCs/>
          <w:sz w:val="22"/>
          <w:szCs w:val="22"/>
        </w:rPr>
        <w:t>a la UPME definir</w:t>
      </w:r>
      <w:r w:rsidR="003561F1" w:rsidRPr="003561F1">
        <w:rPr>
          <w:rFonts w:ascii="Verdana" w:hAnsi="Verdana"/>
          <w:bCs/>
          <w:sz w:val="22"/>
          <w:szCs w:val="22"/>
        </w:rPr>
        <w:t xml:space="preserve"> funciones adicionales</w:t>
      </w:r>
      <w:r w:rsidR="003561F1">
        <w:rPr>
          <w:rFonts w:ascii="Verdana" w:hAnsi="Verdana"/>
          <w:bCs/>
          <w:sz w:val="22"/>
          <w:szCs w:val="22"/>
        </w:rPr>
        <w:t xml:space="preserve"> </w:t>
      </w:r>
      <w:r w:rsidR="003561F1" w:rsidRPr="003561F1">
        <w:rPr>
          <w:rFonts w:ascii="Verdana" w:hAnsi="Verdana"/>
          <w:bCs/>
          <w:sz w:val="22"/>
          <w:szCs w:val="22"/>
        </w:rPr>
        <w:t xml:space="preserve">a </w:t>
      </w:r>
      <w:r w:rsidR="003561F1">
        <w:rPr>
          <w:rFonts w:ascii="Verdana" w:hAnsi="Verdana"/>
          <w:bCs/>
          <w:sz w:val="22"/>
          <w:szCs w:val="22"/>
        </w:rPr>
        <w:t xml:space="preserve">los servicios de red. </w:t>
      </w:r>
      <w:r w:rsidR="003561F1" w:rsidRPr="003561F1">
        <w:rPr>
          <w:rFonts w:ascii="Verdana" w:hAnsi="Verdana"/>
          <w:bCs/>
          <w:sz w:val="22"/>
          <w:szCs w:val="22"/>
        </w:rPr>
        <w:t xml:space="preserve">Es decir, </w:t>
      </w:r>
      <w:r w:rsidR="003561F1">
        <w:rPr>
          <w:rFonts w:ascii="Verdana" w:hAnsi="Verdana"/>
          <w:bCs/>
          <w:sz w:val="22"/>
          <w:szCs w:val="22"/>
        </w:rPr>
        <w:t xml:space="preserve">si se </w:t>
      </w:r>
      <w:r w:rsidR="003561F1" w:rsidRPr="003561F1">
        <w:rPr>
          <w:rFonts w:ascii="Verdana" w:hAnsi="Verdana"/>
          <w:bCs/>
          <w:sz w:val="22"/>
          <w:szCs w:val="22"/>
        </w:rPr>
        <w:t>podría especificar dentro de los Documentos de Selección del Inversionista-DSI</w:t>
      </w:r>
      <w:r w:rsidR="003561F1">
        <w:rPr>
          <w:rFonts w:ascii="Verdana" w:hAnsi="Verdana"/>
          <w:bCs/>
          <w:sz w:val="22"/>
          <w:szCs w:val="22"/>
        </w:rPr>
        <w:t xml:space="preserve"> </w:t>
      </w:r>
      <w:r w:rsidR="003561F1" w:rsidRPr="003561F1">
        <w:rPr>
          <w:rFonts w:ascii="Verdana" w:hAnsi="Verdana"/>
          <w:bCs/>
          <w:sz w:val="22"/>
          <w:szCs w:val="22"/>
        </w:rPr>
        <w:t xml:space="preserve">aplicaciones </w:t>
      </w:r>
      <w:r w:rsidR="003561F1">
        <w:rPr>
          <w:rFonts w:ascii="Verdana" w:hAnsi="Verdana"/>
          <w:bCs/>
          <w:sz w:val="22"/>
          <w:szCs w:val="22"/>
        </w:rPr>
        <w:t>adicionales co</w:t>
      </w:r>
      <w:r w:rsidR="003561F1" w:rsidRPr="003561F1">
        <w:rPr>
          <w:rFonts w:ascii="Verdana" w:hAnsi="Verdana"/>
          <w:bCs/>
          <w:sz w:val="22"/>
          <w:szCs w:val="22"/>
        </w:rPr>
        <w:t xml:space="preserve">mo la regulación de frecuencia, </w:t>
      </w:r>
      <w:r w:rsidR="002C66AB">
        <w:rPr>
          <w:rFonts w:ascii="Verdana" w:hAnsi="Verdana"/>
          <w:bCs/>
          <w:sz w:val="22"/>
          <w:szCs w:val="22"/>
        </w:rPr>
        <w:t>el “</w:t>
      </w:r>
      <w:r w:rsidR="003561F1" w:rsidRPr="003561F1">
        <w:rPr>
          <w:rFonts w:ascii="Verdana" w:hAnsi="Verdana"/>
          <w:bCs/>
          <w:sz w:val="22"/>
          <w:szCs w:val="22"/>
        </w:rPr>
        <w:t>aplanamiento</w:t>
      </w:r>
      <w:r w:rsidR="002C66AB">
        <w:rPr>
          <w:rFonts w:ascii="Verdana" w:hAnsi="Verdana"/>
          <w:bCs/>
          <w:sz w:val="22"/>
          <w:szCs w:val="22"/>
        </w:rPr>
        <w:t>”</w:t>
      </w:r>
      <w:r w:rsidR="003561F1" w:rsidRPr="003561F1">
        <w:rPr>
          <w:rFonts w:ascii="Verdana" w:hAnsi="Verdana"/>
          <w:bCs/>
          <w:sz w:val="22"/>
          <w:szCs w:val="22"/>
        </w:rPr>
        <w:t xml:space="preserve"> de la curva de carga, </w:t>
      </w:r>
      <w:r w:rsidR="002C66AB">
        <w:rPr>
          <w:rFonts w:ascii="Verdana" w:hAnsi="Verdana"/>
          <w:bCs/>
          <w:sz w:val="22"/>
          <w:szCs w:val="22"/>
        </w:rPr>
        <w:t xml:space="preserve">incrementar la </w:t>
      </w:r>
      <w:r w:rsidR="003561F1" w:rsidRPr="003561F1">
        <w:rPr>
          <w:rFonts w:ascii="Verdana" w:hAnsi="Verdana"/>
          <w:bCs/>
          <w:sz w:val="22"/>
          <w:szCs w:val="22"/>
        </w:rPr>
        <w:t>firmeza de fuentes intermitentes, entre otras</w:t>
      </w:r>
      <w:r w:rsidR="003561F1">
        <w:rPr>
          <w:rFonts w:ascii="Verdana" w:hAnsi="Verdana"/>
          <w:bCs/>
          <w:sz w:val="22"/>
          <w:szCs w:val="22"/>
        </w:rPr>
        <w:t xml:space="preserve">. </w:t>
      </w:r>
    </w:p>
    <w:p w14:paraId="72817860" w14:textId="77777777" w:rsidR="003561F1" w:rsidRPr="003561F1" w:rsidRDefault="003561F1" w:rsidP="009A5E50">
      <w:pPr>
        <w:pStyle w:val="Prrafodelista"/>
        <w:jc w:val="both"/>
        <w:rPr>
          <w:rFonts w:ascii="Verdana" w:hAnsi="Verdana"/>
          <w:bCs/>
          <w:sz w:val="22"/>
          <w:szCs w:val="22"/>
        </w:rPr>
      </w:pPr>
    </w:p>
    <w:p w14:paraId="60DF5309" w14:textId="6434402D" w:rsidR="003561F1" w:rsidRPr="003561F1" w:rsidRDefault="003561F1" w:rsidP="009A5E50">
      <w:pPr>
        <w:pStyle w:val="Prrafodelista"/>
        <w:ind w:left="360"/>
        <w:jc w:val="both"/>
        <w:rPr>
          <w:rFonts w:ascii="Verdana" w:hAnsi="Verdana"/>
          <w:bCs/>
          <w:sz w:val="22"/>
          <w:szCs w:val="22"/>
        </w:rPr>
      </w:pPr>
      <w:r>
        <w:rPr>
          <w:rFonts w:ascii="Verdana" w:hAnsi="Verdana"/>
          <w:bCs/>
          <w:sz w:val="22"/>
          <w:szCs w:val="22"/>
        </w:rPr>
        <w:t xml:space="preserve">Es importante mencionar que </w:t>
      </w:r>
      <w:r w:rsidR="002C66AB">
        <w:rPr>
          <w:rFonts w:ascii="Verdana" w:hAnsi="Verdana"/>
          <w:bCs/>
          <w:sz w:val="22"/>
          <w:szCs w:val="22"/>
        </w:rPr>
        <w:t xml:space="preserve">las funciones definidas por la UPME en los DSI son fundamentales para que el CNO, de manera transitoria, determine vía Acuerdo las condiciones de conexión y pruebas de los dispositivos SAEB.  </w:t>
      </w:r>
      <w:r w:rsidR="00185CE1">
        <w:rPr>
          <w:rFonts w:ascii="Verdana" w:hAnsi="Verdana"/>
          <w:bCs/>
          <w:sz w:val="22"/>
          <w:szCs w:val="22"/>
        </w:rPr>
        <w:t xml:space="preserve"> </w:t>
      </w:r>
    </w:p>
    <w:p w14:paraId="50E4E099" w14:textId="77777777" w:rsidR="00185CE1" w:rsidRDefault="00185CE1" w:rsidP="009A5E50">
      <w:pPr>
        <w:pStyle w:val="Prrafodelista"/>
        <w:ind w:left="360"/>
        <w:jc w:val="both"/>
        <w:rPr>
          <w:rFonts w:ascii="Verdana" w:hAnsi="Verdana"/>
          <w:bCs/>
          <w:sz w:val="22"/>
          <w:szCs w:val="22"/>
        </w:rPr>
      </w:pPr>
    </w:p>
    <w:p w14:paraId="23AB07FE" w14:textId="5EB98319" w:rsidR="00185CE1" w:rsidRDefault="004B3AB5" w:rsidP="009A5E50">
      <w:pPr>
        <w:pStyle w:val="Prrafodelista"/>
        <w:numPr>
          <w:ilvl w:val="0"/>
          <w:numId w:val="17"/>
        </w:numPr>
        <w:jc w:val="both"/>
        <w:rPr>
          <w:rFonts w:ascii="Verdana" w:hAnsi="Verdana"/>
          <w:bCs/>
          <w:sz w:val="22"/>
          <w:szCs w:val="22"/>
        </w:rPr>
      </w:pPr>
      <w:r w:rsidRPr="00F935AA">
        <w:rPr>
          <w:rFonts w:ascii="Verdana" w:hAnsi="Verdana"/>
          <w:bCs/>
          <w:sz w:val="22"/>
          <w:szCs w:val="22"/>
        </w:rPr>
        <w:t>E</w:t>
      </w:r>
      <w:r w:rsidR="006F4547" w:rsidRPr="00F935AA">
        <w:rPr>
          <w:rFonts w:ascii="Verdana" w:hAnsi="Verdana"/>
          <w:bCs/>
          <w:sz w:val="22"/>
          <w:szCs w:val="22"/>
        </w:rPr>
        <w:t>l</w:t>
      </w:r>
      <w:r w:rsidRPr="00F935AA">
        <w:rPr>
          <w:rFonts w:ascii="Verdana" w:hAnsi="Verdana"/>
          <w:bCs/>
          <w:sz w:val="22"/>
          <w:szCs w:val="22"/>
        </w:rPr>
        <w:t xml:space="preserve"> </w:t>
      </w:r>
      <w:r w:rsidR="00E133A3">
        <w:rPr>
          <w:rFonts w:ascii="Verdana" w:hAnsi="Verdana"/>
          <w:bCs/>
          <w:sz w:val="22"/>
          <w:szCs w:val="22"/>
        </w:rPr>
        <w:t>S</w:t>
      </w:r>
      <w:r w:rsidRPr="00F935AA">
        <w:rPr>
          <w:rFonts w:ascii="Verdana" w:hAnsi="Verdana"/>
          <w:bCs/>
          <w:sz w:val="22"/>
          <w:szCs w:val="22"/>
        </w:rPr>
        <w:t>ubcomité de Controles</w:t>
      </w:r>
      <w:r w:rsidR="006F4547" w:rsidRPr="00F935AA">
        <w:rPr>
          <w:rFonts w:ascii="Verdana" w:hAnsi="Verdana"/>
          <w:bCs/>
          <w:sz w:val="22"/>
          <w:szCs w:val="22"/>
        </w:rPr>
        <w:t xml:space="preserve"> del CNO</w:t>
      </w:r>
      <w:r w:rsidRPr="00F935AA">
        <w:rPr>
          <w:rFonts w:ascii="Verdana" w:hAnsi="Verdana"/>
          <w:bCs/>
          <w:sz w:val="22"/>
          <w:szCs w:val="22"/>
        </w:rPr>
        <w:t xml:space="preserve"> </w:t>
      </w:r>
      <w:r w:rsidR="00E133A3">
        <w:rPr>
          <w:rFonts w:ascii="Verdana" w:hAnsi="Verdana"/>
          <w:bCs/>
          <w:sz w:val="22"/>
          <w:szCs w:val="22"/>
        </w:rPr>
        <w:t>terminó la propuesta de</w:t>
      </w:r>
      <w:r w:rsidR="00387DDA">
        <w:rPr>
          <w:rFonts w:ascii="Verdana" w:hAnsi="Verdana"/>
          <w:bCs/>
          <w:sz w:val="22"/>
          <w:szCs w:val="22"/>
        </w:rPr>
        <w:t xml:space="preserve"> </w:t>
      </w:r>
      <w:r w:rsidRPr="00F935AA">
        <w:rPr>
          <w:rFonts w:ascii="Verdana" w:hAnsi="Verdana"/>
          <w:bCs/>
          <w:sz w:val="22"/>
          <w:szCs w:val="22"/>
        </w:rPr>
        <w:t xml:space="preserve">Acuerdo </w:t>
      </w:r>
      <w:r w:rsidR="0046776D" w:rsidRPr="00F935AA">
        <w:rPr>
          <w:rFonts w:ascii="Verdana" w:hAnsi="Verdana"/>
          <w:bCs/>
          <w:sz w:val="22"/>
          <w:szCs w:val="22"/>
        </w:rPr>
        <w:t xml:space="preserve">de validación de </w:t>
      </w:r>
      <w:r w:rsidRPr="00F935AA">
        <w:rPr>
          <w:rFonts w:ascii="Verdana" w:hAnsi="Verdana"/>
          <w:bCs/>
          <w:sz w:val="22"/>
          <w:szCs w:val="22"/>
        </w:rPr>
        <w:t>los modelos RMS de las plantas eólicas y solares fotovoltaicas conectadas en el STR y STN</w:t>
      </w:r>
      <w:r w:rsidR="00466B8F" w:rsidRPr="00F935AA">
        <w:rPr>
          <w:rFonts w:ascii="Verdana" w:hAnsi="Verdana"/>
          <w:bCs/>
          <w:sz w:val="22"/>
          <w:szCs w:val="22"/>
        </w:rPr>
        <w:t>,</w:t>
      </w:r>
      <w:r w:rsidR="006F4547" w:rsidRPr="00F935AA">
        <w:rPr>
          <w:rFonts w:ascii="Verdana" w:hAnsi="Verdana"/>
          <w:bCs/>
          <w:sz w:val="22"/>
          <w:szCs w:val="22"/>
        </w:rPr>
        <w:t xml:space="preserve"> en el marco de las tareas asignadas al Consejo </w:t>
      </w:r>
      <w:r w:rsidR="00F935AA">
        <w:rPr>
          <w:rFonts w:ascii="Verdana" w:hAnsi="Verdana"/>
          <w:bCs/>
          <w:sz w:val="22"/>
          <w:szCs w:val="22"/>
        </w:rPr>
        <w:t>por</w:t>
      </w:r>
      <w:r w:rsidR="006F4547" w:rsidRPr="00F935AA">
        <w:rPr>
          <w:rFonts w:ascii="Verdana" w:hAnsi="Verdana"/>
          <w:bCs/>
          <w:sz w:val="22"/>
          <w:szCs w:val="22"/>
        </w:rPr>
        <w:t xml:space="preserve"> la Resolución CREG 060 de 2019.</w:t>
      </w:r>
      <w:r w:rsidR="00F935AA" w:rsidRPr="00F935AA">
        <w:rPr>
          <w:rFonts w:ascii="Verdana" w:hAnsi="Verdana"/>
          <w:bCs/>
          <w:sz w:val="22"/>
          <w:szCs w:val="22"/>
        </w:rPr>
        <w:t xml:space="preserve"> Se convocará para la próxima semana un CNO no presencial para la expedición de este Acuerdo</w:t>
      </w:r>
      <w:r w:rsidR="00F935AA">
        <w:rPr>
          <w:rFonts w:ascii="Verdana" w:hAnsi="Verdana"/>
          <w:bCs/>
          <w:sz w:val="22"/>
          <w:szCs w:val="22"/>
        </w:rPr>
        <w:t xml:space="preserve">, ya que el plazo regulatorio para la culminación de </w:t>
      </w:r>
      <w:r w:rsidR="00D43B4D">
        <w:rPr>
          <w:rFonts w:ascii="Verdana" w:hAnsi="Verdana"/>
          <w:bCs/>
          <w:sz w:val="22"/>
          <w:szCs w:val="22"/>
        </w:rPr>
        <w:t>est</w:t>
      </w:r>
      <w:r w:rsidR="00F935AA">
        <w:rPr>
          <w:rFonts w:ascii="Verdana" w:hAnsi="Verdana"/>
          <w:bCs/>
          <w:sz w:val="22"/>
          <w:szCs w:val="22"/>
        </w:rPr>
        <w:t>a tarea es el 13 de noviembre</w:t>
      </w:r>
      <w:r w:rsidR="00F935AA" w:rsidRPr="00F935AA">
        <w:rPr>
          <w:rFonts w:ascii="Verdana" w:hAnsi="Verdana"/>
          <w:bCs/>
          <w:sz w:val="22"/>
          <w:szCs w:val="22"/>
        </w:rPr>
        <w:t>.</w:t>
      </w:r>
      <w:r w:rsidR="00F935AA">
        <w:rPr>
          <w:rFonts w:ascii="Verdana" w:hAnsi="Verdana"/>
          <w:bCs/>
          <w:sz w:val="22"/>
          <w:szCs w:val="22"/>
        </w:rPr>
        <w:t xml:space="preserve"> </w:t>
      </w:r>
      <w:r w:rsidR="00F935AA" w:rsidRPr="00F935AA">
        <w:rPr>
          <w:rFonts w:ascii="Verdana" w:hAnsi="Verdana"/>
          <w:bCs/>
          <w:sz w:val="22"/>
          <w:szCs w:val="22"/>
        </w:rPr>
        <w:t xml:space="preserve"> </w:t>
      </w:r>
    </w:p>
    <w:p w14:paraId="161D7248" w14:textId="77777777" w:rsidR="00F935AA" w:rsidRPr="00F935AA" w:rsidRDefault="00F935AA" w:rsidP="009A5E50">
      <w:pPr>
        <w:pStyle w:val="Prrafodelista"/>
        <w:ind w:left="360"/>
        <w:jc w:val="both"/>
        <w:rPr>
          <w:rFonts w:ascii="Verdana" w:hAnsi="Verdana"/>
          <w:bCs/>
          <w:sz w:val="22"/>
          <w:szCs w:val="22"/>
        </w:rPr>
      </w:pPr>
    </w:p>
    <w:p w14:paraId="6C148D3D" w14:textId="56232D33" w:rsidR="00D72C94" w:rsidRPr="00CA3DFD" w:rsidRDefault="0008226B" w:rsidP="009A5E50">
      <w:pPr>
        <w:pStyle w:val="Prrafodelista"/>
        <w:numPr>
          <w:ilvl w:val="0"/>
          <w:numId w:val="17"/>
        </w:numPr>
        <w:jc w:val="both"/>
        <w:rPr>
          <w:rFonts w:ascii="Verdana" w:hAnsi="Verdana"/>
          <w:bCs/>
          <w:sz w:val="22"/>
          <w:szCs w:val="22"/>
        </w:rPr>
      </w:pPr>
      <w:r w:rsidRPr="00185CE1">
        <w:rPr>
          <w:rFonts w:ascii="Verdana" w:hAnsi="Verdana"/>
          <w:bCs/>
          <w:sz w:val="22"/>
          <w:szCs w:val="22"/>
        </w:rPr>
        <w:t>Se llevó a cabo una reunión CREG-CNO para estudiar la posibilidad de actualizar el Acuerdo 1071, el cual establece los requerimientos de protección de los sistemas de generación con capacidad menor a 5 MW</w:t>
      </w:r>
      <w:r w:rsidR="00CA3DFD">
        <w:rPr>
          <w:rFonts w:ascii="Verdana" w:hAnsi="Verdana"/>
          <w:bCs/>
          <w:sz w:val="22"/>
          <w:szCs w:val="22"/>
        </w:rPr>
        <w:t>,</w:t>
      </w:r>
      <w:r w:rsidR="00CF6FB0">
        <w:rPr>
          <w:rFonts w:ascii="Verdana" w:hAnsi="Verdana"/>
          <w:bCs/>
          <w:sz w:val="22"/>
          <w:szCs w:val="22"/>
        </w:rPr>
        <w:t xml:space="preserve"> en el marco de la Resolución CREG 030 de 2018</w:t>
      </w:r>
      <w:r w:rsidRPr="00185CE1">
        <w:rPr>
          <w:rFonts w:ascii="Verdana" w:hAnsi="Verdana"/>
          <w:bCs/>
          <w:sz w:val="22"/>
          <w:szCs w:val="22"/>
        </w:rPr>
        <w:t>. Se acordó que, una vez la CREG emita su concepto (definir condiciones más allá del punto de conexión</w:t>
      </w:r>
      <w:r w:rsidR="00B34C7C">
        <w:rPr>
          <w:rFonts w:ascii="Verdana" w:hAnsi="Verdana"/>
          <w:bCs/>
          <w:sz w:val="22"/>
          <w:szCs w:val="22"/>
        </w:rPr>
        <w:t xml:space="preserve"> y ya se recibió</w:t>
      </w:r>
      <w:r w:rsidRPr="00185CE1">
        <w:rPr>
          <w:rFonts w:ascii="Verdana" w:hAnsi="Verdana"/>
          <w:bCs/>
          <w:sz w:val="22"/>
          <w:szCs w:val="22"/>
        </w:rPr>
        <w:t xml:space="preserve">), el referenciado Acuerdo se podría </w:t>
      </w:r>
      <w:r w:rsidR="00EF0B32" w:rsidRPr="00185CE1">
        <w:rPr>
          <w:rFonts w:ascii="Verdana" w:hAnsi="Verdana"/>
          <w:bCs/>
          <w:sz w:val="22"/>
          <w:szCs w:val="22"/>
        </w:rPr>
        <w:t>recomendar al Consejo para su modificación</w:t>
      </w:r>
      <w:r w:rsidR="0023663C" w:rsidRPr="00185CE1">
        <w:rPr>
          <w:rFonts w:ascii="Verdana" w:hAnsi="Verdana"/>
          <w:bCs/>
          <w:sz w:val="22"/>
          <w:szCs w:val="22"/>
        </w:rPr>
        <w:t>.</w:t>
      </w:r>
      <w:r w:rsidRPr="00185CE1">
        <w:rPr>
          <w:rFonts w:ascii="Verdana" w:hAnsi="Verdana"/>
          <w:bCs/>
          <w:sz w:val="22"/>
          <w:szCs w:val="22"/>
        </w:rPr>
        <w:t xml:space="preserve"> Asimismo, </w:t>
      </w:r>
      <w:r w:rsidR="000015C1" w:rsidRPr="00185CE1">
        <w:rPr>
          <w:rFonts w:ascii="Verdana" w:hAnsi="Verdana"/>
          <w:bCs/>
          <w:sz w:val="22"/>
          <w:szCs w:val="22"/>
        </w:rPr>
        <w:t xml:space="preserve">se </w:t>
      </w:r>
      <w:r w:rsidR="0023663C" w:rsidRPr="00185CE1">
        <w:rPr>
          <w:rFonts w:ascii="Verdana" w:hAnsi="Verdana"/>
          <w:bCs/>
          <w:sz w:val="22"/>
          <w:szCs w:val="22"/>
        </w:rPr>
        <w:t>está</w:t>
      </w:r>
      <w:r w:rsidR="000015C1" w:rsidRPr="00185CE1">
        <w:rPr>
          <w:rFonts w:ascii="Verdana" w:hAnsi="Verdana"/>
          <w:bCs/>
          <w:sz w:val="22"/>
          <w:szCs w:val="22"/>
        </w:rPr>
        <w:t xml:space="preserve"> </w:t>
      </w:r>
      <w:r w:rsidRPr="00185CE1">
        <w:rPr>
          <w:rFonts w:ascii="Verdana" w:hAnsi="Verdana"/>
          <w:bCs/>
          <w:sz w:val="22"/>
          <w:szCs w:val="22"/>
        </w:rPr>
        <w:t>elabora</w:t>
      </w:r>
      <w:r w:rsidR="0023663C" w:rsidRPr="00185CE1">
        <w:rPr>
          <w:rFonts w:ascii="Verdana" w:hAnsi="Verdana"/>
          <w:bCs/>
          <w:sz w:val="22"/>
          <w:szCs w:val="22"/>
        </w:rPr>
        <w:t>ndo</w:t>
      </w:r>
      <w:r w:rsidRPr="00185CE1">
        <w:rPr>
          <w:rFonts w:ascii="Verdana" w:hAnsi="Verdana"/>
          <w:bCs/>
          <w:sz w:val="22"/>
          <w:szCs w:val="22"/>
        </w:rPr>
        <w:t xml:space="preserve"> un documento donde se estable</w:t>
      </w:r>
      <w:r w:rsidR="00CA3DFD">
        <w:rPr>
          <w:rFonts w:ascii="Verdana" w:hAnsi="Verdana"/>
          <w:bCs/>
          <w:sz w:val="22"/>
          <w:szCs w:val="22"/>
        </w:rPr>
        <w:t>cen</w:t>
      </w:r>
      <w:r w:rsidR="00E133A3">
        <w:rPr>
          <w:rFonts w:ascii="Verdana" w:hAnsi="Verdana"/>
          <w:bCs/>
          <w:sz w:val="22"/>
          <w:szCs w:val="22"/>
        </w:rPr>
        <w:t xml:space="preserve"> </w:t>
      </w:r>
      <w:r w:rsidR="00E133A3" w:rsidRPr="00185CE1">
        <w:rPr>
          <w:rFonts w:ascii="Verdana" w:hAnsi="Verdana"/>
          <w:bCs/>
          <w:sz w:val="22"/>
          <w:szCs w:val="22"/>
        </w:rPr>
        <w:t>los niveles de riesgos sistémicos</w:t>
      </w:r>
      <w:r w:rsidR="00CA3DFD">
        <w:rPr>
          <w:rFonts w:ascii="Verdana" w:hAnsi="Verdana"/>
          <w:bCs/>
          <w:sz w:val="22"/>
          <w:szCs w:val="22"/>
        </w:rPr>
        <w:t xml:space="preserve"> </w:t>
      </w:r>
      <w:r w:rsidRPr="00185CE1">
        <w:rPr>
          <w:rFonts w:ascii="Verdana" w:hAnsi="Verdana"/>
          <w:bCs/>
          <w:sz w:val="22"/>
          <w:szCs w:val="22"/>
        </w:rPr>
        <w:t xml:space="preserve">para los esquemas </w:t>
      </w:r>
      <w:r w:rsidR="00387DDA">
        <w:rPr>
          <w:rFonts w:ascii="Verdana" w:hAnsi="Verdana"/>
          <w:bCs/>
          <w:sz w:val="22"/>
          <w:szCs w:val="22"/>
        </w:rPr>
        <w:t>r</w:t>
      </w:r>
      <w:r w:rsidR="00CA3DFD">
        <w:rPr>
          <w:rFonts w:ascii="Verdana" w:hAnsi="Verdana"/>
          <w:bCs/>
          <w:sz w:val="22"/>
          <w:szCs w:val="22"/>
        </w:rPr>
        <w:t>ecomendados</w:t>
      </w:r>
      <w:r w:rsidRPr="00185CE1">
        <w:rPr>
          <w:rFonts w:ascii="Verdana" w:hAnsi="Verdana"/>
          <w:bCs/>
          <w:sz w:val="22"/>
          <w:szCs w:val="22"/>
        </w:rPr>
        <w:t xml:space="preserve"> </w:t>
      </w:r>
      <w:r w:rsidR="00ED0285" w:rsidRPr="00185CE1">
        <w:rPr>
          <w:rFonts w:ascii="Verdana" w:hAnsi="Verdana"/>
          <w:bCs/>
          <w:sz w:val="22"/>
          <w:szCs w:val="22"/>
        </w:rPr>
        <w:t xml:space="preserve">y </w:t>
      </w:r>
      <w:r w:rsidRPr="00185CE1">
        <w:rPr>
          <w:rFonts w:ascii="Verdana" w:hAnsi="Verdana"/>
          <w:bCs/>
          <w:sz w:val="22"/>
          <w:szCs w:val="22"/>
        </w:rPr>
        <w:t>por rango de capacidad</w:t>
      </w:r>
      <w:r w:rsidR="00E133A3">
        <w:rPr>
          <w:rFonts w:ascii="Verdana" w:hAnsi="Verdana"/>
          <w:bCs/>
          <w:sz w:val="22"/>
          <w:szCs w:val="22"/>
        </w:rPr>
        <w:t>.</w:t>
      </w:r>
      <w:r w:rsidR="0023663C" w:rsidRPr="00185CE1">
        <w:rPr>
          <w:rFonts w:ascii="Verdana" w:hAnsi="Verdana"/>
          <w:bCs/>
          <w:sz w:val="22"/>
          <w:szCs w:val="22"/>
        </w:rPr>
        <w:t xml:space="preserve"> </w:t>
      </w:r>
    </w:p>
    <w:p w14:paraId="77349AB6" w14:textId="77777777" w:rsidR="00185CE1" w:rsidRPr="00185CE1" w:rsidRDefault="00185CE1" w:rsidP="009A5E50">
      <w:pPr>
        <w:pStyle w:val="Prrafodelista"/>
        <w:jc w:val="both"/>
        <w:rPr>
          <w:rFonts w:ascii="Verdana" w:hAnsi="Verdana"/>
          <w:bCs/>
          <w:sz w:val="22"/>
          <w:szCs w:val="22"/>
        </w:rPr>
      </w:pPr>
    </w:p>
    <w:p w14:paraId="677B82E3" w14:textId="311847FD" w:rsidR="0078188C" w:rsidRDefault="00CA3DFD" w:rsidP="009A5E50">
      <w:pPr>
        <w:pStyle w:val="Prrafodelista"/>
        <w:numPr>
          <w:ilvl w:val="0"/>
          <w:numId w:val="17"/>
        </w:numPr>
        <w:jc w:val="both"/>
        <w:rPr>
          <w:rFonts w:ascii="Verdana" w:hAnsi="Verdana"/>
          <w:bCs/>
          <w:sz w:val="22"/>
          <w:szCs w:val="22"/>
        </w:rPr>
      </w:pPr>
      <w:r>
        <w:rPr>
          <w:rFonts w:ascii="Verdana" w:hAnsi="Verdana"/>
          <w:bCs/>
          <w:sz w:val="22"/>
          <w:szCs w:val="22"/>
        </w:rPr>
        <w:t xml:space="preserve">El Ministerio de Minas y Energía-MINENERGÍA expidió la Resolución </w:t>
      </w:r>
      <w:r w:rsidR="0078188C">
        <w:rPr>
          <w:rFonts w:ascii="Verdana" w:hAnsi="Verdana"/>
          <w:bCs/>
          <w:sz w:val="22"/>
          <w:szCs w:val="22"/>
        </w:rPr>
        <w:t xml:space="preserve">40779 del 21 de octubre del año 2019, </w:t>
      </w:r>
      <w:r w:rsidR="00E133A3">
        <w:rPr>
          <w:rFonts w:ascii="Verdana" w:hAnsi="Verdana"/>
          <w:bCs/>
          <w:sz w:val="22"/>
          <w:szCs w:val="22"/>
        </w:rPr>
        <w:t>que</w:t>
      </w:r>
      <w:r w:rsidR="0078188C">
        <w:rPr>
          <w:rFonts w:ascii="Verdana" w:hAnsi="Verdana"/>
          <w:bCs/>
          <w:sz w:val="22"/>
          <w:szCs w:val="22"/>
        </w:rPr>
        <w:t xml:space="preserve"> adopta el Plan de Expansión de Transmisión 2019-2033</w:t>
      </w:r>
      <w:r w:rsidR="009A1F17">
        <w:rPr>
          <w:rFonts w:ascii="Verdana" w:hAnsi="Verdana"/>
          <w:bCs/>
          <w:sz w:val="22"/>
          <w:szCs w:val="22"/>
        </w:rPr>
        <w:t xml:space="preserve"> de la UPME</w:t>
      </w:r>
      <w:r w:rsidR="0078188C">
        <w:rPr>
          <w:rFonts w:ascii="Verdana" w:hAnsi="Verdana"/>
          <w:bCs/>
          <w:sz w:val="22"/>
          <w:szCs w:val="22"/>
        </w:rPr>
        <w:t xml:space="preserve">. En el Artículo 1 de esa Resolución se </w:t>
      </w:r>
      <w:r w:rsidR="009A1F17">
        <w:rPr>
          <w:rFonts w:ascii="Verdana" w:hAnsi="Verdana"/>
          <w:bCs/>
          <w:sz w:val="22"/>
          <w:szCs w:val="22"/>
        </w:rPr>
        <w:t>recomiendan</w:t>
      </w:r>
      <w:r w:rsidR="0078188C">
        <w:rPr>
          <w:rFonts w:ascii="Verdana" w:hAnsi="Verdana"/>
          <w:bCs/>
          <w:sz w:val="22"/>
          <w:szCs w:val="22"/>
        </w:rPr>
        <w:t xml:space="preserve"> las siguientes obras:</w:t>
      </w:r>
    </w:p>
    <w:p w14:paraId="085931EF" w14:textId="77777777" w:rsidR="0078188C" w:rsidRPr="0078188C" w:rsidRDefault="0078188C" w:rsidP="009A5E50">
      <w:pPr>
        <w:pStyle w:val="Prrafodelista"/>
        <w:jc w:val="both"/>
        <w:rPr>
          <w:rFonts w:ascii="Verdana" w:hAnsi="Verdana"/>
          <w:bCs/>
          <w:sz w:val="22"/>
          <w:szCs w:val="22"/>
        </w:rPr>
      </w:pPr>
    </w:p>
    <w:p w14:paraId="584E5ADF" w14:textId="20C190A9" w:rsidR="0078188C" w:rsidRDefault="0078188C" w:rsidP="009A5E50">
      <w:pPr>
        <w:pStyle w:val="Prrafodelista"/>
        <w:numPr>
          <w:ilvl w:val="1"/>
          <w:numId w:val="17"/>
        </w:numPr>
        <w:jc w:val="both"/>
        <w:rPr>
          <w:rFonts w:ascii="Verdana" w:hAnsi="Verdana"/>
          <w:bCs/>
          <w:sz w:val="22"/>
          <w:szCs w:val="22"/>
        </w:rPr>
      </w:pPr>
      <w:r>
        <w:rPr>
          <w:rFonts w:ascii="Verdana" w:hAnsi="Verdana"/>
          <w:bCs/>
          <w:sz w:val="22"/>
          <w:szCs w:val="22"/>
        </w:rPr>
        <w:t>Segundo circuito Cuestecitas-Copey 500 kV, cuya fecha de entrada en operación, a más tardar, es el mes de agosto del año 2022.</w:t>
      </w:r>
    </w:p>
    <w:p w14:paraId="190F336D" w14:textId="0AB052A9" w:rsidR="00185CE1" w:rsidRDefault="0078188C" w:rsidP="009A5E50">
      <w:pPr>
        <w:pStyle w:val="Prrafodelista"/>
        <w:numPr>
          <w:ilvl w:val="1"/>
          <w:numId w:val="17"/>
        </w:numPr>
        <w:jc w:val="both"/>
        <w:rPr>
          <w:rFonts w:ascii="Verdana" w:hAnsi="Verdana"/>
          <w:bCs/>
          <w:sz w:val="22"/>
          <w:szCs w:val="22"/>
        </w:rPr>
      </w:pPr>
      <w:r>
        <w:rPr>
          <w:rFonts w:ascii="Verdana" w:hAnsi="Verdana"/>
          <w:bCs/>
          <w:sz w:val="22"/>
          <w:szCs w:val="22"/>
        </w:rPr>
        <w:t>Nuevo circuito Bonda-Río Córdoba 220 kV, con fecha de puesta en operación para el mes de noviembre de 2023.</w:t>
      </w:r>
    </w:p>
    <w:p w14:paraId="213A7792" w14:textId="3AC7671C" w:rsidR="0078188C" w:rsidRDefault="0078188C" w:rsidP="009A5E50">
      <w:pPr>
        <w:pStyle w:val="Prrafodelista"/>
        <w:numPr>
          <w:ilvl w:val="1"/>
          <w:numId w:val="17"/>
        </w:numPr>
        <w:jc w:val="both"/>
        <w:rPr>
          <w:rFonts w:ascii="Verdana" w:hAnsi="Verdana"/>
          <w:bCs/>
          <w:sz w:val="22"/>
          <w:szCs w:val="22"/>
        </w:rPr>
      </w:pPr>
      <w:r>
        <w:rPr>
          <w:rFonts w:ascii="Verdana" w:hAnsi="Verdana"/>
          <w:bCs/>
          <w:sz w:val="22"/>
          <w:szCs w:val="22"/>
        </w:rPr>
        <w:t xml:space="preserve">Nueva </w:t>
      </w:r>
      <w:r w:rsidR="009A1F17">
        <w:rPr>
          <w:rFonts w:ascii="Verdana" w:hAnsi="Verdana"/>
          <w:bCs/>
          <w:sz w:val="22"/>
          <w:szCs w:val="22"/>
        </w:rPr>
        <w:t>subestación</w:t>
      </w:r>
      <w:r>
        <w:rPr>
          <w:rFonts w:ascii="Verdana" w:hAnsi="Verdana"/>
          <w:bCs/>
          <w:sz w:val="22"/>
          <w:szCs w:val="22"/>
        </w:rPr>
        <w:t xml:space="preserve"> Sahagún 500 kV, la cual reconfigura uno de los circuitos Cerromatoso-Chinú 500 kV. La fecha de puesta en operación es el mes de junio del año 2023.</w:t>
      </w:r>
    </w:p>
    <w:p w14:paraId="6031F6EB" w14:textId="77777777" w:rsidR="0078188C" w:rsidRDefault="0078188C" w:rsidP="009A5E50">
      <w:pPr>
        <w:pStyle w:val="Prrafodelista"/>
        <w:numPr>
          <w:ilvl w:val="1"/>
          <w:numId w:val="17"/>
        </w:numPr>
        <w:jc w:val="both"/>
        <w:rPr>
          <w:rFonts w:ascii="Verdana" w:hAnsi="Verdana"/>
          <w:bCs/>
          <w:sz w:val="22"/>
          <w:szCs w:val="22"/>
        </w:rPr>
      </w:pPr>
      <w:r>
        <w:rPr>
          <w:rFonts w:ascii="Verdana" w:hAnsi="Verdana"/>
          <w:bCs/>
          <w:sz w:val="22"/>
          <w:szCs w:val="22"/>
        </w:rPr>
        <w:t>Nueva subestación Pasacaballos 220 kV, la cual reconfigura uno de los circuitos Toluviejo-Bolívar 220 kV. La fecha de puesta en operación es el mes de junio del año 2024.</w:t>
      </w:r>
    </w:p>
    <w:p w14:paraId="43D5E6B1" w14:textId="77777777" w:rsidR="009A1F17" w:rsidRDefault="009A1F17" w:rsidP="009A5E50">
      <w:pPr>
        <w:pStyle w:val="Prrafodelista"/>
        <w:numPr>
          <w:ilvl w:val="1"/>
          <w:numId w:val="17"/>
        </w:numPr>
        <w:jc w:val="both"/>
        <w:rPr>
          <w:rFonts w:ascii="Verdana" w:hAnsi="Verdana"/>
          <w:bCs/>
          <w:sz w:val="22"/>
          <w:szCs w:val="22"/>
        </w:rPr>
      </w:pPr>
      <w:r>
        <w:rPr>
          <w:rFonts w:ascii="Verdana" w:hAnsi="Verdana"/>
          <w:bCs/>
          <w:sz w:val="22"/>
          <w:szCs w:val="22"/>
        </w:rPr>
        <w:t>Cambio de configuración de la subestación Mocoa 230 kV de barra principal más transferencia a doble barra con bahía de acople, cuya fecha de puesta en operación es el mes de septiembre del año 2020.</w:t>
      </w:r>
    </w:p>
    <w:p w14:paraId="2876283D" w14:textId="1E0DF903" w:rsidR="00185CE1" w:rsidRPr="009A1F17" w:rsidRDefault="0078188C" w:rsidP="009A5E50">
      <w:pPr>
        <w:jc w:val="both"/>
        <w:rPr>
          <w:rFonts w:ascii="Verdana" w:hAnsi="Verdana"/>
          <w:bCs/>
          <w:sz w:val="22"/>
          <w:szCs w:val="22"/>
        </w:rPr>
      </w:pPr>
      <w:r w:rsidRPr="009A1F17">
        <w:rPr>
          <w:rFonts w:ascii="Verdana" w:hAnsi="Verdana"/>
          <w:bCs/>
          <w:sz w:val="22"/>
          <w:szCs w:val="22"/>
        </w:rPr>
        <w:t xml:space="preserve">  </w:t>
      </w:r>
    </w:p>
    <w:p w14:paraId="0B17BB39" w14:textId="5724E6E0" w:rsidR="00185CE1" w:rsidRDefault="009A1F17" w:rsidP="009A5E50">
      <w:pPr>
        <w:pStyle w:val="Prrafodelista"/>
        <w:numPr>
          <w:ilvl w:val="0"/>
          <w:numId w:val="17"/>
        </w:numPr>
        <w:jc w:val="both"/>
        <w:rPr>
          <w:rFonts w:ascii="Verdana" w:hAnsi="Verdana"/>
          <w:bCs/>
          <w:sz w:val="22"/>
          <w:szCs w:val="22"/>
        </w:rPr>
      </w:pPr>
      <w:r>
        <w:rPr>
          <w:rFonts w:ascii="Verdana" w:hAnsi="Verdana"/>
          <w:bCs/>
          <w:sz w:val="22"/>
          <w:szCs w:val="22"/>
        </w:rPr>
        <w:t xml:space="preserve">La CREG publicó a través de la </w:t>
      </w:r>
      <w:r w:rsidR="00E133A3">
        <w:rPr>
          <w:rFonts w:ascii="Verdana" w:hAnsi="Verdana"/>
          <w:bCs/>
          <w:sz w:val="22"/>
          <w:szCs w:val="22"/>
        </w:rPr>
        <w:t>C</w:t>
      </w:r>
      <w:r>
        <w:rPr>
          <w:rFonts w:ascii="Verdana" w:hAnsi="Verdana"/>
          <w:bCs/>
          <w:sz w:val="22"/>
          <w:szCs w:val="22"/>
        </w:rPr>
        <w:t xml:space="preserve">ircular 93 la modificación a la </w:t>
      </w:r>
      <w:r w:rsidR="00185CE1">
        <w:rPr>
          <w:rFonts w:ascii="Verdana" w:hAnsi="Verdana"/>
          <w:bCs/>
          <w:sz w:val="22"/>
          <w:szCs w:val="22"/>
        </w:rPr>
        <w:t>Agenda Regulatoria</w:t>
      </w:r>
      <w:r>
        <w:rPr>
          <w:rFonts w:ascii="Verdana" w:hAnsi="Verdana"/>
          <w:bCs/>
          <w:sz w:val="22"/>
          <w:szCs w:val="22"/>
        </w:rPr>
        <w:t xml:space="preserve"> 2019</w:t>
      </w:r>
      <w:r w:rsidR="00E133A3">
        <w:rPr>
          <w:rFonts w:ascii="Verdana" w:hAnsi="Verdana"/>
          <w:bCs/>
          <w:sz w:val="22"/>
          <w:szCs w:val="22"/>
        </w:rPr>
        <w:t>.</w:t>
      </w:r>
      <w:r>
        <w:rPr>
          <w:rFonts w:ascii="Verdana" w:hAnsi="Verdana"/>
          <w:bCs/>
          <w:sz w:val="22"/>
          <w:szCs w:val="22"/>
        </w:rPr>
        <w:t xml:space="preserve"> </w:t>
      </w:r>
      <w:r w:rsidR="00E133A3">
        <w:rPr>
          <w:rFonts w:ascii="Verdana" w:hAnsi="Verdana"/>
          <w:bCs/>
          <w:sz w:val="22"/>
          <w:szCs w:val="22"/>
        </w:rPr>
        <w:t xml:space="preserve">Se publicó también </w:t>
      </w:r>
      <w:r>
        <w:rPr>
          <w:rFonts w:ascii="Verdana" w:hAnsi="Verdana"/>
          <w:bCs/>
          <w:sz w:val="22"/>
          <w:szCs w:val="22"/>
        </w:rPr>
        <w:t xml:space="preserve">la </w:t>
      </w:r>
      <w:r w:rsidR="00E133A3">
        <w:rPr>
          <w:rFonts w:ascii="Verdana" w:hAnsi="Verdana"/>
          <w:bCs/>
          <w:sz w:val="22"/>
          <w:szCs w:val="22"/>
        </w:rPr>
        <w:t>C</w:t>
      </w:r>
      <w:r>
        <w:rPr>
          <w:rFonts w:ascii="Verdana" w:hAnsi="Verdana"/>
          <w:bCs/>
          <w:sz w:val="22"/>
          <w:szCs w:val="22"/>
        </w:rPr>
        <w:t xml:space="preserve">ircular </w:t>
      </w:r>
      <w:r w:rsidR="00AF1041">
        <w:rPr>
          <w:rFonts w:ascii="Verdana" w:hAnsi="Verdana"/>
          <w:bCs/>
          <w:sz w:val="22"/>
          <w:szCs w:val="22"/>
        </w:rPr>
        <w:t>94</w:t>
      </w:r>
      <w:r w:rsidR="00E133A3">
        <w:rPr>
          <w:rFonts w:ascii="Verdana" w:hAnsi="Verdana"/>
          <w:bCs/>
          <w:sz w:val="22"/>
          <w:szCs w:val="22"/>
        </w:rPr>
        <w:t xml:space="preserve"> con la agenda regulatoria del año 2020 y se</w:t>
      </w:r>
      <w:r>
        <w:rPr>
          <w:rFonts w:ascii="Verdana" w:hAnsi="Verdana"/>
          <w:bCs/>
          <w:sz w:val="22"/>
          <w:szCs w:val="22"/>
        </w:rPr>
        <w:t xml:space="preserve"> defin</w:t>
      </w:r>
      <w:r w:rsidR="00E133A3">
        <w:rPr>
          <w:rFonts w:ascii="Verdana" w:hAnsi="Verdana"/>
          <w:bCs/>
          <w:sz w:val="22"/>
          <w:szCs w:val="22"/>
        </w:rPr>
        <w:t>ió como</w:t>
      </w:r>
      <w:r>
        <w:rPr>
          <w:rFonts w:ascii="Verdana" w:hAnsi="Verdana"/>
          <w:bCs/>
          <w:sz w:val="22"/>
          <w:szCs w:val="22"/>
        </w:rPr>
        <w:t xml:space="preserve"> plazo para hacer comentarios </w:t>
      </w:r>
      <w:r w:rsidR="00E133A3">
        <w:rPr>
          <w:rFonts w:ascii="Verdana" w:hAnsi="Verdana"/>
          <w:bCs/>
          <w:sz w:val="22"/>
          <w:szCs w:val="22"/>
        </w:rPr>
        <w:t xml:space="preserve">el </w:t>
      </w:r>
      <w:r w:rsidR="009A5E50">
        <w:rPr>
          <w:rFonts w:ascii="Verdana" w:hAnsi="Verdana"/>
          <w:bCs/>
          <w:sz w:val="22"/>
          <w:szCs w:val="22"/>
        </w:rPr>
        <w:t>15 de noviembre</w:t>
      </w:r>
      <w:r w:rsidR="00AF1041">
        <w:rPr>
          <w:rFonts w:ascii="Verdana" w:hAnsi="Verdana"/>
          <w:bCs/>
          <w:sz w:val="22"/>
          <w:szCs w:val="22"/>
        </w:rPr>
        <w:t>.</w:t>
      </w:r>
    </w:p>
    <w:p w14:paraId="45B3F6B6" w14:textId="77777777" w:rsidR="00185CE1" w:rsidRPr="00185CE1" w:rsidRDefault="00185CE1" w:rsidP="009A5E50">
      <w:pPr>
        <w:pStyle w:val="Prrafodelista"/>
        <w:jc w:val="both"/>
        <w:rPr>
          <w:rFonts w:ascii="Verdana" w:hAnsi="Verdana"/>
          <w:bCs/>
          <w:sz w:val="22"/>
          <w:szCs w:val="22"/>
        </w:rPr>
      </w:pPr>
    </w:p>
    <w:p w14:paraId="70F36D45" w14:textId="3DBA0115" w:rsidR="00185CE1" w:rsidRDefault="009A5E50" w:rsidP="009A5E50">
      <w:pPr>
        <w:pStyle w:val="Prrafodelista"/>
        <w:numPr>
          <w:ilvl w:val="0"/>
          <w:numId w:val="17"/>
        </w:numPr>
        <w:jc w:val="both"/>
        <w:rPr>
          <w:rFonts w:ascii="Verdana" w:hAnsi="Verdana"/>
          <w:bCs/>
          <w:sz w:val="22"/>
          <w:szCs w:val="22"/>
        </w:rPr>
      </w:pPr>
      <w:r>
        <w:rPr>
          <w:rFonts w:ascii="Verdana" w:hAnsi="Verdana"/>
          <w:bCs/>
          <w:sz w:val="22"/>
          <w:szCs w:val="22"/>
        </w:rPr>
        <w:t xml:space="preserve">La CREG a través de las circulares </w:t>
      </w:r>
      <w:r w:rsidR="00AF1041">
        <w:rPr>
          <w:rFonts w:ascii="Verdana" w:hAnsi="Verdana"/>
          <w:bCs/>
          <w:sz w:val="22"/>
          <w:szCs w:val="22"/>
        </w:rPr>
        <w:t>84 y 90</w:t>
      </w:r>
      <w:r>
        <w:rPr>
          <w:rFonts w:ascii="Verdana" w:hAnsi="Verdana"/>
          <w:bCs/>
          <w:sz w:val="22"/>
          <w:szCs w:val="22"/>
        </w:rPr>
        <w:t xml:space="preserve"> </w:t>
      </w:r>
      <w:r w:rsidR="00AF1041">
        <w:rPr>
          <w:rFonts w:ascii="Verdana" w:hAnsi="Verdana"/>
          <w:bCs/>
          <w:sz w:val="22"/>
          <w:szCs w:val="22"/>
        </w:rPr>
        <w:t>de 2019</w:t>
      </w:r>
      <w:r>
        <w:rPr>
          <w:rFonts w:ascii="Verdana" w:hAnsi="Verdana"/>
          <w:bCs/>
          <w:sz w:val="22"/>
          <w:szCs w:val="22"/>
        </w:rPr>
        <w:t xml:space="preserve"> definió un plazo para </w:t>
      </w:r>
      <w:r w:rsidR="00E133A3">
        <w:rPr>
          <w:rFonts w:ascii="Verdana" w:hAnsi="Verdana"/>
          <w:bCs/>
          <w:sz w:val="22"/>
          <w:szCs w:val="22"/>
        </w:rPr>
        <w:t xml:space="preserve">hacer </w:t>
      </w:r>
      <w:r>
        <w:rPr>
          <w:rFonts w:ascii="Verdana" w:hAnsi="Verdana"/>
          <w:bCs/>
          <w:sz w:val="22"/>
          <w:szCs w:val="22"/>
        </w:rPr>
        <w:t xml:space="preserve">observaciones a la consultoría técnica sobre la actualización del </w:t>
      </w:r>
      <w:r w:rsidR="00E133A3">
        <w:rPr>
          <w:rFonts w:ascii="Verdana" w:hAnsi="Verdana"/>
          <w:bCs/>
          <w:sz w:val="22"/>
          <w:szCs w:val="22"/>
        </w:rPr>
        <w:t>C</w:t>
      </w:r>
      <w:r>
        <w:rPr>
          <w:rFonts w:ascii="Verdana" w:hAnsi="Verdana"/>
          <w:bCs/>
          <w:sz w:val="22"/>
          <w:szCs w:val="22"/>
        </w:rPr>
        <w:t xml:space="preserve">ódigo de Redes (25 de noviembre). Al respecto, se planteará al grupo Código de Redes y a los Comités de Transmisión, Distribución y Operación </w:t>
      </w:r>
      <w:r>
        <w:rPr>
          <w:rFonts w:ascii="Verdana" w:hAnsi="Verdana"/>
          <w:bCs/>
          <w:sz w:val="22"/>
          <w:szCs w:val="22"/>
        </w:rPr>
        <w:lastRenderedPageBreak/>
        <w:t>del Consejo, una propuesta inicial de comentarios, para que estos la complementen y validen. Vale la pena mencionar que las observaciones hechas con anterioridad a la Comisión por parte del Con</w:t>
      </w:r>
      <w:r w:rsidR="00E133A3">
        <w:rPr>
          <w:rFonts w:ascii="Verdana" w:hAnsi="Verdana"/>
          <w:bCs/>
          <w:sz w:val="22"/>
          <w:szCs w:val="22"/>
        </w:rPr>
        <w:t>s</w:t>
      </w:r>
      <w:r>
        <w:rPr>
          <w:rFonts w:ascii="Verdana" w:hAnsi="Verdana"/>
          <w:bCs/>
          <w:sz w:val="22"/>
          <w:szCs w:val="22"/>
        </w:rPr>
        <w:t>ejo no fueron contempladas con el detalle correspondiente.</w:t>
      </w:r>
    </w:p>
    <w:p w14:paraId="59233B6E" w14:textId="77777777" w:rsidR="00185CE1" w:rsidRPr="00185CE1" w:rsidRDefault="00185CE1" w:rsidP="009A5E50">
      <w:pPr>
        <w:pStyle w:val="Prrafodelista"/>
        <w:jc w:val="both"/>
        <w:rPr>
          <w:rFonts w:ascii="Verdana" w:hAnsi="Verdana"/>
          <w:bCs/>
          <w:sz w:val="22"/>
          <w:szCs w:val="22"/>
        </w:rPr>
      </w:pPr>
    </w:p>
    <w:p w14:paraId="62F481C5" w14:textId="582DFF69" w:rsidR="00185CE1" w:rsidRDefault="00524F3C" w:rsidP="009A5E50">
      <w:pPr>
        <w:pStyle w:val="Prrafodelista"/>
        <w:numPr>
          <w:ilvl w:val="0"/>
          <w:numId w:val="17"/>
        </w:numPr>
        <w:jc w:val="both"/>
        <w:rPr>
          <w:rFonts w:ascii="Verdana" w:hAnsi="Verdana"/>
          <w:bCs/>
          <w:sz w:val="22"/>
          <w:szCs w:val="22"/>
        </w:rPr>
      </w:pPr>
      <w:r>
        <w:rPr>
          <w:rFonts w:ascii="Verdana" w:hAnsi="Verdana"/>
          <w:bCs/>
          <w:sz w:val="22"/>
          <w:szCs w:val="22"/>
        </w:rPr>
        <w:t>Se envió comunicación de comentarios a la Comisión sobre la</w:t>
      </w:r>
      <w:r w:rsidR="00185CE1">
        <w:rPr>
          <w:rFonts w:ascii="Verdana" w:hAnsi="Verdana"/>
          <w:bCs/>
          <w:sz w:val="22"/>
          <w:szCs w:val="22"/>
        </w:rPr>
        <w:t xml:space="preserve"> Resolución 139 de 2019.</w:t>
      </w:r>
      <w:r>
        <w:rPr>
          <w:rFonts w:ascii="Verdana" w:hAnsi="Verdana"/>
          <w:bCs/>
          <w:sz w:val="22"/>
          <w:szCs w:val="22"/>
        </w:rPr>
        <w:t xml:space="preserve"> En ella se plantea una serie de recomendaciones a la CREG, dado que esta entidad está planteando en su proyecto normativo asignar al Consejo la definición de un límite de tensión provisional en aquellas subestaciones radiales, cola de sistema, donde no se puede atender la demanda bajo los actuales criterios operativos (tensión mínima de 0.9 en p.u. en condiciones normales de operación). La comunicación puede ser consultada en la página web del Consejo.  </w:t>
      </w:r>
      <w:r w:rsidR="00185CE1">
        <w:rPr>
          <w:rFonts w:ascii="Verdana" w:hAnsi="Verdana"/>
          <w:bCs/>
          <w:sz w:val="22"/>
          <w:szCs w:val="22"/>
        </w:rPr>
        <w:t xml:space="preserve"> </w:t>
      </w:r>
    </w:p>
    <w:p w14:paraId="6CB8FCC0" w14:textId="77777777" w:rsidR="00185CE1" w:rsidRPr="00185CE1" w:rsidRDefault="00185CE1" w:rsidP="009A5E50">
      <w:pPr>
        <w:pStyle w:val="Prrafodelista"/>
        <w:jc w:val="both"/>
        <w:rPr>
          <w:rFonts w:ascii="Verdana" w:hAnsi="Verdana"/>
          <w:bCs/>
          <w:sz w:val="22"/>
          <w:szCs w:val="22"/>
        </w:rPr>
      </w:pPr>
    </w:p>
    <w:p w14:paraId="47B1027B" w14:textId="2C23F6F7" w:rsidR="00185CE1" w:rsidRDefault="00524F3C" w:rsidP="009A5E50">
      <w:pPr>
        <w:pStyle w:val="Prrafodelista"/>
        <w:numPr>
          <w:ilvl w:val="0"/>
          <w:numId w:val="17"/>
        </w:numPr>
        <w:jc w:val="both"/>
        <w:rPr>
          <w:rFonts w:ascii="Verdana" w:hAnsi="Verdana"/>
          <w:bCs/>
          <w:sz w:val="22"/>
          <w:szCs w:val="22"/>
        </w:rPr>
      </w:pPr>
      <w:r>
        <w:rPr>
          <w:rFonts w:ascii="Verdana" w:hAnsi="Verdana"/>
          <w:bCs/>
          <w:sz w:val="22"/>
          <w:szCs w:val="22"/>
        </w:rPr>
        <w:t xml:space="preserve">Teniendo en cuenta lo establecido por la CREG en </w:t>
      </w:r>
      <w:r w:rsidR="00701B04">
        <w:rPr>
          <w:rFonts w:ascii="Verdana" w:hAnsi="Verdana"/>
          <w:bCs/>
          <w:sz w:val="22"/>
          <w:szCs w:val="22"/>
        </w:rPr>
        <w:t>el</w:t>
      </w:r>
      <w:r>
        <w:rPr>
          <w:rFonts w:ascii="Verdana" w:hAnsi="Verdana"/>
          <w:bCs/>
          <w:sz w:val="22"/>
          <w:szCs w:val="22"/>
        </w:rPr>
        <w:t xml:space="preserve"> artículo 2 de </w:t>
      </w:r>
      <w:r w:rsidR="00701B04">
        <w:rPr>
          <w:rFonts w:ascii="Verdana" w:hAnsi="Verdana"/>
          <w:bCs/>
          <w:sz w:val="22"/>
          <w:szCs w:val="22"/>
        </w:rPr>
        <w:t>su</w:t>
      </w:r>
      <w:r>
        <w:rPr>
          <w:rFonts w:ascii="Verdana" w:hAnsi="Verdana"/>
          <w:bCs/>
          <w:sz w:val="22"/>
          <w:szCs w:val="22"/>
        </w:rPr>
        <w:t xml:space="preserve"> </w:t>
      </w:r>
      <w:r w:rsidR="00185CE1">
        <w:rPr>
          <w:rFonts w:ascii="Verdana" w:hAnsi="Verdana"/>
          <w:bCs/>
          <w:sz w:val="22"/>
          <w:szCs w:val="22"/>
        </w:rPr>
        <w:t>Resolución 101 de 2019</w:t>
      </w:r>
      <w:r>
        <w:rPr>
          <w:rFonts w:ascii="Verdana" w:hAnsi="Verdana"/>
          <w:bCs/>
          <w:sz w:val="22"/>
          <w:szCs w:val="22"/>
        </w:rPr>
        <w:t xml:space="preserve">, donde se ha </w:t>
      </w:r>
      <w:r w:rsidR="00701B04">
        <w:rPr>
          <w:rFonts w:ascii="Verdana" w:hAnsi="Verdana"/>
          <w:bCs/>
          <w:sz w:val="22"/>
          <w:szCs w:val="22"/>
        </w:rPr>
        <w:t>configurado</w:t>
      </w:r>
      <w:r>
        <w:rPr>
          <w:rFonts w:ascii="Verdana" w:hAnsi="Verdana"/>
          <w:bCs/>
          <w:sz w:val="22"/>
          <w:szCs w:val="22"/>
        </w:rPr>
        <w:t xml:space="preserve"> </w:t>
      </w:r>
      <w:r w:rsidR="00701B04">
        <w:rPr>
          <w:rFonts w:ascii="Verdana" w:hAnsi="Verdana"/>
          <w:bCs/>
          <w:sz w:val="22"/>
          <w:szCs w:val="22"/>
        </w:rPr>
        <w:t>un incumplimiento grave e insalvable de las obligaciones de Ituango en la subasta GPPS de 2008, se recomienda al Consejo revisar junto con EPM los supuestos que se están contemplando en el planeamiento operativo energético y de potencia para el mediano y largo plazo</w:t>
      </w:r>
      <w:r w:rsidR="00AF1041">
        <w:rPr>
          <w:rFonts w:ascii="Verdana" w:hAnsi="Verdana"/>
          <w:bCs/>
          <w:sz w:val="22"/>
          <w:szCs w:val="22"/>
        </w:rPr>
        <w:t>.</w:t>
      </w:r>
      <w:r w:rsidR="00701B04">
        <w:rPr>
          <w:rFonts w:ascii="Verdana" w:hAnsi="Verdana"/>
          <w:bCs/>
          <w:sz w:val="22"/>
          <w:szCs w:val="22"/>
        </w:rPr>
        <w:t xml:space="preserve"> Lo anterior</w:t>
      </w:r>
      <w:r w:rsidR="00E133A3">
        <w:rPr>
          <w:rFonts w:ascii="Verdana" w:hAnsi="Verdana"/>
          <w:bCs/>
          <w:sz w:val="22"/>
          <w:szCs w:val="22"/>
        </w:rPr>
        <w:t>,</w:t>
      </w:r>
      <w:r w:rsidR="00701B04">
        <w:rPr>
          <w:rFonts w:ascii="Verdana" w:hAnsi="Verdana"/>
          <w:bCs/>
          <w:sz w:val="22"/>
          <w:szCs w:val="22"/>
        </w:rPr>
        <w:t xml:space="preserve"> teniendo en cuenta el impacto que tiene IT</w:t>
      </w:r>
      <w:r w:rsidR="006308DA">
        <w:rPr>
          <w:rFonts w:ascii="Verdana" w:hAnsi="Verdana"/>
          <w:bCs/>
          <w:sz w:val="22"/>
          <w:szCs w:val="22"/>
        </w:rPr>
        <w:t>U</w:t>
      </w:r>
      <w:r w:rsidR="00701B04">
        <w:rPr>
          <w:rFonts w:ascii="Verdana" w:hAnsi="Verdana"/>
          <w:bCs/>
          <w:sz w:val="22"/>
          <w:szCs w:val="22"/>
        </w:rPr>
        <w:t xml:space="preserve">ANGO en la confiabilidad y seguridad del SIN. </w:t>
      </w:r>
    </w:p>
    <w:p w14:paraId="06A85238" w14:textId="77777777" w:rsidR="009A1F17" w:rsidRPr="009A1F17" w:rsidRDefault="009A1F17" w:rsidP="009A5E50">
      <w:pPr>
        <w:pStyle w:val="Prrafodelista"/>
        <w:jc w:val="both"/>
        <w:rPr>
          <w:rFonts w:ascii="Verdana" w:hAnsi="Verdana"/>
          <w:bCs/>
          <w:sz w:val="22"/>
          <w:szCs w:val="22"/>
        </w:rPr>
      </w:pPr>
    </w:p>
    <w:p w14:paraId="51AED54B" w14:textId="480BC1AB" w:rsidR="005817B8" w:rsidRDefault="00701B04" w:rsidP="005817B8">
      <w:pPr>
        <w:pStyle w:val="Prrafodelista"/>
        <w:numPr>
          <w:ilvl w:val="0"/>
          <w:numId w:val="17"/>
        </w:numPr>
        <w:jc w:val="both"/>
        <w:rPr>
          <w:rFonts w:ascii="Verdana" w:hAnsi="Verdana"/>
          <w:bCs/>
          <w:sz w:val="22"/>
          <w:szCs w:val="22"/>
        </w:rPr>
      </w:pPr>
      <w:r w:rsidRPr="00F14958">
        <w:rPr>
          <w:rFonts w:ascii="Verdana" w:hAnsi="Verdana"/>
          <w:bCs/>
          <w:sz w:val="22"/>
          <w:szCs w:val="22"/>
        </w:rPr>
        <w:t xml:space="preserve">En el </w:t>
      </w:r>
      <w:r w:rsidR="007849E0">
        <w:rPr>
          <w:rFonts w:ascii="Verdana" w:hAnsi="Verdana"/>
          <w:bCs/>
          <w:sz w:val="22"/>
          <w:szCs w:val="22"/>
        </w:rPr>
        <w:t>SPLANTAS</w:t>
      </w:r>
      <w:r w:rsidRPr="00F14958">
        <w:rPr>
          <w:rFonts w:ascii="Verdana" w:hAnsi="Verdana"/>
          <w:bCs/>
          <w:sz w:val="22"/>
          <w:szCs w:val="22"/>
        </w:rPr>
        <w:t xml:space="preserve"> se acordó estudiar nuevamente las modificaciones </w:t>
      </w:r>
      <w:r w:rsidR="00E133A3">
        <w:rPr>
          <w:rFonts w:ascii="Verdana" w:hAnsi="Verdana"/>
          <w:bCs/>
          <w:sz w:val="22"/>
          <w:szCs w:val="22"/>
        </w:rPr>
        <w:t>de</w:t>
      </w:r>
      <w:r w:rsidRPr="00F14958">
        <w:rPr>
          <w:rFonts w:ascii="Verdana" w:hAnsi="Verdana"/>
          <w:bCs/>
          <w:sz w:val="22"/>
          <w:szCs w:val="22"/>
        </w:rPr>
        <w:t xml:space="preserve">l Acuerdo </w:t>
      </w:r>
      <w:r w:rsidR="009A1F17" w:rsidRPr="00F14958">
        <w:rPr>
          <w:rFonts w:ascii="Verdana" w:hAnsi="Verdana"/>
          <w:bCs/>
          <w:sz w:val="22"/>
          <w:szCs w:val="22"/>
        </w:rPr>
        <w:t>CNO 555</w:t>
      </w:r>
      <w:r w:rsidRPr="00F14958">
        <w:rPr>
          <w:rFonts w:ascii="Verdana" w:hAnsi="Verdana"/>
          <w:bCs/>
          <w:sz w:val="22"/>
          <w:szCs w:val="22"/>
        </w:rPr>
        <w:t xml:space="preserve">, </w:t>
      </w:r>
      <w:r w:rsidR="00E133A3">
        <w:rPr>
          <w:rFonts w:ascii="Verdana" w:hAnsi="Verdana"/>
          <w:bCs/>
          <w:sz w:val="22"/>
          <w:szCs w:val="22"/>
        </w:rPr>
        <w:t xml:space="preserve">sobre </w:t>
      </w:r>
      <w:r w:rsidRPr="00F14958">
        <w:rPr>
          <w:rFonts w:ascii="Verdana" w:hAnsi="Verdana"/>
          <w:bCs/>
          <w:sz w:val="22"/>
          <w:szCs w:val="22"/>
        </w:rPr>
        <w:t xml:space="preserve">las autorizaciones automáticas </w:t>
      </w:r>
      <w:r w:rsidR="00E133A3">
        <w:rPr>
          <w:rFonts w:ascii="Verdana" w:hAnsi="Verdana"/>
          <w:bCs/>
          <w:sz w:val="22"/>
          <w:szCs w:val="22"/>
        </w:rPr>
        <w:t xml:space="preserve">de desviación </w:t>
      </w:r>
      <w:r w:rsidRPr="00F14958">
        <w:rPr>
          <w:rFonts w:ascii="Verdana" w:hAnsi="Verdana"/>
          <w:bCs/>
          <w:sz w:val="22"/>
          <w:szCs w:val="22"/>
        </w:rPr>
        <w:t>por dos periodos</w:t>
      </w:r>
      <w:r w:rsidR="00F14958" w:rsidRPr="00F14958">
        <w:rPr>
          <w:rFonts w:ascii="Verdana" w:hAnsi="Verdana"/>
          <w:bCs/>
          <w:sz w:val="22"/>
          <w:szCs w:val="22"/>
        </w:rPr>
        <w:t xml:space="preserve"> consecutivos en el despacho o redespacho,</w:t>
      </w:r>
      <w:r w:rsidRPr="00F14958">
        <w:rPr>
          <w:rFonts w:ascii="Verdana" w:hAnsi="Verdana"/>
          <w:bCs/>
          <w:sz w:val="22"/>
          <w:szCs w:val="22"/>
        </w:rPr>
        <w:t xml:space="preserve"> cuando una planta </w:t>
      </w:r>
      <w:r w:rsidR="00F14958" w:rsidRPr="00F14958">
        <w:rPr>
          <w:rFonts w:ascii="Verdana" w:hAnsi="Verdana"/>
          <w:bCs/>
          <w:sz w:val="22"/>
          <w:szCs w:val="22"/>
        </w:rPr>
        <w:t xml:space="preserve">en su programa de generación </w:t>
      </w:r>
      <w:r w:rsidRPr="00F14958">
        <w:rPr>
          <w:rFonts w:ascii="Verdana" w:hAnsi="Verdana"/>
          <w:bCs/>
          <w:sz w:val="22"/>
          <w:szCs w:val="22"/>
        </w:rPr>
        <w:t>pasa de cero</w:t>
      </w:r>
      <w:r w:rsidR="00F14958" w:rsidRPr="00F14958">
        <w:rPr>
          <w:rFonts w:ascii="Verdana" w:hAnsi="Verdana"/>
          <w:bCs/>
          <w:sz w:val="22"/>
          <w:szCs w:val="22"/>
        </w:rPr>
        <w:t xml:space="preserve"> (0) MW</w:t>
      </w:r>
      <w:r w:rsidRPr="00F14958">
        <w:rPr>
          <w:rFonts w:ascii="Verdana" w:hAnsi="Verdana"/>
          <w:bCs/>
          <w:sz w:val="22"/>
          <w:szCs w:val="22"/>
        </w:rPr>
        <w:t xml:space="preserve"> a un valor</w:t>
      </w:r>
      <w:r w:rsidR="00F14958" w:rsidRPr="00F14958">
        <w:rPr>
          <w:rFonts w:ascii="Verdana" w:hAnsi="Verdana"/>
          <w:bCs/>
          <w:sz w:val="22"/>
          <w:szCs w:val="22"/>
        </w:rPr>
        <w:t xml:space="preserve"> diferente de cero (0) MW</w:t>
      </w:r>
      <w:r w:rsidRPr="00F14958">
        <w:rPr>
          <w:rFonts w:ascii="Verdana" w:hAnsi="Verdana"/>
          <w:bCs/>
          <w:sz w:val="22"/>
          <w:szCs w:val="22"/>
        </w:rPr>
        <w:t>, de un valor</w:t>
      </w:r>
      <w:r w:rsidR="00F14958" w:rsidRPr="00F14958">
        <w:rPr>
          <w:rFonts w:ascii="Verdana" w:hAnsi="Verdana"/>
          <w:bCs/>
          <w:sz w:val="22"/>
          <w:szCs w:val="22"/>
        </w:rPr>
        <w:t xml:space="preserve"> diferente de</w:t>
      </w:r>
      <w:r w:rsidRPr="00F14958">
        <w:rPr>
          <w:rFonts w:ascii="Verdana" w:hAnsi="Verdana"/>
          <w:bCs/>
          <w:sz w:val="22"/>
          <w:szCs w:val="22"/>
        </w:rPr>
        <w:t xml:space="preserve"> cero (0)</w:t>
      </w:r>
      <w:r w:rsidR="00F14958" w:rsidRPr="00F14958">
        <w:rPr>
          <w:rFonts w:ascii="Verdana" w:hAnsi="Verdana"/>
          <w:bCs/>
          <w:sz w:val="22"/>
          <w:szCs w:val="22"/>
        </w:rPr>
        <w:t xml:space="preserve"> MW a cero (0) MW</w:t>
      </w:r>
      <w:r w:rsidRPr="00F14958">
        <w:rPr>
          <w:rFonts w:ascii="Verdana" w:hAnsi="Verdana"/>
          <w:bCs/>
          <w:sz w:val="22"/>
          <w:szCs w:val="22"/>
        </w:rPr>
        <w:t xml:space="preserve">, </w:t>
      </w:r>
      <w:r w:rsidR="00F14958" w:rsidRPr="00F14958">
        <w:rPr>
          <w:rFonts w:ascii="Verdana" w:hAnsi="Verdana"/>
          <w:bCs/>
          <w:sz w:val="22"/>
          <w:szCs w:val="22"/>
        </w:rPr>
        <w:t xml:space="preserve">o su generación cambia de un periodo a otro en 230 MW. </w:t>
      </w:r>
      <w:r w:rsidR="00F14958">
        <w:rPr>
          <w:rFonts w:ascii="Verdana" w:hAnsi="Verdana"/>
          <w:bCs/>
          <w:sz w:val="22"/>
          <w:szCs w:val="22"/>
        </w:rPr>
        <w:t xml:space="preserve"> </w:t>
      </w:r>
      <w:r w:rsidR="005817B8">
        <w:rPr>
          <w:rFonts w:ascii="Verdana" w:hAnsi="Verdana"/>
          <w:bCs/>
          <w:sz w:val="22"/>
          <w:szCs w:val="22"/>
        </w:rPr>
        <w:t>El análisis debe contemplar:</w:t>
      </w:r>
    </w:p>
    <w:p w14:paraId="3B396D25" w14:textId="77777777" w:rsidR="005817B8" w:rsidRPr="006308DA" w:rsidRDefault="005817B8" w:rsidP="006308DA">
      <w:pPr>
        <w:pStyle w:val="Prrafodelista"/>
        <w:rPr>
          <w:rFonts w:ascii="Verdana" w:hAnsi="Verdana"/>
          <w:bCs/>
          <w:sz w:val="22"/>
          <w:szCs w:val="22"/>
        </w:rPr>
      </w:pPr>
    </w:p>
    <w:p w14:paraId="33C53270" w14:textId="68203257" w:rsidR="005817B8" w:rsidRDefault="005817B8" w:rsidP="005817B8">
      <w:pPr>
        <w:pStyle w:val="Prrafodelista"/>
        <w:numPr>
          <w:ilvl w:val="1"/>
          <w:numId w:val="17"/>
        </w:numPr>
        <w:jc w:val="both"/>
        <w:rPr>
          <w:rFonts w:ascii="Verdana" w:hAnsi="Verdana"/>
          <w:bCs/>
          <w:sz w:val="22"/>
          <w:szCs w:val="22"/>
        </w:rPr>
      </w:pPr>
      <w:r>
        <w:rPr>
          <w:rFonts w:ascii="Verdana" w:hAnsi="Verdana"/>
          <w:bCs/>
          <w:sz w:val="22"/>
          <w:szCs w:val="22"/>
        </w:rPr>
        <w:t>La indebida utilización d</w:t>
      </w:r>
      <w:r w:rsidR="00F14958">
        <w:rPr>
          <w:rFonts w:ascii="Verdana" w:hAnsi="Verdana"/>
          <w:bCs/>
          <w:sz w:val="22"/>
          <w:szCs w:val="22"/>
        </w:rPr>
        <w:t xml:space="preserve">el </w:t>
      </w:r>
      <w:r w:rsidR="00E133A3">
        <w:rPr>
          <w:rFonts w:ascii="Verdana" w:hAnsi="Verdana"/>
          <w:bCs/>
          <w:sz w:val="22"/>
          <w:szCs w:val="22"/>
        </w:rPr>
        <w:t xml:space="preserve">citado </w:t>
      </w:r>
      <w:r w:rsidR="00F14958">
        <w:rPr>
          <w:rFonts w:ascii="Verdana" w:hAnsi="Verdana"/>
          <w:bCs/>
          <w:sz w:val="22"/>
          <w:szCs w:val="22"/>
        </w:rPr>
        <w:t xml:space="preserve">Acuerdo </w:t>
      </w:r>
      <w:r>
        <w:rPr>
          <w:rFonts w:ascii="Verdana" w:hAnsi="Verdana"/>
          <w:bCs/>
          <w:sz w:val="22"/>
          <w:szCs w:val="22"/>
        </w:rPr>
        <w:t>podría poner en riesgo la seguridad del Sistema</w:t>
      </w:r>
      <w:r w:rsidRPr="006308DA">
        <w:rPr>
          <w:rFonts w:ascii="Verdana" w:hAnsi="Verdana"/>
          <w:bCs/>
          <w:sz w:val="22"/>
          <w:szCs w:val="22"/>
        </w:rPr>
        <w:t xml:space="preserve">, </w:t>
      </w:r>
      <w:r>
        <w:rPr>
          <w:rFonts w:ascii="Verdana" w:hAnsi="Verdana"/>
          <w:bCs/>
          <w:sz w:val="22"/>
          <w:szCs w:val="22"/>
        </w:rPr>
        <w:t xml:space="preserve">y </w:t>
      </w:r>
    </w:p>
    <w:p w14:paraId="3440C105" w14:textId="4F4C8D75" w:rsidR="00112C06" w:rsidRPr="006308DA" w:rsidRDefault="005817B8" w:rsidP="006308DA">
      <w:pPr>
        <w:pStyle w:val="Prrafodelista"/>
        <w:numPr>
          <w:ilvl w:val="1"/>
          <w:numId w:val="17"/>
        </w:numPr>
        <w:jc w:val="both"/>
        <w:rPr>
          <w:rFonts w:ascii="Verdana" w:hAnsi="Verdana"/>
          <w:bCs/>
          <w:sz w:val="22"/>
          <w:szCs w:val="22"/>
        </w:rPr>
      </w:pPr>
      <w:r>
        <w:rPr>
          <w:rFonts w:ascii="Verdana" w:hAnsi="Verdana"/>
          <w:bCs/>
          <w:sz w:val="22"/>
          <w:szCs w:val="22"/>
        </w:rPr>
        <w:t xml:space="preserve">Las plantas de generación convencional están expuestas a diferentes riesgos durante el arranque </w:t>
      </w:r>
      <w:r w:rsidR="00F14958" w:rsidRPr="006308DA">
        <w:rPr>
          <w:rFonts w:ascii="Verdana" w:hAnsi="Verdana"/>
          <w:bCs/>
          <w:sz w:val="22"/>
          <w:szCs w:val="22"/>
        </w:rPr>
        <w:t xml:space="preserve">    </w:t>
      </w:r>
    </w:p>
    <w:p w14:paraId="20F24E2A" w14:textId="77777777" w:rsidR="00F14958" w:rsidRPr="00F14958" w:rsidRDefault="00F14958" w:rsidP="00F14958">
      <w:pPr>
        <w:pStyle w:val="Prrafodelista"/>
        <w:rPr>
          <w:rFonts w:ascii="Verdana" w:hAnsi="Verdana"/>
          <w:bCs/>
          <w:sz w:val="22"/>
          <w:szCs w:val="22"/>
        </w:rPr>
      </w:pPr>
    </w:p>
    <w:p w14:paraId="6B89CFB5" w14:textId="58C4452D" w:rsidR="00F14958" w:rsidRDefault="00FE3017" w:rsidP="006A69FE">
      <w:pPr>
        <w:pStyle w:val="Prrafodelista"/>
        <w:numPr>
          <w:ilvl w:val="0"/>
          <w:numId w:val="17"/>
        </w:numPr>
        <w:jc w:val="both"/>
        <w:rPr>
          <w:rFonts w:ascii="Verdana" w:hAnsi="Verdana"/>
          <w:bCs/>
          <w:sz w:val="22"/>
          <w:szCs w:val="22"/>
        </w:rPr>
      </w:pPr>
      <w:r>
        <w:rPr>
          <w:rFonts w:ascii="Verdana" w:hAnsi="Verdana"/>
          <w:bCs/>
          <w:sz w:val="22"/>
          <w:szCs w:val="22"/>
        </w:rPr>
        <w:t>En reunión conjunta de los Comités de Transmisión, Distribución y Operación, el CND presentó el Informe de Planeamiento Operativo Eléctrico de Mediano Plazo-IPOEMP.</w:t>
      </w:r>
      <w:r w:rsidR="006308DA">
        <w:rPr>
          <w:rFonts w:ascii="Verdana" w:hAnsi="Verdana"/>
          <w:bCs/>
          <w:sz w:val="22"/>
          <w:szCs w:val="22"/>
        </w:rPr>
        <w:t xml:space="preserve"> N</w:t>
      </w:r>
      <w:r>
        <w:rPr>
          <w:rFonts w:ascii="Verdana" w:hAnsi="Verdana"/>
          <w:bCs/>
          <w:sz w:val="22"/>
          <w:szCs w:val="22"/>
        </w:rPr>
        <w:t>uevamente se identifica</w:t>
      </w:r>
      <w:r w:rsidR="006A69FE">
        <w:rPr>
          <w:rFonts w:ascii="Verdana" w:hAnsi="Verdana"/>
          <w:bCs/>
          <w:sz w:val="22"/>
          <w:szCs w:val="22"/>
        </w:rPr>
        <w:t>ron</w:t>
      </w:r>
      <w:r>
        <w:rPr>
          <w:rFonts w:ascii="Verdana" w:hAnsi="Verdana"/>
          <w:bCs/>
          <w:sz w:val="22"/>
          <w:szCs w:val="22"/>
        </w:rPr>
        <w:t xml:space="preserve"> las restricciones del STR y STN en varias subáreas operativas</w:t>
      </w:r>
      <w:r w:rsidR="006A69FE">
        <w:rPr>
          <w:rFonts w:ascii="Verdana" w:hAnsi="Verdana"/>
          <w:bCs/>
          <w:sz w:val="22"/>
          <w:szCs w:val="22"/>
        </w:rPr>
        <w:t>, destacando el agotamiento de red generalizado en GCM, Córdoba-Sucre y Bolívar. La presentación en detalle puede ser consultada en la página del Consejo.</w:t>
      </w:r>
    </w:p>
    <w:p w14:paraId="1A884263" w14:textId="77777777" w:rsidR="00FE3017" w:rsidRPr="00FE3017" w:rsidRDefault="00FE3017" w:rsidP="00FE3017">
      <w:pPr>
        <w:pStyle w:val="Prrafodelista"/>
        <w:rPr>
          <w:rFonts w:ascii="Verdana" w:hAnsi="Verdana"/>
          <w:bCs/>
          <w:sz w:val="22"/>
          <w:szCs w:val="22"/>
        </w:rPr>
      </w:pPr>
    </w:p>
    <w:p w14:paraId="5CCC0929" w14:textId="6C031788" w:rsidR="00FE3017" w:rsidRDefault="006A69FE" w:rsidP="006A69FE">
      <w:pPr>
        <w:pStyle w:val="Prrafodelista"/>
        <w:numPr>
          <w:ilvl w:val="0"/>
          <w:numId w:val="17"/>
        </w:numPr>
        <w:jc w:val="both"/>
        <w:rPr>
          <w:rFonts w:ascii="Verdana" w:hAnsi="Verdana"/>
          <w:bCs/>
          <w:sz w:val="22"/>
          <w:szCs w:val="22"/>
        </w:rPr>
      </w:pPr>
      <w:r>
        <w:rPr>
          <w:rFonts w:ascii="Verdana" w:hAnsi="Verdana"/>
          <w:bCs/>
          <w:sz w:val="22"/>
          <w:szCs w:val="22"/>
        </w:rPr>
        <w:t>En el Comité de Operación se revisó nuevamente la información suministrada por los Agentes en respuesta a la Circular CNO 035 del 2019 (EPSA no la reportó). Al respecto, se estableció que para algunas subestaciones sería posible incrementar el nivel de cortocircuito “cambiando” el elemento limitante (interruptores). El balance es el siguiente:</w:t>
      </w:r>
    </w:p>
    <w:p w14:paraId="29B6828F" w14:textId="77777777" w:rsidR="006A69FE" w:rsidRPr="006A69FE" w:rsidRDefault="006A69FE" w:rsidP="006A69FE">
      <w:pPr>
        <w:pStyle w:val="Prrafodelista"/>
        <w:rPr>
          <w:rFonts w:ascii="Verdana" w:hAnsi="Verdana"/>
          <w:bCs/>
          <w:sz w:val="22"/>
          <w:szCs w:val="22"/>
        </w:rPr>
      </w:pPr>
    </w:p>
    <w:p w14:paraId="4DAABA36" w14:textId="0658F1A1" w:rsidR="006A69FE" w:rsidRDefault="006A69FE" w:rsidP="006A69FE">
      <w:pPr>
        <w:pStyle w:val="Prrafodelista"/>
        <w:numPr>
          <w:ilvl w:val="1"/>
          <w:numId w:val="17"/>
        </w:numPr>
        <w:jc w:val="both"/>
        <w:rPr>
          <w:rFonts w:ascii="Verdana" w:hAnsi="Verdana"/>
          <w:bCs/>
          <w:sz w:val="22"/>
          <w:szCs w:val="22"/>
        </w:rPr>
      </w:pPr>
      <w:r>
        <w:rPr>
          <w:rFonts w:ascii="Verdana" w:hAnsi="Verdana"/>
          <w:bCs/>
          <w:sz w:val="22"/>
          <w:szCs w:val="22"/>
        </w:rPr>
        <w:t xml:space="preserve">Gorgonzola 57.5 kV: </w:t>
      </w:r>
      <w:r w:rsidR="00BD3DBF">
        <w:rPr>
          <w:rFonts w:ascii="Verdana" w:hAnsi="Verdana"/>
          <w:bCs/>
          <w:sz w:val="22"/>
          <w:szCs w:val="22"/>
        </w:rPr>
        <w:tab/>
      </w:r>
      <w:r>
        <w:rPr>
          <w:rFonts w:ascii="Verdana" w:hAnsi="Verdana"/>
          <w:bCs/>
          <w:sz w:val="22"/>
          <w:szCs w:val="22"/>
        </w:rPr>
        <w:t>Dos interruptores de 8.4 kA.</w:t>
      </w:r>
    </w:p>
    <w:p w14:paraId="5C4DDE96" w14:textId="61790E7D" w:rsidR="006A69FE" w:rsidRDefault="006A69FE" w:rsidP="006A69FE">
      <w:pPr>
        <w:pStyle w:val="Prrafodelista"/>
        <w:numPr>
          <w:ilvl w:val="1"/>
          <w:numId w:val="17"/>
        </w:numPr>
        <w:jc w:val="both"/>
        <w:rPr>
          <w:rFonts w:ascii="Verdana" w:hAnsi="Verdana"/>
          <w:bCs/>
          <w:sz w:val="22"/>
          <w:szCs w:val="22"/>
        </w:rPr>
      </w:pPr>
      <w:r>
        <w:rPr>
          <w:rFonts w:ascii="Verdana" w:hAnsi="Verdana"/>
          <w:bCs/>
          <w:sz w:val="22"/>
          <w:szCs w:val="22"/>
        </w:rPr>
        <w:t xml:space="preserve">San José 57.5 kV: </w:t>
      </w:r>
      <w:r w:rsidR="00BD3DBF">
        <w:rPr>
          <w:rFonts w:ascii="Verdana" w:hAnsi="Verdana"/>
          <w:bCs/>
          <w:sz w:val="22"/>
          <w:szCs w:val="22"/>
        </w:rPr>
        <w:tab/>
      </w:r>
      <w:r w:rsidR="00BD3DBF">
        <w:rPr>
          <w:rFonts w:ascii="Verdana" w:hAnsi="Verdana"/>
          <w:bCs/>
          <w:sz w:val="22"/>
          <w:szCs w:val="22"/>
        </w:rPr>
        <w:tab/>
      </w:r>
      <w:r>
        <w:rPr>
          <w:rFonts w:ascii="Verdana" w:hAnsi="Verdana"/>
          <w:bCs/>
          <w:sz w:val="22"/>
          <w:szCs w:val="22"/>
        </w:rPr>
        <w:t>Un interruptor de 8.4 kA.</w:t>
      </w:r>
    </w:p>
    <w:p w14:paraId="08EC544C" w14:textId="5C24F2D5" w:rsidR="006A69FE" w:rsidRDefault="006A69FE" w:rsidP="006A69FE">
      <w:pPr>
        <w:pStyle w:val="Prrafodelista"/>
        <w:numPr>
          <w:ilvl w:val="1"/>
          <w:numId w:val="17"/>
        </w:numPr>
        <w:jc w:val="both"/>
        <w:rPr>
          <w:rFonts w:ascii="Verdana" w:hAnsi="Verdana"/>
          <w:bCs/>
          <w:sz w:val="22"/>
          <w:szCs w:val="22"/>
        </w:rPr>
      </w:pPr>
      <w:r>
        <w:rPr>
          <w:rFonts w:ascii="Verdana" w:hAnsi="Verdana"/>
          <w:bCs/>
          <w:sz w:val="22"/>
          <w:szCs w:val="22"/>
        </w:rPr>
        <w:t>Concordia</w:t>
      </w:r>
      <w:r w:rsidR="0078530C">
        <w:rPr>
          <w:rFonts w:ascii="Verdana" w:hAnsi="Verdana"/>
          <w:bCs/>
          <w:sz w:val="22"/>
          <w:szCs w:val="22"/>
        </w:rPr>
        <w:t xml:space="preserve"> 57.5 kV</w:t>
      </w:r>
      <w:r>
        <w:rPr>
          <w:rFonts w:ascii="Verdana" w:hAnsi="Verdana"/>
          <w:bCs/>
          <w:sz w:val="22"/>
          <w:szCs w:val="22"/>
        </w:rPr>
        <w:t xml:space="preserve">: </w:t>
      </w:r>
      <w:r w:rsidR="00BD3DBF">
        <w:rPr>
          <w:rFonts w:ascii="Verdana" w:hAnsi="Verdana"/>
          <w:bCs/>
          <w:sz w:val="22"/>
          <w:szCs w:val="22"/>
        </w:rPr>
        <w:tab/>
      </w:r>
      <w:r>
        <w:rPr>
          <w:rFonts w:ascii="Verdana" w:hAnsi="Verdana"/>
          <w:bCs/>
          <w:sz w:val="22"/>
          <w:szCs w:val="22"/>
        </w:rPr>
        <w:t>Todos los interruptores de 12.6 kA.</w:t>
      </w:r>
    </w:p>
    <w:p w14:paraId="2A4A9011" w14:textId="3D2406DA" w:rsidR="006A69FE" w:rsidRDefault="006A69FE" w:rsidP="006A69FE">
      <w:pPr>
        <w:pStyle w:val="Prrafodelista"/>
        <w:numPr>
          <w:ilvl w:val="1"/>
          <w:numId w:val="17"/>
        </w:numPr>
        <w:jc w:val="both"/>
        <w:rPr>
          <w:rFonts w:ascii="Verdana" w:hAnsi="Verdana"/>
          <w:bCs/>
          <w:sz w:val="22"/>
          <w:szCs w:val="22"/>
        </w:rPr>
      </w:pPr>
      <w:r>
        <w:rPr>
          <w:rFonts w:ascii="Verdana" w:hAnsi="Verdana"/>
          <w:bCs/>
          <w:sz w:val="22"/>
          <w:szCs w:val="22"/>
        </w:rPr>
        <w:t>San Facón</w:t>
      </w:r>
      <w:r w:rsidR="0078530C">
        <w:rPr>
          <w:rFonts w:ascii="Verdana" w:hAnsi="Verdana"/>
          <w:bCs/>
          <w:sz w:val="22"/>
          <w:szCs w:val="22"/>
        </w:rPr>
        <w:t>57.5 kV</w:t>
      </w:r>
      <w:r>
        <w:rPr>
          <w:rFonts w:ascii="Verdana" w:hAnsi="Verdana"/>
          <w:bCs/>
          <w:sz w:val="22"/>
          <w:szCs w:val="22"/>
        </w:rPr>
        <w:t xml:space="preserve">: </w:t>
      </w:r>
      <w:r w:rsidR="00BD3DBF">
        <w:rPr>
          <w:rFonts w:ascii="Verdana" w:hAnsi="Verdana"/>
          <w:bCs/>
          <w:sz w:val="22"/>
          <w:szCs w:val="22"/>
        </w:rPr>
        <w:tab/>
      </w:r>
      <w:r>
        <w:rPr>
          <w:rFonts w:ascii="Verdana" w:hAnsi="Verdana"/>
          <w:bCs/>
          <w:sz w:val="22"/>
          <w:szCs w:val="22"/>
        </w:rPr>
        <w:t>Todos los interruptores de 14.5 kA.</w:t>
      </w:r>
    </w:p>
    <w:p w14:paraId="5AFC85A7" w14:textId="288A7223" w:rsidR="00BD3DBF" w:rsidRDefault="006A69FE" w:rsidP="00BD3DBF">
      <w:pPr>
        <w:pStyle w:val="Prrafodelista"/>
        <w:numPr>
          <w:ilvl w:val="1"/>
          <w:numId w:val="17"/>
        </w:numPr>
        <w:jc w:val="both"/>
        <w:rPr>
          <w:rFonts w:ascii="Verdana" w:hAnsi="Verdana"/>
          <w:bCs/>
          <w:sz w:val="22"/>
          <w:szCs w:val="22"/>
        </w:rPr>
      </w:pPr>
      <w:r>
        <w:rPr>
          <w:rFonts w:ascii="Verdana" w:hAnsi="Verdana"/>
          <w:bCs/>
          <w:sz w:val="22"/>
          <w:szCs w:val="22"/>
        </w:rPr>
        <w:t xml:space="preserve">Ternera 66 kV: </w:t>
      </w:r>
      <w:r w:rsidR="00BD3DBF">
        <w:rPr>
          <w:rFonts w:ascii="Verdana" w:hAnsi="Verdana"/>
          <w:bCs/>
          <w:sz w:val="22"/>
          <w:szCs w:val="22"/>
        </w:rPr>
        <w:tab/>
      </w:r>
      <w:r w:rsidR="00BD3DBF">
        <w:rPr>
          <w:rFonts w:ascii="Verdana" w:hAnsi="Verdana"/>
          <w:bCs/>
          <w:sz w:val="22"/>
          <w:szCs w:val="22"/>
        </w:rPr>
        <w:tab/>
      </w:r>
      <w:r>
        <w:rPr>
          <w:rFonts w:ascii="Verdana" w:hAnsi="Verdana"/>
          <w:bCs/>
          <w:sz w:val="22"/>
          <w:szCs w:val="22"/>
        </w:rPr>
        <w:t>Todos los interruptores de 2</w:t>
      </w:r>
      <w:r w:rsidRPr="00BD3DBF">
        <w:rPr>
          <w:rFonts w:ascii="Verdana" w:hAnsi="Verdana"/>
          <w:bCs/>
          <w:sz w:val="22"/>
          <w:szCs w:val="22"/>
        </w:rPr>
        <w:t>5 kA.</w:t>
      </w:r>
    </w:p>
    <w:p w14:paraId="7A90872B" w14:textId="33FDCE7D" w:rsidR="00BD3DBF" w:rsidRDefault="00BD3DBF" w:rsidP="00BD3DBF">
      <w:pPr>
        <w:pStyle w:val="Prrafodelista"/>
        <w:numPr>
          <w:ilvl w:val="1"/>
          <w:numId w:val="17"/>
        </w:numPr>
        <w:jc w:val="both"/>
        <w:rPr>
          <w:rFonts w:ascii="Verdana" w:hAnsi="Verdana"/>
          <w:bCs/>
          <w:sz w:val="22"/>
          <w:szCs w:val="22"/>
        </w:rPr>
      </w:pPr>
      <w:r>
        <w:rPr>
          <w:rFonts w:ascii="Verdana" w:hAnsi="Verdana"/>
          <w:bCs/>
          <w:sz w:val="22"/>
          <w:szCs w:val="22"/>
        </w:rPr>
        <w:t xml:space="preserve">Salitre 115 kV: </w:t>
      </w:r>
      <w:r>
        <w:rPr>
          <w:rFonts w:ascii="Verdana" w:hAnsi="Verdana"/>
          <w:bCs/>
          <w:sz w:val="22"/>
          <w:szCs w:val="22"/>
        </w:rPr>
        <w:tab/>
      </w:r>
      <w:r>
        <w:rPr>
          <w:rFonts w:ascii="Verdana" w:hAnsi="Verdana"/>
          <w:bCs/>
          <w:sz w:val="22"/>
          <w:szCs w:val="22"/>
        </w:rPr>
        <w:tab/>
        <w:t>Tres interruptores 31.5 kA.</w:t>
      </w:r>
    </w:p>
    <w:p w14:paraId="0911AF80" w14:textId="0C1E3B83" w:rsidR="00BD3DBF" w:rsidRDefault="00BD3DBF" w:rsidP="00BD3DBF">
      <w:pPr>
        <w:pStyle w:val="Prrafodelista"/>
        <w:numPr>
          <w:ilvl w:val="1"/>
          <w:numId w:val="17"/>
        </w:numPr>
        <w:jc w:val="both"/>
        <w:rPr>
          <w:rFonts w:ascii="Verdana" w:hAnsi="Verdana"/>
          <w:bCs/>
          <w:sz w:val="22"/>
          <w:szCs w:val="22"/>
        </w:rPr>
      </w:pPr>
      <w:r>
        <w:rPr>
          <w:rFonts w:ascii="Verdana" w:hAnsi="Verdana"/>
          <w:bCs/>
          <w:sz w:val="22"/>
          <w:szCs w:val="22"/>
        </w:rPr>
        <w:t xml:space="preserve">Circo 115 kV: </w:t>
      </w:r>
      <w:r>
        <w:rPr>
          <w:rFonts w:ascii="Verdana" w:hAnsi="Verdana"/>
          <w:bCs/>
          <w:sz w:val="22"/>
          <w:szCs w:val="22"/>
        </w:rPr>
        <w:tab/>
      </w:r>
      <w:r>
        <w:rPr>
          <w:rFonts w:ascii="Verdana" w:hAnsi="Verdana"/>
          <w:bCs/>
          <w:sz w:val="22"/>
          <w:szCs w:val="22"/>
        </w:rPr>
        <w:tab/>
        <w:t>Todos los interruptores de 31.5 kA.</w:t>
      </w:r>
    </w:p>
    <w:p w14:paraId="5BACC66A" w14:textId="2A27BA61" w:rsidR="00BD3DBF" w:rsidRDefault="00BD3DBF" w:rsidP="00BD3DBF">
      <w:pPr>
        <w:pStyle w:val="Prrafodelista"/>
        <w:numPr>
          <w:ilvl w:val="1"/>
          <w:numId w:val="17"/>
        </w:numPr>
        <w:jc w:val="both"/>
        <w:rPr>
          <w:rFonts w:ascii="Verdana" w:hAnsi="Verdana"/>
          <w:bCs/>
          <w:sz w:val="22"/>
          <w:szCs w:val="22"/>
        </w:rPr>
      </w:pPr>
      <w:r>
        <w:rPr>
          <w:rFonts w:ascii="Verdana" w:hAnsi="Verdana"/>
          <w:bCs/>
          <w:sz w:val="22"/>
          <w:szCs w:val="22"/>
        </w:rPr>
        <w:lastRenderedPageBreak/>
        <w:t xml:space="preserve">Tunal 115 kV: </w:t>
      </w:r>
      <w:r>
        <w:rPr>
          <w:rFonts w:ascii="Verdana" w:hAnsi="Verdana"/>
          <w:bCs/>
          <w:sz w:val="22"/>
          <w:szCs w:val="22"/>
        </w:rPr>
        <w:tab/>
      </w:r>
      <w:r>
        <w:rPr>
          <w:rFonts w:ascii="Verdana" w:hAnsi="Verdana"/>
          <w:bCs/>
          <w:sz w:val="22"/>
          <w:szCs w:val="22"/>
        </w:rPr>
        <w:tab/>
        <w:t>Un interruptor de 31.5 kA.</w:t>
      </w:r>
    </w:p>
    <w:p w14:paraId="4A78E3BE" w14:textId="54365646" w:rsidR="00BD3DBF" w:rsidRDefault="00BD3DBF" w:rsidP="00BD3DBF">
      <w:pPr>
        <w:pStyle w:val="Prrafodelista"/>
        <w:numPr>
          <w:ilvl w:val="1"/>
          <w:numId w:val="17"/>
        </w:numPr>
        <w:jc w:val="both"/>
        <w:rPr>
          <w:rFonts w:ascii="Verdana" w:hAnsi="Verdana"/>
          <w:bCs/>
          <w:sz w:val="22"/>
          <w:szCs w:val="22"/>
        </w:rPr>
      </w:pPr>
      <w:r>
        <w:rPr>
          <w:rFonts w:ascii="Verdana" w:hAnsi="Verdana"/>
          <w:bCs/>
          <w:sz w:val="22"/>
          <w:szCs w:val="22"/>
        </w:rPr>
        <w:t xml:space="preserve">Central 110 kV: </w:t>
      </w:r>
      <w:r>
        <w:rPr>
          <w:rFonts w:ascii="Verdana" w:hAnsi="Verdana"/>
          <w:bCs/>
          <w:sz w:val="22"/>
          <w:szCs w:val="22"/>
        </w:rPr>
        <w:tab/>
      </w:r>
      <w:r>
        <w:rPr>
          <w:rFonts w:ascii="Verdana" w:hAnsi="Verdana"/>
          <w:bCs/>
          <w:sz w:val="22"/>
          <w:szCs w:val="22"/>
        </w:rPr>
        <w:tab/>
        <w:t>Un interruptor de 16.7 kA.</w:t>
      </w:r>
    </w:p>
    <w:p w14:paraId="1093E3D2" w14:textId="58296444" w:rsidR="00BD3DBF" w:rsidRDefault="00BD3DBF" w:rsidP="00BD3DBF">
      <w:pPr>
        <w:pStyle w:val="Prrafodelista"/>
        <w:numPr>
          <w:ilvl w:val="1"/>
          <w:numId w:val="17"/>
        </w:numPr>
        <w:jc w:val="both"/>
        <w:rPr>
          <w:rFonts w:ascii="Verdana" w:hAnsi="Verdana"/>
          <w:bCs/>
          <w:sz w:val="22"/>
          <w:szCs w:val="22"/>
        </w:rPr>
      </w:pPr>
      <w:r>
        <w:rPr>
          <w:rFonts w:ascii="Verdana" w:hAnsi="Verdana"/>
          <w:bCs/>
          <w:sz w:val="22"/>
          <w:szCs w:val="22"/>
        </w:rPr>
        <w:t xml:space="preserve">Ancón Sur 110 kV: </w:t>
      </w:r>
      <w:r>
        <w:rPr>
          <w:rFonts w:ascii="Verdana" w:hAnsi="Verdana"/>
          <w:bCs/>
          <w:sz w:val="22"/>
          <w:szCs w:val="22"/>
        </w:rPr>
        <w:tab/>
        <w:t>Tres interruptores de 21 kA.</w:t>
      </w:r>
    </w:p>
    <w:p w14:paraId="600EAABD" w14:textId="419D68AD" w:rsidR="00BD3DBF" w:rsidRDefault="00BD3DBF" w:rsidP="00BD3DBF">
      <w:pPr>
        <w:pStyle w:val="Prrafodelista"/>
        <w:numPr>
          <w:ilvl w:val="1"/>
          <w:numId w:val="17"/>
        </w:numPr>
        <w:jc w:val="both"/>
        <w:rPr>
          <w:rFonts w:ascii="Verdana" w:hAnsi="Verdana"/>
          <w:bCs/>
          <w:sz w:val="22"/>
          <w:szCs w:val="22"/>
        </w:rPr>
      </w:pPr>
      <w:r>
        <w:rPr>
          <w:rFonts w:ascii="Verdana" w:hAnsi="Verdana"/>
          <w:bCs/>
          <w:sz w:val="22"/>
          <w:szCs w:val="22"/>
        </w:rPr>
        <w:t xml:space="preserve">El Salto 110 kV: </w:t>
      </w:r>
      <w:r>
        <w:rPr>
          <w:rFonts w:ascii="Verdana" w:hAnsi="Verdana"/>
          <w:bCs/>
          <w:sz w:val="22"/>
          <w:szCs w:val="22"/>
        </w:rPr>
        <w:tab/>
      </w:r>
      <w:r>
        <w:rPr>
          <w:rFonts w:ascii="Verdana" w:hAnsi="Verdana"/>
          <w:bCs/>
          <w:sz w:val="22"/>
          <w:szCs w:val="22"/>
        </w:rPr>
        <w:tab/>
        <w:t>Un interruptor de 31.5 kA.</w:t>
      </w:r>
    </w:p>
    <w:p w14:paraId="23A4D102" w14:textId="0C8121CB" w:rsidR="00BD3DBF" w:rsidRDefault="00BD3DBF" w:rsidP="00BD3DBF">
      <w:pPr>
        <w:pStyle w:val="Prrafodelista"/>
        <w:numPr>
          <w:ilvl w:val="1"/>
          <w:numId w:val="17"/>
        </w:numPr>
        <w:jc w:val="both"/>
        <w:rPr>
          <w:rFonts w:ascii="Verdana" w:hAnsi="Verdana"/>
          <w:bCs/>
          <w:sz w:val="22"/>
          <w:szCs w:val="22"/>
        </w:rPr>
      </w:pPr>
      <w:r>
        <w:rPr>
          <w:rFonts w:ascii="Verdana" w:hAnsi="Verdana"/>
          <w:bCs/>
          <w:sz w:val="22"/>
          <w:szCs w:val="22"/>
        </w:rPr>
        <w:t xml:space="preserve">Guatapé 220 kV: </w:t>
      </w:r>
      <w:r>
        <w:rPr>
          <w:rFonts w:ascii="Verdana" w:hAnsi="Verdana"/>
          <w:bCs/>
          <w:sz w:val="22"/>
          <w:szCs w:val="22"/>
        </w:rPr>
        <w:tab/>
      </w:r>
      <w:r>
        <w:rPr>
          <w:rFonts w:ascii="Verdana" w:hAnsi="Verdana"/>
          <w:bCs/>
          <w:sz w:val="22"/>
          <w:szCs w:val="22"/>
        </w:rPr>
        <w:tab/>
        <w:t>Bahías Variante ISA 2.</w:t>
      </w:r>
    </w:p>
    <w:p w14:paraId="00B71632" w14:textId="444C77FD" w:rsidR="006A69FE" w:rsidRPr="00BD3DBF" w:rsidRDefault="00BD3DBF" w:rsidP="00BD3DBF">
      <w:pPr>
        <w:pStyle w:val="Prrafodelista"/>
        <w:numPr>
          <w:ilvl w:val="1"/>
          <w:numId w:val="17"/>
        </w:numPr>
        <w:jc w:val="both"/>
        <w:rPr>
          <w:rFonts w:ascii="Verdana" w:hAnsi="Verdana"/>
          <w:bCs/>
          <w:sz w:val="22"/>
          <w:szCs w:val="22"/>
        </w:rPr>
      </w:pPr>
      <w:r>
        <w:rPr>
          <w:rFonts w:ascii="Verdana" w:hAnsi="Verdana"/>
          <w:bCs/>
          <w:sz w:val="22"/>
          <w:szCs w:val="22"/>
        </w:rPr>
        <w:t xml:space="preserve">Sabanalarga 220 kV: </w:t>
      </w:r>
      <w:r>
        <w:rPr>
          <w:rFonts w:ascii="Verdana" w:hAnsi="Verdana"/>
          <w:bCs/>
          <w:sz w:val="22"/>
          <w:szCs w:val="22"/>
        </w:rPr>
        <w:tab/>
        <w:t>Todos los interruptores de 31.5 kA.</w:t>
      </w:r>
      <w:r w:rsidR="006A69FE" w:rsidRPr="00BD3DBF">
        <w:rPr>
          <w:rFonts w:ascii="Verdana" w:hAnsi="Verdana"/>
          <w:bCs/>
          <w:sz w:val="22"/>
          <w:szCs w:val="22"/>
        </w:rPr>
        <w:t xml:space="preserve"> </w:t>
      </w:r>
    </w:p>
    <w:p w14:paraId="19F756A9" w14:textId="77777777" w:rsidR="00FE3017" w:rsidRPr="00FE3017" w:rsidRDefault="00FE3017" w:rsidP="00FE3017">
      <w:pPr>
        <w:pStyle w:val="Prrafodelista"/>
        <w:rPr>
          <w:rFonts w:ascii="Verdana" w:hAnsi="Verdana"/>
          <w:bCs/>
          <w:sz w:val="22"/>
          <w:szCs w:val="22"/>
        </w:rPr>
      </w:pPr>
    </w:p>
    <w:p w14:paraId="4F480BBE" w14:textId="0611A3ED" w:rsidR="00FE3017" w:rsidRDefault="0078530C" w:rsidP="006A69FE">
      <w:pPr>
        <w:pStyle w:val="Prrafodelista"/>
        <w:numPr>
          <w:ilvl w:val="0"/>
          <w:numId w:val="17"/>
        </w:numPr>
        <w:jc w:val="both"/>
        <w:rPr>
          <w:rFonts w:ascii="Verdana" w:hAnsi="Verdana"/>
          <w:bCs/>
          <w:sz w:val="22"/>
          <w:szCs w:val="22"/>
        </w:rPr>
      </w:pPr>
      <w:r>
        <w:rPr>
          <w:rFonts w:ascii="Verdana" w:hAnsi="Verdana"/>
          <w:bCs/>
          <w:sz w:val="22"/>
          <w:szCs w:val="22"/>
        </w:rPr>
        <w:t xml:space="preserve">En el </w:t>
      </w:r>
      <w:r w:rsidR="005817B8">
        <w:rPr>
          <w:rFonts w:ascii="Verdana" w:hAnsi="Verdana"/>
          <w:bCs/>
          <w:sz w:val="22"/>
          <w:szCs w:val="22"/>
        </w:rPr>
        <w:t>S</w:t>
      </w:r>
      <w:r>
        <w:rPr>
          <w:rFonts w:ascii="Verdana" w:hAnsi="Verdana"/>
          <w:bCs/>
          <w:sz w:val="22"/>
          <w:szCs w:val="22"/>
        </w:rPr>
        <w:t>ubcomité de Planeamiento Operativo</w:t>
      </w:r>
      <w:r w:rsidR="007849E0">
        <w:rPr>
          <w:rFonts w:ascii="Verdana" w:hAnsi="Verdana"/>
          <w:bCs/>
          <w:sz w:val="22"/>
          <w:szCs w:val="22"/>
        </w:rPr>
        <w:t>,</w:t>
      </w:r>
      <w:r>
        <w:rPr>
          <w:rFonts w:ascii="Verdana" w:hAnsi="Verdana"/>
          <w:bCs/>
          <w:sz w:val="22"/>
          <w:szCs w:val="22"/>
        </w:rPr>
        <w:t xml:space="preserve"> el CND presentó la necesidad de revaluar el análisis de potencia que se realiza en el marco del cálculo del indicador AE. Lo anterior</w:t>
      </w:r>
      <w:r w:rsidR="005817B8">
        <w:rPr>
          <w:rFonts w:ascii="Verdana" w:hAnsi="Verdana"/>
          <w:bCs/>
          <w:sz w:val="22"/>
          <w:szCs w:val="22"/>
        </w:rPr>
        <w:t>,</w:t>
      </w:r>
      <w:r>
        <w:rPr>
          <w:rFonts w:ascii="Verdana" w:hAnsi="Verdana"/>
          <w:bCs/>
          <w:sz w:val="22"/>
          <w:szCs w:val="22"/>
        </w:rPr>
        <w:t xml:space="preserve"> teniendo en cuenta la incorporación de n</w:t>
      </w:r>
      <w:r w:rsidR="005817B8">
        <w:rPr>
          <w:rFonts w:ascii="Verdana" w:hAnsi="Verdana"/>
          <w:bCs/>
          <w:sz w:val="22"/>
          <w:szCs w:val="22"/>
        </w:rPr>
        <w:t>u</w:t>
      </w:r>
      <w:r>
        <w:rPr>
          <w:rFonts w:ascii="Verdana" w:hAnsi="Verdana"/>
          <w:bCs/>
          <w:sz w:val="22"/>
          <w:szCs w:val="22"/>
        </w:rPr>
        <w:t>evos recurso</w:t>
      </w:r>
      <w:r w:rsidR="005817B8">
        <w:rPr>
          <w:rFonts w:ascii="Verdana" w:hAnsi="Verdana"/>
          <w:bCs/>
          <w:sz w:val="22"/>
          <w:szCs w:val="22"/>
        </w:rPr>
        <w:t>s</w:t>
      </w:r>
      <w:r>
        <w:rPr>
          <w:rFonts w:ascii="Verdana" w:hAnsi="Verdana"/>
          <w:bCs/>
          <w:sz w:val="22"/>
          <w:szCs w:val="22"/>
        </w:rPr>
        <w:t xml:space="preserve"> de generación intermitente y la inclusión del concepto de flexibilidad en los análisis energéticos. En este sentido, se solicita a XM presentar detalladamente en los Subcomités de Planeamiento Operativo y Plantas el cálculo de la flexibilidad sistémica para el SIN, el cual fue socializado en el Foro XM 2019.</w:t>
      </w:r>
    </w:p>
    <w:p w14:paraId="7C8A654F" w14:textId="77777777" w:rsidR="005817B8" w:rsidRDefault="005817B8" w:rsidP="006308DA">
      <w:pPr>
        <w:pStyle w:val="Prrafodelista"/>
        <w:ind w:left="360"/>
        <w:jc w:val="both"/>
        <w:rPr>
          <w:rFonts w:ascii="Verdana" w:hAnsi="Verdana"/>
          <w:bCs/>
          <w:sz w:val="22"/>
          <w:szCs w:val="22"/>
        </w:rPr>
      </w:pPr>
    </w:p>
    <w:p w14:paraId="34B954B6" w14:textId="4AD600BF" w:rsidR="005817B8" w:rsidRDefault="005817B8" w:rsidP="006A69FE">
      <w:pPr>
        <w:pStyle w:val="Prrafodelista"/>
        <w:numPr>
          <w:ilvl w:val="0"/>
          <w:numId w:val="17"/>
        </w:numPr>
        <w:jc w:val="both"/>
        <w:rPr>
          <w:rFonts w:ascii="Verdana" w:hAnsi="Verdana"/>
          <w:bCs/>
          <w:sz w:val="22"/>
          <w:szCs w:val="22"/>
        </w:rPr>
      </w:pPr>
      <w:r>
        <w:rPr>
          <w:rFonts w:ascii="Verdana" w:hAnsi="Verdana"/>
          <w:bCs/>
          <w:sz w:val="22"/>
          <w:szCs w:val="22"/>
        </w:rPr>
        <w:t xml:space="preserve">Se abrió la convocatoria para integrar la lista </w:t>
      </w:r>
      <w:r w:rsidRPr="005817B8">
        <w:rPr>
          <w:rFonts w:ascii="Verdana" w:hAnsi="Verdana"/>
          <w:bCs/>
          <w:sz w:val="22"/>
          <w:szCs w:val="22"/>
        </w:rPr>
        <w:t xml:space="preserve">de auditores de las pruebas de verificación de la curva de carga de las plantas eólicas y solares fotovoltaicas conectadas al </w:t>
      </w:r>
      <w:r>
        <w:rPr>
          <w:rFonts w:ascii="Verdana" w:hAnsi="Verdana"/>
          <w:bCs/>
          <w:sz w:val="22"/>
          <w:szCs w:val="22"/>
        </w:rPr>
        <w:t>STN</w:t>
      </w:r>
      <w:r w:rsidRPr="005817B8">
        <w:rPr>
          <w:rFonts w:ascii="Verdana" w:hAnsi="Verdana"/>
          <w:bCs/>
          <w:sz w:val="22"/>
          <w:szCs w:val="22"/>
        </w:rPr>
        <w:t xml:space="preserve"> y </w:t>
      </w:r>
      <w:r>
        <w:rPr>
          <w:rFonts w:ascii="Verdana" w:hAnsi="Verdana"/>
          <w:bCs/>
          <w:sz w:val="22"/>
          <w:szCs w:val="22"/>
        </w:rPr>
        <w:t>STR.</w:t>
      </w:r>
    </w:p>
    <w:p w14:paraId="62EE630C" w14:textId="77777777" w:rsidR="00223CA5" w:rsidRPr="006308DA" w:rsidRDefault="00223CA5" w:rsidP="006308DA">
      <w:pPr>
        <w:pStyle w:val="Prrafodelista"/>
        <w:rPr>
          <w:rFonts w:ascii="Verdana" w:hAnsi="Verdana"/>
          <w:bCs/>
          <w:sz w:val="22"/>
          <w:szCs w:val="22"/>
        </w:rPr>
      </w:pPr>
    </w:p>
    <w:p w14:paraId="3D50CA53" w14:textId="77777777" w:rsidR="009B29ED" w:rsidRDefault="00223CA5" w:rsidP="009B29ED">
      <w:pPr>
        <w:pStyle w:val="Prrafodelista"/>
        <w:numPr>
          <w:ilvl w:val="0"/>
          <w:numId w:val="17"/>
        </w:numPr>
        <w:jc w:val="both"/>
        <w:rPr>
          <w:rFonts w:ascii="Verdana" w:hAnsi="Verdana"/>
          <w:bCs/>
          <w:sz w:val="22"/>
          <w:szCs w:val="22"/>
        </w:rPr>
      </w:pPr>
      <w:r w:rsidRPr="00223CA5">
        <w:rPr>
          <w:rFonts w:ascii="Verdana" w:hAnsi="Verdana"/>
          <w:bCs/>
          <w:sz w:val="22"/>
          <w:szCs w:val="22"/>
        </w:rPr>
        <w:t>Se llevó a cabo la primera reunión de coordinación gas – electricidad con el CNO de gas, en la que el CND presentó las situaciones operativas que ameritan la coordinación estrecha de los 2 sectores</w:t>
      </w:r>
      <w:r>
        <w:rPr>
          <w:rFonts w:ascii="Verdana" w:hAnsi="Verdana"/>
          <w:bCs/>
          <w:sz w:val="22"/>
          <w:szCs w:val="22"/>
        </w:rPr>
        <w:t>, lo cual es consecuente con lo expresado por el Profesor Mancarella en el Congreso MEM.</w:t>
      </w:r>
      <w:r w:rsidRPr="00223CA5">
        <w:rPr>
          <w:rFonts w:ascii="Verdana" w:hAnsi="Verdana"/>
          <w:bCs/>
          <w:sz w:val="22"/>
          <w:szCs w:val="22"/>
        </w:rPr>
        <w:t xml:space="preserve"> La siguiente reunión está programada para el jueves 14 de noviembre.</w:t>
      </w:r>
      <w:r w:rsidR="009B29ED" w:rsidRPr="009B29ED">
        <w:rPr>
          <w:rFonts w:ascii="Verdana" w:hAnsi="Verdana"/>
          <w:bCs/>
          <w:sz w:val="22"/>
          <w:szCs w:val="22"/>
        </w:rPr>
        <w:t xml:space="preserve"> </w:t>
      </w:r>
    </w:p>
    <w:p w14:paraId="5F6EB50E" w14:textId="77777777" w:rsidR="009B29ED" w:rsidRPr="009B29ED" w:rsidRDefault="009B29ED" w:rsidP="009B29ED">
      <w:pPr>
        <w:pStyle w:val="Prrafodelista"/>
        <w:rPr>
          <w:rFonts w:ascii="Verdana" w:hAnsi="Verdana"/>
          <w:bCs/>
          <w:sz w:val="22"/>
          <w:szCs w:val="22"/>
        </w:rPr>
      </w:pPr>
    </w:p>
    <w:p w14:paraId="42DCB9C3" w14:textId="1A4AA962" w:rsidR="009B29ED" w:rsidRPr="00230E83" w:rsidRDefault="009B29ED" w:rsidP="009B29ED">
      <w:pPr>
        <w:pStyle w:val="Prrafodelista"/>
        <w:numPr>
          <w:ilvl w:val="0"/>
          <w:numId w:val="17"/>
        </w:numPr>
        <w:jc w:val="both"/>
        <w:rPr>
          <w:rFonts w:ascii="Verdana" w:hAnsi="Verdana"/>
          <w:bCs/>
          <w:sz w:val="22"/>
          <w:szCs w:val="22"/>
        </w:rPr>
      </w:pPr>
      <w:r w:rsidRPr="00230E83">
        <w:rPr>
          <w:rFonts w:ascii="Verdana" w:hAnsi="Verdana"/>
          <w:bCs/>
          <w:sz w:val="22"/>
          <w:szCs w:val="22"/>
        </w:rPr>
        <w:t>En el subcomité de Recursos Energéticos Renovables-SURER se est</w:t>
      </w:r>
      <w:r w:rsidRPr="00761E40">
        <w:rPr>
          <w:rFonts w:ascii="Verdana" w:hAnsi="Verdana"/>
          <w:bCs/>
          <w:sz w:val="22"/>
          <w:szCs w:val="22"/>
        </w:rPr>
        <w:t>á</w:t>
      </w:r>
      <w:r w:rsidRPr="00230E83">
        <w:rPr>
          <w:rFonts w:ascii="Verdana" w:hAnsi="Verdana"/>
          <w:bCs/>
          <w:sz w:val="22"/>
          <w:szCs w:val="22"/>
        </w:rPr>
        <w:t xml:space="preserve"> construyendo junto con la Universidad de los Andes</w:t>
      </w:r>
      <w:r w:rsidRPr="00761E40">
        <w:rPr>
          <w:rFonts w:ascii="Verdana" w:hAnsi="Verdana"/>
          <w:bCs/>
          <w:sz w:val="22"/>
          <w:szCs w:val="22"/>
        </w:rPr>
        <w:t>,</w:t>
      </w:r>
      <w:r w:rsidRPr="00230E83">
        <w:rPr>
          <w:rFonts w:ascii="Verdana" w:hAnsi="Verdana"/>
          <w:bCs/>
          <w:sz w:val="22"/>
          <w:szCs w:val="22"/>
        </w:rPr>
        <w:t xml:space="preserve"> una modelo en </w:t>
      </w:r>
      <w:r w:rsidRPr="00761E40">
        <w:rPr>
          <w:rFonts w:ascii="Verdana" w:hAnsi="Verdana"/>
          <w:bCs/>
          <w:sz w:val="22"/>
          <w:szCs w:val="22"/>
        </w:rPr>
        <w:t>“</w:t>
      </w:r>
      <w:r w:rsidRPr="00230E83">
        <w:rPr>
          <w:rFonts w:ascii="Verdana" w:hAnsi="Verdana"/>
          <w:bCs/>
          <w:sz w:val="22"/>
          <w:szCs w:val="22"/>
        </w:rPr>
        <w:t>pyton</w:t>
      </w:r>
      <w:r w:rsidRPr="00761E40">
        <w:rPr>
          <w:rFonts w:ascii="Verdana" w:hAnsi="Verdana"/>
          <w:bCs/>
          <w:sz w:val="22"/>
          <w:szCs w:val="22"/>
        </w:rPr>
        <w:t>”</w:t>
      </w:r>
      <w:r w:rsidRPr="00230E83">
        <w:rPr>
          <w:rFonts w:ascii="Verdana" w:hAnsi="Verdana"/>
          <w:bCs/>
          <w:sz w:val="22"/>
          <w:szCs w:val="22"/>
        </w:rPr>
        <w:t xml:space="preserve"> para </w:t>
      </w:r>
      <w:r w:rsidRPr="00761E40">
        <w:rPr>
          <w:rFonts w:ascii="Verdana" w:hAnsi="Verdana"/>
          <w:bCs/>
          <w:sz w:val="22"/>
          <w:szCs w:val="22"/>
        </w:rPr>
        <w:t>obtener</w:t>
      </w:r>
      <w:r w:rsidRPr="00230E83">
        <w:rPr>
          <w:rFonts w:ascii="Verdana" w:hAnsi="Verdana"/>
          <w:bCs/>
          <w:sz w:val="22"/>
          <w:szCs w:val="22"/>
        </w:rPr>
        <w:t xml:space="preserve"> la curva de potencia vs recurso primario de las planta eólicas y solares fotovoltaicas que se conectaran en el STN o STR.</w:t>
      </w:r>
      <w:r w:rsidRPr="00761E40">
        <w:rPr>
          <w:rFonts w:ascii="Verdana" w:hAnsi="Verdana"/>
          <w:bCs/>
          <w:sz w:val="22"/>
          <w:szCs w:val="22"/>
        </w:rPr>
        <w:t xml:space="preserve"> Lo anterior en el marco del Acuerdo 1213, el cual definió los parámetros que deben ser reportados al CND para este tipo de tecnologías de generación.</w:t>
      </w:r>
    </w:p>
    <w:p w14:paraId="0685B97F" w14:textId="28CF4DE6" w:rsidR="00223CA5" w:rsidRPr="009B29ED" w:rsidRDefault="00223CA5" w:rsidP="009B29ED">
      <w:pPr>
        <w:jc w:val="both"/>
      </w:pPr>
    </w:p>
    <w:p w14:paraId="75D4FEC0" w14:textId="77777777" w:rsidR="009B29ED" w:rsidRDefault="009B29ED" w:rsidP="009B29ED">
      <w:pPr>
        <w:pStyle w:val="Prrafodelista"/>
      </w:pPr>
    </w:p>
    <w:p w14:paraId="01C175E8" w14:textId="77777777" w:rsidR="009B29ED" w:rsidRPr="00286A3A" w:rsidRDefault="009B29ED" w:rsidP="009B29ED">
      <w:pPr>
        <w:jc w:val="both"/>
      </w:pPr>
    </w:p>
    <w:p w14:paraId="0DE2DBF0" w14:textId="77777777" w:rsidR="00FE3017" w:rsidRDefault="00FE3017" w:rsidP="00FE3017">
      <w:pPr>
        <w:pStyle w:val="Prrafodelista"/>
        <w:ind w:left="360"/>
        <w:jc w:val="both"/>
        <w:rPr>
          <w:rFonts w:ascii="Verdana" w:hAnsi="Verdana"/>
          <w:bCs/>
          <w:sz w:val="22"/>
          <w:szCs w:val="22"/>
        </w:rPr>
      </w:pPr>
    </w:p>
    <w:p w14:paraId="3C972572" w14:textId="77777777" w:rsidR="00FE3017" w:rsidRPr="00FE3017" w:rsidRDefault="00FE3017" w:rsidP="00FE3017">
      <w:pPr>
        <w:pStyle w:val="Prrafodelista"/>
        <w:rPr>
          <w:rFonts w:ascii="Verdana" w:hAnsi="Verdana"/>
          <w:bCs/>
          <w:sz w:val="22"/>
          <w:szCs w:val="22"/>
        </w:rPr>
      </w:pPr>
    </w:p>
    <w:p w14:paraId="5136C101" w14:textId="77777777" w:rsidR="00FE3017" w:rsidRPr="00424C05" w:rsidRDefault="00FE3017" w:rsidP="00FE3017">
      <w:pPr>
        <w:pStyle w:val="Prrafodelista"/>
        <w:ind w:left="360"/>
        <w:jc w:val="both"/>
        <w:rPr>
          <w:rFonts w:ascii="Verdana" w:hAnsi="Verdana"/>
          <w:bCs/>
          <w:sz w:val="22"/>
          <w:szCs w:val="22"/>
        </w:rPr>
      </w:pPr>
    </w:p>
    <w:sectPr w:rsidR="00FE3017" w:rsidRPr="00424C05">
      <w:headerReference w:type="default" r:id="rId11"/>
      <w:footerReference w:type="default" r:id="rId12"/>
      <w:pgSz w:w="12242" w:h="15842"/>
      <w:pgMar w:top="851" w:right="1327" w:bottom="1134" w:left="1701" w:header="851" w:footer="85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8DD49A" w14:textId="77777777" w:rsidR="008569C3" w:rsidRDefault="008569C3">
      <w:r>
        <w:separator/>
      </w:r>
    </w:p>
  </w:endnote>
  <w:endnote w:type="continuationSeparator" w:id="0">
    <w:p w14:paraId="7E1F9CEA" w14:textId="77777777" w:rsidR="008569C3" w:rsidRDefault="008569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ncizar Sans Regular">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FB8A66" w14:textId="2D26049C" w:rsidR="006A69FE" w:rsidRPr="008F3C55" w:rsidRDefault="006A69FE">
    <w:pPr>
      <w:pStyle w:val="Piedepgina"/>
      <w:rPr>
        <w:rFonts w:ascii="Verdana" w:hAnsi="Verdana"/>
        <w:sz w:val="22"/>
        <w:szCs w:val="22"/>
      </w:rPr>
    </w:pPr>
    <w:r w:rsidRPr="008F3C55">
      <w:rPr>
        <w:rFonts w:ascii="Verdana" w:hAnsi="Verdana"/>
        <w:sz w:val="22"/>
        <w:szCs w:val="22"/>
      </w:rPr>
      <w:t>Informe Secretario Técnico 5</w:t>
    </w:r>
    <w:r>
      <w:rPr>
        <w:rFonts w:ascii="Verdana" w:hAnsi="Verdana"/>
        <w:sz w:val="22"/>
        <w:szCs w:val="22"/>
      </w:rPr>
      <w:t>75</w:t>
    </w:r>
  </w:p>
  <w:p w14:paraId="34876705" w14:textId="543589FD" w:rsidR="006A69FE" w:rsidRDefault="006A69FE">
    <w:pPr>
      <w:pBdr>
        <w:top w:val="nil"/>
        <w:left w:val="nil"/>
        <w:bottom w:val="nil"/>
        <w:right w:val="nil"/>
        <w:between w:val="nil"/>
      </w:pBdr>
      <w:tabs>
        <w:tab w:val="center" w:pos="4252"/>
        <w:tab w:val="right" w:pos="8504"/>
      </w:tabs>
      <w:rPr>
        <w:rFonts w:ascii="Verdana" w:eastAsia="Verdana" w:hAnsi="Verdana" w:cs="Verdana"/>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741055" w14:textId="77777777" w:rsidR="008569C3" w:rsidRDefault="008569C3">
      <w:r>
        <w:separator/>
      </w:r>
    </w:p>
  </w:footnote>
  <w:footnote w:type="continuationSeparator" w:id="0">
    <w:p w14:paraId="53A360D0" w14:textId="77777777" w:rsidR="008569C3" w:rsidRDefault="008569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074407" w14:textId="77777777" w:rsidR="006A69FE" w:rsidRDefault="006A69FE">
    <w:pPr>
      <w:pBdr>
        <w:top w:val="nil"/>
        <w:left w:val="nil"/>
        <w:bottom w:val="nil"/>
        <w:right w:val="nil"/>
        <w:between w:val="nil"/>
      </w:pBdr>
      <w:tabs>
        <w:tab w:val="center" w:pos="4419"/>
        <w:tab w:val="left" w:pos="7180"/>
      </w:tabs>
      <w:rPr>
        <w:b/>
        <w:color w:val="000000"/>
        <w:sz w:val="40"/>
        <w:szCs w:val="40"/>
      </w:rPr>
    </w:pPr>
  </w:p>
  <w:p w14:paraId="35C99D28" w14:textId="77777777" w:rsidR="006A69FE" w:rsidRDefault="006A69FE">
    <w:pPr>
      <w:pBdr>
        <w:top w:val="nil"/>
        <w:left w:val="nil"/>
        <w:bottom w:val="nil"/>
        <w:right w:val="nil"/>
        <w:between w:val="nil"/>
      </w:pBdr>
      <w:tabs>
        <w:tab w:val="center" w:pos="4419"/>
        <w:tab w:val="left" w:pos="7180"/>
      </w:tabs>
      <w:rPr>
        <w:b/>
        <w:color w:val="000000"/>
        <w:sz w:val="40"/>
        <w:szCs w:val="40"/>
      </w:rPr>
    </w:pPr>
    <w:r>
      <w:rPr>
        <w:b/>
        <w:color w:val="000000"/>
        <w:sz w:val="40"/>
        <w:szCs w:val="40"/>
      </w:rPr>
      <w:tab/>
    </w:r>
    <w:r>
      <w:rPr>
        <w:b/>
        <w:color w:val="000000"/>
        <w:sz w:val="40"/>
        <w:szCs w:val="40"/>
      </w:rPr>
      <w:tab/>
    </w:r>
    <w:r>
      <w:rPr>
        <w:noProof/>
      </w:rPr>
      <w:drawing>
        <wp:anchor distT="0" distB="0" distL="114300" distR="114300" simplePos="0" relativeHeight="251658240" behindDoc="0" locked="0" layoutInCell="1" hidden="0" allowOverlap="1" wp14:anchorId="3F22EB6C" wp14:editId="39AE63E1">
          <wp:simplePos x="0" y="0"/>
          <wp:positionH relativeFrom="column">
            <wp:posOffset>2011679</wp:posOffset>
          </wp:positionH>
          <wp:positionV relativeFrom="paragraph">
            <wp:posOffset>-445134</wp:posOffset>
          </wp:positionV>
          <wp:extent cx="1827530" cy="695325"/>
          <wp:effectExtent l="0" t="0" r="0" b="0"/>
          <wp:wrapSquare wrapText="bothSides" distT="0" distB="0" distL="114300" distR="114300"/>
          <wp:docPr id="5" name="image1.png" descr="cid:image002.jpg@01D3D593.164EAD00"/>
          <wp:cNvGraphicFramePr/>
          <a:graphic xmlns:a="http://schemas.openxmlformats.org/drawingml/2006/main">
            <a:graphicData uri="http://schemas.openxmlformats.org/drawingml/2006/picture">
              <pic:pic xmlns:pic="http://schemas.openxmlformats.org/drawingml/2006/picture">
                <pic:nvPicPr>
                  <pic:cNvPr id="0" name="image1.png" descr="cid:image002.jpg@01D3D593.164EAD00"/>
                  <pic:cNvPicPr preferRelativeResize="0"/>
                </pic:nvPicPr>
                <pic:blipFill>
                  <a:blip r:embed="rId1"/>
                  <a:srcRect/>
                  <a:stretch>
                    <a:fillRect/>
                  </a:stretch>
                </pic:blipFill>
                <pic:spPr>
                  <a:xfrm>
                    <a:off x="0" y="0"/>
                    <a:ext cx="1827530" cy="69532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80B2D"/>
    <w:multiLevelType w:val="hybridMultilevel"/>
    <w:tmpl w:val="DC180C0E"/>
    <w:lvl w:ilvl="0" w:tplc="240A000F">
      <w:start w:val="1"/>
      <w:numFmt w:val="decimal"/>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B2953CD"/>
    <w:multiLevelType w:val="hybridMultilevel"/>
    <w:tmpl w:val="3398B3A2"/>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DC74B52"/>
    <w:multiLevelType w:val="hybridMultilevel"/>
    <w:tmpl w:val="992A5A1C"/>
    <w:lvl w:ilvl="0" w:tplc="240A0005">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3" w15:restartNumberingAfterBreak="0">
    <w:nsid w:val="10FC36F0"/>
    <w:multiLevelType w:val="hybridMultilevel"/>
    <w:tmpl w:val="81CE3D74"/>
    <w:lvl w:ilvl="0" w:tplc="B8A65B28">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15:restartNumberingAfterBreak="0">
    <w:nsid w:val="194A6A03"/>
    <w:multiLevelType w:val="hybridMultilevel"/>
    <w:tmpl w:val="90745DE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A8E7E3E"/>
    <w:multiLevelType w:val="hybridMultilevel"/>
    <w:tmpl w:val="D16218AA"/>
    <w:lvl w:ilvl="0" w:tplc="240A0005">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15:restartNumberingAfterBreak="0">
    <w:nsid w:val="1BB35078"/>
    <w:multiLevelType w:val="hybridMultilevel"/>
    <w:tmpl w:val="9E62B12E"/>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380B47C9"/>
    <w:multiLevelType w:val="hybridMultilevel"/>
    <w:tmpl w:val="4D342F54"/>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3E853D13"/>
    <w:multiLevelType w:val="hybridMultilevel"/>
    <w:tmpl w:val="7ACC7C8C"/>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41120FF5"/>
    <w:multiLevelType w:val="hybridMultilevel"/>
    <w:tmpl w:val="C51C65C6"/>
    <w:lvl w:ilvl="0" w:tplc="240A0005">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0" w15:restartNumberingAfterBreak="0">
    <w:nsid w:val="4281233E"/>
    <w:multiLevelType w:val="hybridMultilevel"/>
    <w:tmpl w:val="71E4A7C8"/>
    <w:lvl w:ilvl="0" w:tplc="240A000F">
      <w:start w:val="1"/>
      <w:numFmt w:val="decimal"/>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1" w15:restartNumberingAfterBreak="0">
    <w:nsid w:val="462F4353"/>
    <w:multiLevelType w:val="hybridMultilevel"/>
    <w:tmpl w:val="FD681EB0"/>
    <w:lvl w:ilvl="0" w:tplc="8EE69300">
      <w:start w:val="1"/>
      <w:numFmt w:val="bullet"/>
      <w:lvlText w:val=""/>
      <w:lvlJc w:val="left"/>
      <w:pPr>
        <w:tabs>
          <w:tab w:val="num" w:pos="720"/>
        </w:tabs>
        <w:ind w:left="720" w:hanging="360"/>
      </w:pPr>
      <w:rPr>
        <w:rFonts w:ascii="Wingdings" w:hAnsi="Wingdings" w:hint="default"/>
      </w:rPr>
    </w:lvl>
    <w:lvl w:ilvl="1" w:tplc="D892EA8C" w:tentative="1">
      <w:start w:val="1"/>
      <w:numFmt w:val="bullet"/>
      <w:lvlText w:val=""/>
      <w:lvlJc w:val="left"/>
      <w:pPr>
        <w:tabs>
          <w:tab w:val="num" w:pos="1440"/>
        </w:tabs>
        <w:ind w:left="1440" w:hanging="360"/>
      </w:pPr>
      <w:rPr>
        <w:rFonts w:ascii="Wingdings" w:hAnsi="Wingdings" w:hint="default"/>
      </w:rPr>
    </w:lvl>
    <w:lvl w:ilvl="2" w:tplc="A85AF0A2" w:tentative="1">
      <w:start w:val="1"/>
      <w:numFmt w:val="bullet"/>
      <w:lvlText w:val=""/>
      <w:lvlJc w:val="left"/>
      <w:pPr>
        <w:tabs>
          <w:tab w:val="num" w:pos="2160"/>
        </w:tabs>
        <w:ind w:left="2160" w:hanging="360"/>
      </w:pPr>
      <w:rPr>
        <w:rFonts w:ascii="Wingdings" w:hAnsi="Wingdings" w:hint="default"/>
      </w:rPr>
    </w:lvl>
    <w:lvl w:ilvl="3" w:tplc="276CB88A" w:tentative="1">
      <w:start w:val="1"/>
      <w:numFmt w:val="bullet"/>
      <w:lvlText w:val=""/>
      <w:lvlJc w:val="left"/>
      <w:pPr>
        <w:tabs>
          <w:tab w:val="num" w:pos="2880"/>
        </w:tabs>
        <w:ind w:left="2880" w:hanging="360"/>
      </w:pPr>
      <w:rPr>
        <w:rFonts w:ascii="Wingdings" w:hAnsi="Wingdings" w:hint="default"/>
      </w:rPr>
    </w:lvl>
    <w:lvl w:ilvl="4" w:tplc="130884D0" w:tentative="1">
      <w:start w:val="1"/>
      <w:numFmt w:val="bullet"/>
      <w:lvlText w:val=""/>
      <w:lvlJc w:val="left"/>
      <w:pPr>
        <w:tabs>
          <w:tab w:val="num" w:pos="3600"/>
        </w:tabs>
        <w:ind w:left="3600" w:hanging="360"/>
      </w:pPr>
      <w:rPr>
        <w:rFonts w:ascii="Wingdings" w:hAnsi="Wingdings" w:hint="default"/>
      </w:rPr>
    </w:lvl>
    <w:lvl w:ilvl="5" w:tplc="B4F0EEAA" w:tentative="1">
      <w:start w:val="1"/>
      <w:numFmt w:val="bullet"/>
      <w:lvlText w:val=""/>
      <w:lvlJc w:val="left"/>
      <w:pPr>
        <w:tabs>
          <w:tab w:val="num" w:pos="4320"/>
        </w:tabs>
        <w:ind w:left="4320" w:hanging="360"/>
      </w:pPr>
      <w:rPr>
        <w:rFonts w:ascii="Wingdings" w:hAnsi="Wingdings" w:hint="default"/>
      </w:rPr>
    </w:lvl>
    <w:lvl w:ilvl="6" w:tplc="8F4CBE2E" w:tentative="1">
      <w:start w:val="1"/>
      <w:numFmt w:val="bullet"/>
      <w:lvlText w:val=""/>
      <w:lvlJc w:val="left"/>
      <w:pPr>
        <w:tabs>
          <w:tab w:val="num" w:pos="5040"/>
        </w:tabs>
        <w:ind w:left="5040" w:hanging="360"/>
      </w:pPr>
      <w:rPr>
        <w:rFonts w:ascii="Wingdings" w:hAnsi="Wingdings" w:hint="default"/>
      </w:rPr>
    </w:lvl>
    <w:lvl w:ilvl="7" w:tplc="9B00C736" w:tentative="1">
      <w:start w:val="1"/>
      <w:numFmt w:val="bullet"/>
      <w:lvlText w:val=""/>
      <w:lvlJc w:val="left"/>
      <w:pPr>
        <w:tabs>
          <w:tab w:val="num" w:pos="5760"/>
        </w:tabs>
        <w:ind w:left="5760" w:hanging="360"/>
      </w:pPr>
      <w:rPr>
        <w:rFonts w:ascii="Wingdings" w:hAnsi="Wingdings" w:hint="default"/>
      </w:rPr>
    </w:lvl>
    <w:lvl w:ilvl="8" w:tplc="F38873EA"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6DF1F17"/>
    <w:multiLevelType w:val="hybridMultilevel"/>
    <w:tmpl w:val="377CE3D8"/>
    <w:lvl w:ilvl="0" w:tplc="6AD84D24">
      <w:start w:val="1"/>
      <w:numFmt w:val="decimal"/>
      <w:lvlText w:val="%1."/>
      <w:lvlJc w:val="left"/>
      <w:pPr>
        <w:ind w:left="360" w:hanging="360"/>
      </w:pPr>
      <w:rPr>
        <w:sz w:val="22"/>
        <w:szCs w:val="22"/>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3" w15:restartNumberingAfterBreak="0">
    <w:nsid w:val="4A1542CA"/>
    <w:multiLevelType w:val="hybridMultilevel"/>
    <w:tmpl w:val="1316A75E"/>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4BED0BD5"/>
    <w:multiLevelType w:val="multilevel"/>
    <w:tmpl w:val="5516AA44"/>
    <w:lvl w:ilvl="0">
      <w:start w:val="1"/>
      <w:numFmt w:val="decimal"/>
      <w:pStyle w:val="Nivel1"/>
      <w:lvlText w:val="%1."/>
      <w:lvlJc w:val="left"/>
      <w:pPr>
        <w:ind w:left="360" w:hanging="360"/>
      </w:pPr>
      <w:rPr>
        <w:sz w:val="20"/>
        <w:szCs w:val="20"/>
      </w:rPr>
    </w:lvl>
    <w:lvl w:ilvl="1">
      <w:start w:val="1"/>
      <w:numFmt w:val="lowerLetter"/>
      <w:pStyle w:val="Nivel2"/>
      <w:lvlText w:val="%2."/>
      <w:lvlJc w:val="left"/>
      <w:pPr>
        <w:ind w:left="1080" w:hanging="360"/>
      </w:pPr>
    </w:lvl>
    <w:lvl w:ilvl="2">
      <w:start w:val="1"/>
      <w:numFmt w:val="lowerRoman"/>
      <w:pStyle w:val="Nivel3"/>
      <w:lvlText w:val="%3."/>
      <w:lvlJc w:val="right"/>
      <w:pPr>
        <w:ind w:left="1800" w:hanging="180"/>
      </w:pPr>
    </w:lvl>
    <w:lvl w:ilvl="3">
      <w:start w:val="1"/>
      <w:numFmt w:val="decimal"/>
      <w:pStyle w:val="Nivel4"/>
      <w:lvlText w:val="%4."/>
      <w:lvlJc w:val="left"/>
      <w:pPr>
        <w:ind w:left="2520" w:hanging="360"/>
      </w:pPr>
    </w:lvl>
    <w:lvl w:ilvl="4">
      <w:start w:val="1"/>
      <w:numFmt w:val="lowerLetter"/>
      <w:pStyle w:val="Nivel5"/>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4C38563E"/>
    <w:multiLevelType w:val="multilevel"/>
    <w:tmpl w:val="9B0200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E691F94"/>
    <w:multiLevelType w:val="hybridMultilevel"/>
    <w:tmpl w:val="39304E30"/>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61541DC8"/>
    <w:multiLevelType w:val="hybridMultilevel"/>
    <w:tmpl w:val="9BAEDF2E"/>
    <w:lvl w:ilvl="0" w:tplc="F92A4AF8">
      <w:start w:val="1"/>
      <w:numFmt w:val="decimal"/>
      <w:lvlText w:val="%1."/>
      <w:lvlJc w:val="left"/>
      <w:pPr>
        <w:ind w:left="360" w:hanging="360"/>
      </w:pPr>
      <w:rPr>
        <w:rFonts w:hint="default"/>
        <w:sz w:val="20"/>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8" w15:restartNumberingAfterBreak="0">
    <w:nsid w:val="62412363"/>
    <w:multiLevelType w:val="hybridMultilevel"/>
    <w:tmpl w:val="779AEF24"/>
    <w:lvl w:ilvl="0" w:tplc="240A0005">
      <w:start w:val="1"/>
      <w:numFmt w:val="bullet"/>
      <w:lvlText w:val=""/>
      <w:lvlJc w:val="left"/>
      <w:pPr>
        <w:ind w:left="1080" w:hanging="360"/>
      </w:pPr>
      <w:rPr>
        <w:rFonts w:ascii="Wingdings" w:hAnsi="Wingdings"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19" w15:restartNumberingAfterBreak="0">
    <w:nsid w:val="64F41F5E"/>
    <w:multiLevelType w:val="hybridMultilevel"/>
    <w:tmpl w:val="5ECE66F4"/>
    <w:lvl w:ilvl="0" w:tplc="37226612">
      <w:start w:val="6"/>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6D5C3668"/>
    <w:multiLevelType w:val="hybridMultilevel"/>
    <w:tmpl w:val="D5000924"/>
    <w:lvl w:ilvl="0" w:tplc="240A0005">
      <w:start w:val="1"/>
      <w:numFmt w:val="bullet"/>
      <w:lvlText w:val=""/>
      <w:lvlJc w:val="left"/>
      <w:pPr>
        <w:ind w:left="1440" w:hanging="360"/>
      </w:pPr>
      <w:rPr>
        <w:rFonts w:ascii="Wingdings" w:hAnsi="Wingdings" w:hint="default"/>
      </w:rPr>
    </w:lvl>
    <w:lvl w:ilvl="1" w:tplc="240A0003">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1" w15:restartNumberingAfterBreak="0">
    <w:nsid w:val="71935471"/>
    <w:multiLevelType w:val="hybridMultilevel"/>
    <w:tmpl w:val="8A347032"/>
    <w:lvl w:ilvl="0" w:tplc="EA3A35DC">
      <w:numFmt w:val="bullet"/>
      <w:lvlText w:val="-"/>
      <w:lvlJc w:val="left"/>
      <w:pPr>
        <w:ind w:left="720" w:hanging="360"/>
      </w:pPr>
      <w:rPr>
        <w:rFonts w:ascii="Verdana" w:eastAsia="Times New Roman" w:hAnsi="Verdana"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72B147E7"/>
    <w:multiLevelType w:val="hybridMultilevel"/>
    <w:tmpl w:val="7C4CDCB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746F250C"/>
    <w:multiLevelType w:val="hybridMultilevel"/>
    <w:tmpl w:val="FB98B57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757E2339"/>
    <w:multiLevelType w:val="hybridMultilevel"/>
    <w:tmpl w:val="F538EF20"/>
    <w:lvl w:ilvl="0" w:tplc="240A0005">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num w:numId="1">
    <w:abstractNumId w:val="14"/>
  </w:num>
  <w:num w:numId="2">
    <w:abstractNumId w:val="15"/>
  </w:num>
  <w:num w:numId="3">
    <w:abstractNumId w:val="23"/>
  </w:num>
  <w:num w:numId="4">
    <w:abstractNumId w:val="7"/>
  </w:num>
  <w:num w:numId="5">
    <w:abstractNumId w:val="16"/>
  </w:num>
  <w:num w:numId="6">
    <w:abstractNumId w:val="22"/>
  </w:num>
  <w:num w:numId="7">
    <w:abstractNumId w:val="3"/>
  </w:num>
  <w:num w:numId="8">
    <w:abstractNumId w:val="13"/>
  </w:num>
  <w:num w:numId="9">
    <w:abstractNumId w:val="2"/>
  </w:num>
  <w:num w:numId="10">
    <w:abstractNumId w:val="4"/>
  </w:num>
  <w:num w:numId="11">
    <w:abstractNumId w:val="9"/>
  </w:num>
  <w:num w:numId="12">
    <w:abstractNumId w:val="24"/>
  </w:num>
  <w:num w:numId="13">
    <w:abstractNumId w:val="18"/>
  </w:num>
  <w:num w:numId="14">
    <w:abstractNumId w:val="11"/>
  </w:num>
  <w:num w:numId="15">
    <w:abstractNumId w:val="19"/>
  </w:num>
  <w:num w:numId="16">
    <w:abstractNumId w:val="20"/>
  </w:num>
  <w:num w:numId="17">
    <w:abstractNumId w:val="12"/>
  </w:num>
  <w:num w:numId="18">
    <w:abstractNumId w:val="21"/>
  </w:num>
  <w:num w:numId="19">
    <w:abstractNumId w:val="5"/>
  </w:num>
  <w:num w:numId="20">
    <w:abstractNumId w:val="1"/>
  </w:num>
  <w:num w:numId="21">
    <w:abstractNumId w:val="6"/>
  </w:num>
  <w:num w:numId="22">
    <w:abstractNumId w:val="8"/>
  </w:num>
  <w:num w:numId="23">
    <w:abstractNumId w:val="0"/>
  </w:num>
  <w:num w:numId="24">
    <w:abstractNumId w:val="17"/>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983"/>
    <w:rsid w:val="000015C1"/>
    <w:rsid w:val="000378FB"/>
    <w:rsid w:val="00076B3C"/>
    <w:rsid w:val="0008210D"/>
    <w:rsid w:val="0008226B"/>
    <w:rsid w:val="00084002"/>
    <w:rsid w:val="000A2032"/>
    <w:rsid w:val="000D2F11"/>
    <w:rsid w:val="000F099A"/>
    <w:rsid w:val="000F403F"/>
    <w:rsid w:val="000F7D73"/>
    <w:rsid w:val="001113E5"/>
    <w:rsid w:val="00112C06"/>
    <w:rsid w:val="001208BF"/>
    <w:rsid w:val="001313A0"/>
    <w:rsid w:val="001375A7"/>
    <w:rsid w:val="00137792"/>
    <w:rsid w:val="0014233E"/>
    <w:rsid w:val="00142CB9"/>
    <w:rsid w:val="0014580B"/>
    <w:rsid w:val="00185CE1"/>
    <w:rsid w:val="0019552B"/>
    <w:rsid w:val="001B528C"/>
    <w:rsid w:val="001B5848"/>
    <w:rsid w:val="001E75B0"/>
    <w:rsid w:val="00201D31"/>
    <w:rsid w:val="0021167D"/>
    <w:rsid w:val="00213180"/>
    <w:rsid w:val="0022132E"/>
    <w:rsid w:val="0022257E"/>
    <w:rsid w:val="00223CA5"/>
    <w:rsid w:val="0023663C"/>
    <w:rsid w:val="0025017B"/>
    <w:rsid w:val="002600C9"/>
    <w:rsid w:val="00267C1D"/>
    <w:rsid w:val="002703C3"/>
    <w:rsid w:val="002758D8"/>
    <w:rsid w:val="00280F9A"/>
    <w:rsid w:val="002A4CED"/>
    <w:rsid w:val="002C66AB"/>
    <w:rsid w:val="002E67EE"/>
    <w:rsid w:val="002F6519"/>
    <w:rsid w:val="003202B4"/>
    <w:rsid w:val="00327EE9"/>
    <w:rsid w:val="00350364"/>
    <w:rsid w:val="003561F1"/>
    <w:rsid w:val="003611EF"/>
    <w:rsid w:val="0036314B"/>
    <w:rsid w:val="00366091"/>
    <w:rsid w:val="00381BE0"/>
    <w:rsid w:val="00387DDA"/>
    <w:rsid w:val="0039082B"/>
    <w:rsid w:val="003A093D"/>
    <w:rsid w:val="003B499D"/>
    <w:rsid w:val="003B4ED7"/>
    <w:rsid w:val="003B759E"/>
    <w:rsid w:val="003D61F5"/>
    <w:rsid w:val="003D7626"/>
    <w:rsid w:val="003F28E4"/>
    <w:rsid w:val="00402555"/>
    <w:rsid w:val="0041139D"/>
    <w:rsid w:val="00412969"/>
    <w:rsid w:val="004156BC"/>
    <w:rsid w:val="00442F08"/>
    <w:rsid w:val="00462EA8"/>
    <w:rsid w:val="00466B8F"/>
    <w:rsid w:val="0046776D"/>
    <w:rsid w:val="00473DC0"/>
    <w:rsid w:val="0048478B"/>
    <w:rsid w:val="004B0855"/>
    <w:rsid w:val="004B3AB5"/>
    <w:rsid w:val="004C4342"/>
    <w:rsid w:val="004D046F"/>
    <w:rsid w:val="00500734"/>
    <w:rsid w:val="00524F3C"/>
    <w:rsid w:val="00530852"/>
    <w:rsid w:val="00530A9F"/>
    <w:rsid w:val="005452DF"/>
    <w:rsid w:val="005771B0"/>
    <w:rsid w:val="005817B8"/>
    <w:rsid w:val="0058226B"/>
    <w:rsid w:val="005C379E"/>
    <w:rsid w:val="005D48D3"/>
    <w:rsid w:val="005D7C4C"/>
    <w:rsid w:val="00605D71"/>
    <w:rsid w:val="006152C2"/>
    <w:rsid w:val="006308DA"/>
    <w:rsid w:val="00631932"/>
    <w:rsid w:val="00643788"/>
    <w:rsid w:val="00650D27"/>
    <w:rsid w:val="0067256F"/>
    <w:rsid w:val="006A41B8"/>
    <w:rsid w:val="006A69FE"/>
    <w:rsid w:val="006B580F"/>
    <w:rsid w:val="006D3835"/>
    <w:rsid w:val="006E2A9D"/>
    <w:rsid w:val="006E56A5"/>
    <w:rsid w:val="006F4547"/>
    <w:rsid w:val="00701B04"/>
    <w:rsid w:val="00711503"/>
    <w:rsid w:val="0071532A"/>
    <w:rsid w:val="00723FDC"/>
    <w:rsid w:val="00735928"/>
    <w:rsid w:val="00765481"/>
    <w:rsid w:val="00767508"/>
    <w:rsid w:val="0078188C"/>
    <w:rsid w:val="0078212B"/>
    <w:rsid w:val="007849E0"/>
    <w:rsid w:val="0078530C"/>
    <w:rsid w:val="007864B2"/>
    <w:rsid w:val="00790902"/>
    <w:rsid w:val="007A0ABB"/>
    <w:rsid w:val="007A77AF"/>
    <w:rsid w:val="007B6024"/>
    <w:rsid w:val="007C4EA0"/>
    <w:rsid w:val="007F2F35"/>
    <w:rsid w:val="00820C6F"/>
    <w:rsid w:val="0082756F"/>
    <w:rsid w:val="008569C3"/>
    <w:rsid w:val="008714D9"/>
    <w:rsid w:val="008C128A"/>
    <w:rsid w:val="008C6D48"/>
    <w:rsid w:val="008F3C55"/>
    <w:rsid w:val="00911F7E"/>
    <w:rsid w:val="0091312F"/>
    <w:rsid w:val="009132D1"/>
    <w:rsid w:val="009242BD"/>
    <w:rsid w:val="00962848"/>
    <w:rsid w:val="00963173"/>
    <w:rsid w:val="00964F40"/>
    <w:rsid w:val="00981638"/>
    <w:rsid w:val="00990F21"/>
    <w:rsid w:val="0099745F"/>
    <w:rsid w:val="00997849"/>
    <w:rsid w:val="009A1F17"/>
    <w:rsid w:val="009A55CA"/>
    <w:rsid w:val="009A5E50"/>
    <w:rsid w:val="009B1AB3"/>
    <w:rsid w:val="009B29ED"/>
    <w:rsid w:val="009C1EA8"/>
    <w:rsid w:val="009F0674"/>
    <w:rsid w:val="009F1A46"/>
    <w:rsid w:val="009F262D"/>
    <w:rsid w:val="009F6B24"/>
    <w:rsid w:val="00A2427B"/>
    <w:rsid w:val="00A42AF2"/>
    <w:rsid w:val="00A67727"/>
    <w:rsid w:val="00A748CA"/>
    <w:rsid w:val="00A87384"/>
    <w:rsid w:val="00AC0053"/>
    <w:rsid w:val="00AC01D9"/>
    <w:rsid w:val="00AF1041"/>
    <w:rsid w:val="00B11334"/>
    <w:rsid w:val="00B34C7C"/>
    <w:rsid w:val="00B36B33"/>
    <w:rsid w:val="00B45738"/>
    <w:rsid w:val="00B45C59"/>
    <w:rsid w:val="00B5406F"/>
    <w:rsid w:val="00B56FFD"/>
    <w:rsid w:val="00B57A69"/>
    <w:rsid w:val="00B77070"/>
    <w:rsid w:val="00B854F1"/>
    <w:rsid w:val="00BA5E98"/>
    <w:rsid w:val="00BB23ED"/>
    <w:rsid w:val="00BB4A11"/>
    <w:rsid w:val="00BC0C10"/>
    <w:rsid w:val="00BC22BB"/>
    <w:rsid w:val="00BC4864"/>
    <w:rsid w:val="00BD3534"/>
    <w:rsid w:val="00BD3DBF"/>
    <w:rsid w:val="00BD6169"/>
    <w:rsid w:val="00BF09DE"/>
    <w:rsid w:val="00BF69B5"/>
    <w:rsid w:val="00C215AD"/>
    <w:rsid w:val="00C27334"/>
    <w:rsid w:val="00C33FB4"/>
    <w:rsid w:val="00C35356"/>
    <w:rsid w:val="00C3645A"/>
    <w:rsid w:val="00C41CE0"/>
    <w:rsid w:val="00C4496B"/>
    <w:rsid w:val="00C5159A"/>
    <w:rsid w:val="00C5293B"/>
    <w:rsid w:val="00C62F34"/>
    <w:rsid w:val="00C74C51"/>
    <w:rsid w:val="00C81BC0"/>
    <w:rsid w:val="00C859E5"/>
    <w:rsid w:val="00C85C7F"/>
    <w:rsid w:val="00CA3DFD"/>
    <w:rsid w:val="00CB3A0E"/>
    <w:rsid w:val="00CB657A"/>
    <w:rsid w:val="00CC4529"/>
    <w:rsid w:val="00CC6CEF"/>
    <w:rsid w:val="00CE6393"/>
    <w:rsid w:val="00CF6FB0"/>
    <w:rsid w:val="00D0320F"/>
    <w:rsid w:val="00D0429B"/>
    <w:rsid w:val="00D05BA1"/>
    <w:rsid w:val="00D13566"/>
    <w:rsid w:val="00D37EBB"/>
    <w:rsid w:val="00D43B4D"/>
    <w:rsid w:val="00D43F30"/>
    <w:rsid w:val="00D472EA"/>
    <w:rsid w:val="00D64834"/>
    <w:rsid w:val="00D72C94"/>
    <w:rsid w:val="00D83B78"/>
    <w:rsid w:val="00DA291A"/>
    <w:rsid w:val="00DD1303"/>
    <w:rsid w:val="00DD1D85"/>
    <w:rsid w:val="00E03594"/>
    <w:rsid w:val="00E07F30"/>
    <w:rsid w:val="00E133A3"/>
    <w:rsid w:val="00E232DB"/>
    <w:rsid w:val="00E41C44"/>
    <w:rsid w:val="00E451B5"/>
    <w:rsid w:val="00E55983"/>
    <w:rsid w:val="00E66F02"/>
    <w:rsid w:val="00E713B7"/>
    <w:rsid w:val="00E76C9F"/>
    <w:rsid w:val="00E77BDF"/>
    <w:rsid w:val="00E81EE7"/>
    <w:rsid w:val="00E872C5"/>
    <w:rsid w:val="00E9127D"/>
    <w:rsid w:val="00E935ED"/>
    <w:rsid w:val="00EA02F6"/>
    <w:rsid w:val="00EA128F"/>
    <w:rsid w:val="00EA64A8"/>
    <w:rsid w:val="00EB5468"/>
    <w:rsid w:val="00ED0285"/>
    <w:rsid w:val="00EF045E"/>
    <w:rsid w:val="00EF0B32"/>
    <w:rsid w:val="00F14958"/>
    <w:rsid w:val="00F23F6A"/>
    <w:rsid w:val="00F52177"/>
    <w:rsid w:val="00F54A62"/>
    <w:rsid w:val="00F56E6C"/>
    <w:rsid w:val="00F935AA"/>
    <w:rsid w:val="00FA3EC6"/>
    <w:rsid w:val="00FB33B0"/>
    <w:rsid w:val="00FE3017"/>
    <w:rsid w:val="00FF29A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6020EA"/>
  <w15:docId w15:val="{70BD8642-0026-4B9D-9A78-3FAAC19DD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28DB"/>
    <w:rPr>
      <w:lang w:eastAsia="es-ES"/>
    </w:rPr>
  </w:style>
  <w:style w:type="paragraph" w:styleId="Ttulo1">
    <w:name w:val="heading 1"/>
    <w:aliases w:val="ARTICULO 1º,Negrita"/>
    <w:basedOn w:val="Normal"/>
    <w:next w:val="Normal"/>
    <w:uiPriority w:val="9"/>
    <w:qFormat/>
    <w:rsid w:val="002628DB"/>
    <w:pPr>
      <w:keepNext/>
      <w:jc w:val="both"/>
      <w:outlineLvl w:val="0"/>
    </w:pPr>
    <w:rPr>
      <w:szCs w:val="20"/>
      <w:lang w:val="es-MX"/>
    </w:rPr>
  </w:style>
  <w:style w:type="paragraph" w:styleId="Ttulo2">
    <w:name w:val="heading 2"/>
    <w:basedOn w:val="Normal"/>
    <w:next w:val="Normal"/>
    <w:link w:val="Ttulo2Car"/>
    <w:uiPriority w:val="9"/>
    <w:semiHidden/>
    <w:unhideWhenUsed/>
    <w:qFormat/>
    <w:rsid w:val="001F57D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1F57DA"/>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rsid w:val="00F15C11"/>
    <w:pPr>
      <w:spacing w:before="240" w:after="60"/>
      <w:outlineLvl w:val="4"/>
    </w:pPr>
    <w:rPr>
      <w:b/>
      <w:bCs/>
      <w:i/>
      <w:iCs/>
      <w:sz w:val="26"/>
      <w:szCs w:val="26"/>
      <w:lang w:val="es-ES"/>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rsid w:val="005A58F1"/>
    <w:pPr>
      <w:contextualSpacing/>
    </w:pPr>
    <w:rPr>
      <w:rFonts w:asciiTheme="majorHAnsi" w:eastAsiaTheme="majorEastAsia" w:hAnsiTheme="majorHAnsi" w:cstheme="majorBidi"/>
      <w:spacing w:val="-10"/>
      <w:kern w:val="28"/>
      <w:sz w:val="56"/>
      <w:szCs w:val="56"/>
    </w:rPr>
  </w:style>
  <w:style w:type="paragraph" w:customStyle="1" w:styleId="Nivel1">
    <w:name w:val="Nivel1"/>
    <w:basedOn w:val="Normal"/>
    <w:next w:val="Normal"/>
    <w:rsid w:val="002628DB"/>
    <w:pPr>
      <w:numPr>
        <w:numId w:val="1"/>
      </w:numPr>
      <w:spacing w:before="480" w:after="120"/>
      <w:jc w:val="both"/>
      <w:outlineLvl w:val="0"/>
    </w:pPr>
    <w:rPr>
      <w:rFonts w:ascii="Arial" w:hAnsi="Arial"/>
      <w:b/>
      <w:caps/>
      <w:szCs w:val="20"/>
    </w:rPr>
  </w:style>
  <w:style w:type="paragraph" w:customStyle="1" w:styleId="Nivel2">
    <w:name w:val="Nivel2"/>
    <w:basedOn w:val="Normal"/>
    <w:next w:val="Normal"/>
    <w:rsid w:val="002628DB"/>
    <w:pPr>
      <w:numPr>
        <w:ilvl w:val="1"/>
        <w:numId w:val="1"/>
      </w:numPr>
      <w:spacing w:before="360" w:after="120"/>
      <w:jc w:val="both"/>
    </w:pPr>
    <w:rPr>
      <w:rFonts w:ascii="Arial" w:hAnsi="Arial"/>
      <w:caps/>
      <w:szCs w:val="20"/>
    </w:rPr>
  </w:style>
  <w:style w:type="paragraph" w:customStyle="1" w:styleId="Nivel3">
    <w:name w:val="Nivel3"/>
    <w:basedOn w:val="Normal"/>
    <w:next w:val="Normal"/>
    <w:rsid w:val="002628DB"/>
    <w:pPr>
      <w:numPr>
        <w:ilvl w:val="2"/>
        <w:numId w:val="1"/>
      </w:numPr>
      <w:spacing w:before="240" w:after="120"/>
      <w:jc w:val="both"/>
    </w:pPr>
    <w:rPr>
      <w:rFonts w:ascii="Arial" w:hAnsi="Arial"/>
      <w:szCs w:val="20"/>
    </w:rPr>
  </w:style>
  <w:style w:type="paragraph" w:customStyle="1" w:styleId="Nivel4">
    <w:name w:val="Nivel4"/>
    <w:basedOn w:val="Normal"/>
    <w:rsid w:val="002628DB"/>
    <w:pPr>
      <w:numPr>
        <w:ilvl w:val="3"/>
        <w:numId w:val="1"/>
      </w:numPr>
      <w:spacing w:before="120" w:after="120"/>
      <w:jc w:val="both"/>
    </w:pPr>
    <w:rPr>
      <w:rFonts w:ascii="Arial" w:hAnsi="Arial"/>
      <w:szCs w:val="20"/>
    </w:rPr>
  </w:style>
  <w:style w:type="paragraph" w:customStyle="1" w:styleId="Nivel5">
    <w:name w:val="Nivel5"/>
    <w:basedOn w:val="Normal"/>
    <w:rsid w:val="002628DB"/>
    <w:pPr>
      <w:numPr>
        <w:ilvl w:val="4"/>
        <w:numId w:val="1"/>
      </w:numPr>
      <w:spacing w:before="120" w:after="120"/>
      <w:jc w:val="both"/>
    </w:pPr>
    <w:rPr>
      <w:rFonts w:ascii="Arial" w:hAnsi="Arial"/>
      <w:szCs w:val="20"/>
    </w:rPr>
  </w:style>
  <w:style w:type="paragraph" w:styleId="Encabezado">
    <w:name w:val="header"/>
    <w:basedOn w:val="Normal"/>
    <w:link w:val="EncabezadoCar"/>
    <w:uiPriority w:val="99"/>
    <w:rsid w:val="002628DB"/>
    <w:pPr>
      <w:tabs>
        <w:tab w:val="center" w:pos="4252"/>
        <w:tab w:val="right" w:pos="8504"/>
      </w:tabs>
    </w:pPr>
  </w:style>
  <w:style w:type="paragraph" w:styleId="Piedepgina">
    <w:name w:val="footer"/>
    <w:basedOn w:val="Normal"/>
    <w:link w:val="PiedepginaCar"/>
    <w:uiPriority w:val="99"/>
    <w:rsid w:val="002628DB"/>
    <w:pPr>
      <w:tabs>
        <w:tab w:val="center" w:pos="4252"/>
        <w:tab w:val="right" w:pos="8504"/>
      </w:tabs>
    </w:pPr>
  </w:style>
  <w:style w:type="character" w:styleId="Hipervnculo">
    <w:name w:val="Hyperlink"/>
    <w:basedOn w:val="Fuentedeprrafopredeter"/>
    <w:rsid w:val="002628DB"/>
    <w:rPr>
      <w:color w:val="0000FF"/>
      <w:u w:val="single"/>
    </w:rPr>
  </w:style>
  <w:style w:type="character" w:styleId="Nmerodepgina">
    <w:name w:val="page number"/>
    <w:basedOn w:val="Fuentedeprrafopredeter"/>
    <w:rsid w:val="002628DB"/>
  </w:style>
  <w:style w:type="paragraph" w:styleId="Mapadeldocumento">
    <w:name w:val="Document Map"/>
    <w:basedOn w:val="Normal"/>
    <w:semiHidden/>
    <w:rsid w:val="002628DB"/>
    <w:pPr>
      <w:shd w:val="clear" w:color="auto" w:fill="000080"/>
    </w:pPr>
    <w:rPr>
      <w:rFonts w:ascii="Tahoma" w:hAnsi="Tahoma" w:cs="Tahoma"/>
      <w:sz w:val="20"/>
      <w:szCs w:val="20"/>
    </w:rPr>
  </w:style>
  <w:style w:type="paragraph" w:styleId="Textodeglobo">
    <w:name w:val="Balloon Text"/>
    <w:basedOn w:val="Normal"/>
    <w:link w:val="TextodegloboCar"/>
    <w:semiHidden/>
    <w:rsid w:val="002628DB"/>
    <w:rPr>
      <w:rFonts w:ascii="Tahoma" w:hAnsi="Tahoma" w:cs="Tahoma"/>
      <w:sz w:val="16"/>
      <w:szCs w:val="16"/>
    </w:rPr>
  </w:style>
  <w:style w:type="character" w:customStyle="1" w:styleId="TextodegloboCar">
    <w:name w:val="Texto de globo Car"/>
    <w:basedOn w:val="Fuentedeprrafopredeter"/>
    <w:link w:val="Textodeglobo"/>
    <w:rsid w:val="00F15C11"/>
    <w:rPr>
      <w:rFonts w:ascii="Tahoma" w:hAnsi="Tahoma" w:cs="Tahoma"/>
      <w:sz w:val="16"/>
      <w:szCs w:val="16"/>
      <w:lang w:val="es-CO" w:eastAsia="es-ES" w:bidi="ar-SA"/>
    </w:rPr>
  </w:style>
  <w:style w:type="table" w:styleId="Tablaconcuadrcula">
    <w:name w:val="Table Grid"/>
    <w:basedOn w:val="Tablanormal"/>
    <w:uiPriority w:val="39"/>
    <w:rsid w:val="00F15C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rsid w:val="00F15C11"/>
    <w:pPr>
      <w:spacing w:after="120"/>
    </w:pPr>
    <w:rPr>
      <w:lang w:val="es-ES"/>
    </w:rPr>
  </w:style>
  <w:style w:type="character" w:styleId="Refdecomentario">
    <w:name w:val="annotation reference"/>
    <w:basedOn w:val="Fuentedeprrafopredeter"/>
    <w:uiPriority w:val="99"/>
    <w:semiHidden/>
    <w:rsid w:val="00F15C11"/>
    <w:rPr>
      <w:sz w:val="16"/>
      <w:szCs w:val="16"/>
    </w:rPr>
  </w:style>
  <w:style w:type="paragraph" w:styleId="Textocomentario">
    <w:name w:val="annotation text"/>
    <w:basedOn w:val="Normal"/>
    <w:link w:val="TextocomentarioCar"/>
    <w:uiPriority w:val="99"/>
    <w:semiHidden/>
    <w:rsid w:val="00F15C11"/>
    <w:rPr>
      <w:sz w:val="20"/>
      <w:szCs w:val="20"/>
      <w:lang w:val="es-ES"/>
    </w:rPr>
  </w:style>
  <w:style w:type="paragraph" w:customStyle="1" w:styleId="Prrafodelista1">
    <w:name w:val="Párrafo de lista1"/>
    <w:basedOn w:val="Normal"/>
    <w:rsid w:val="0047689E"/>
    <w:pPr>
      <w:spacing w:after="200" w:line="276" w:lineRule="auto"/>
      <w:ind w:left="720"/>
      <w:contextualSpacing/>
    </w:pPr>
    <w:rPr>
      <w:rFonts w:ascii="Calibri" w:hAnsi="Calibri"/>
      <w:sz w:val="22"/>
      <w:szCs w:val="22"/>
      <w:lang w:val="es-ES" w:eastAsia="en-US"/>
    </w:rPr>
  </w:style>
  <w:style w:type="paragraph" w:styleId="Textonotapie">
    <w:name w:val="footnote text"/>
    <w:basedOn w:val="Normal"/>
    <w:semiHidden/>
    <w:rsid w:val="00C17AA0"/>
    <w:rPr>
      <w:sz w:val="20"/>
      <w:szCs w:val="20"/>
      <w:lang w:val="es-ES"/>
    </w:rPr>
  </w:style>
  <w:style w:type="character" w:styleId="Refdenotaalpie">
    <w:name w:val="footnote reference"/>
    <w:basedOn w:val="Fuentedeprrafopredeter"/>
    <w:semiHidden/>
    <w:rsid w:val="00C17AA0"/>
    <w:rPr>
      <w:vertAlign w:val="superscript"/>
    </w:rPr>
  </w:style>
  <w:style w:type="paragraph" w:styleId="Asuntodelcomentario">
    <w:name w:val="annotation subject"/>
    <w:basedOn w:val="Textocomentario"/>
    <w:next w:val="Textocomentario"/>
    <w:semiHidden/>
    <w:rsid w:val="0005455C"/>
    <w:rPr>
      <w:b/>
      <w:bCs/>
      <w:lang w:val="es-CO"/>
    </w:rPr>
  </w:style>
  <w:style w:type="paragraph" w:styleId="Prrafodelista">
    <w:name w:val="List Paragraph"/>
    <w:basedOn w:val="Normal"/>
    <w:link w:val="PrrafodelistaCar"/>
    <w:uiPriority w:val="34"/>
    <w:qFormat/>
    <w:rsid w:val="00164037"/>
    <w:pPr>
      <w:ind w:left="708"/>
    </w:pPr>
    <w:rPr>
      <w:rFonts w:ascii="Arial" w:hAnsi="Arial"/>
      <w:spacing w:val="-20"/>
      <w:sz w:val="28"/>
      <w:szCs w:val="20"/>
    </w:rPr>
  </w:style>
  <w:style w:type="paragraph" w:customStyle="1" w:styleId="Textoindependiente21">
    <w:name w:val="Texto independiente 21"/>
    <w:basedOn w:val="Normal"/>
    <w:rsid w:val="00BB455C"/>
    <w:pPr>
      <w:spacing w:line="360" w:lineRule="auto"/>
      <w:jc w:val="both"/>
    </w:pPr>
    <w:rPr>
      <w:rFonts w:ascii="Arial" w:hAnsi="Arial"/>
      <w:szCs w:val="20"/>
    </w:rPr>
  </w:style>
  <w:style w:type="paragraph" w:styleId="NormalWeb">
    <w:name w:val="Normal (Web)"/>
    <w:basedOn w:val="Normal"/>
    <w:uiPriority w:val="99"/>
    <w:rsid w:val="00E65BE5"/>
    <w:pPr>
      <w:spacing w:before="100" w:beforeAutospacing="1" w:after="100" w:afterAutospacing="1"/>
    </w:pPr>
    <w:rPr>
      <w:lang w:val="es-ES"/>
    </w:rPr>
  </w:style>
  <w:style w:type="character" w:customStyle="1" w:styleId="PrrafodelistaCar">
    <w:name w:val="Párrafo de lista Car"/>
    <w:link w:val="Prrafodelista"/>
    <w:uiPriority w:val="34"/>
    <w:rsid w:val="00C07A4F"/>
    <w:rPr>
      <w:rFonts w:ascii="Arial" w:hAnsi="Arial"/>
      <w:spacing w:val="-20"/>
      <w:sz w:val="28"/>
      <w:lang w:val="es-CO" w:eastAsia="es-ES"/>
    </w:rPr>
  </w:style>
  <w:style w:type="character" w:customStyle="1" w:styleId="TextocomentarioCar">
    <w:name w:val="Texto comentario Car"/>
    <w:basedOn w:val="Fuentedeprrafopredeter"/>
    <w:link w:val="Textocomentario"/>
    <w:uiPriority w:val="99"/>
    <w:semiHidden/>
    <w:rsid w:val="00566423"/>
    <w:rPr>
      <w:lang w:val="es-ES" w:eastAsia="es-ES"/>
    </w:rPr>
  </w:style>
  <w:style w:type="paragraph" w:customStyle="1" w:styleId="Textocomentario1">
    <w:name w:val="Texto comentario1"/>
    <w:basedOn w:val="Normal"/>
    <w:rsid w:val="00AB3F3D"/>
    <w:pPr>
      <w:suppressAutoHyphens/>
      <w:jc w:val="both"/>
    </w:pPr>
    <w:rPr>
      <w:rFonts w:ascii="Verdana" w:hAnsi="Verdana" w:cs="Tahoma"/>
      <w:lang w:val="es-ES" w:eastAsia="zh-CN"/>
    </w:rPr>
  </w:style>
  <w:style w:type="paragraph" w:styleId="Descripcin">
    <w:name w:val="caption"/>
    <w:basedOn w:val="Normal"/>
    <w:next w:val="Normal"/>
    <w:link w:val="DescripcinCar"/>
    <w:uiPriority w:val="35"/>
    <w:unhideWhenUsed/>
    <w:qFormat/>
    <w:rsid w:val="00DF4072"/>
    <w:pPr>
      <w:spacing w:after="240"/>
      <w:jc w:val="both"/>
    </w:pPr>
    <w:rPr>
      <w:rFonts w:asciiTheme="minorHAnsi" w:eastAsiaTheme="minorHAnsi" w:hAnsiTheme="minorHAnsi" w:cstheme="minorBidi"/>
      <w:b/>
      <w:bCs/>
      <w:sz w:val="18"/>
      <w:szCs w:val="18"/>
      <w:lang w:val="es-ES" w:eastAsia="en-US"/>
    </w:rPr>
  </w:style>
  <w:style w:type="character" w:customStyle="1" w:styleId="DescripcinCar">
    <w:name w:val="Descripción Car"/>
    <w:basedOn w:val="Fuentedeprrafopredeter"/>
    <w:link w:val="Descripcin"/>
    <w:uiPriority w:val="35"/>
    <w:rsid w:val="00DF4072"/>
    <w:rPr>
      <w:rFonts w:asciiTheme="minorHAnsi" w:eastAsiaTheme="minorHAnsi" w:hAnsiTheme="minorHAnsi" w:cstheme="minorBidi"/>
      <w:b/>
      <w:bCs/>
      <w:sz w:val="18"/>
      <w:szCs w:val="18"/>
      <w:lang w:val="es-ES" w:eastAsia="en-US"/>
    </w:rPr>
  </w:style>
  <w:style w:type="paragraph" w:customStyle="1" w:styleId="Default">
    <w:name w:val="Default"/>
    <w:rsid w:val="00212844"/>
    <w:pPr>
      <w:autoSpaceDE w:val="0"/>
      <w:autoSpaceDN w:val="0"/>
      <w:adjustRightInd w:val="0"/>
    </w:pPr>
    <w:rPr>
      <w:rFonts w:ascii="Calibri" w:eastAsiaTheme="minorHAnsi" w:hAnsi="Calibri" w:cs="Calibri"/>
      <w:color w:val="000000"/>
      <w:lang w:eastAsia="en-US"/>
    </w:rPr>
  </w:style>
  <w:style w:type="character" w:customStyle="1" w:styleId="EncabezadoCar">
    <w:name w:val="Encabezado Car"/>
    <w:basedOn w:val="Fuentedeprrafopredeter"/>
    <w:link w:val="Encabezado"/>
    <w:uiPriority w:val="99"/>
    <w:rsid w:val="00212844"/>
    <w:rPr>
      <w:sz w:val="24"/>
      <w:szCs w:val="24"/>
      <w:lang w:val="es-CO" w:eastAsia="es-ES"/>
    </w:rPr>
  </w:style>
  <w:style w:type="character" w:customStyle="1" w:styleId="PiedepginaCar">
    <w:name w:val="Pie de página Car"/>
    <w:basedOn w:val="Fuentedeprrafopredeter"/>
    <w:link w:val="Piedepgina"/>
    <w:uiPriority w:val="99"/>
    <w:rsid w:val="00212844"/>
    <w:rPr>
      <w:sz w:val="24"/>
      <w:szCs w:val="24"/>
      <w:lang w:val="es-CO" w:eastAsia="es-ES"/>
    </w:rPr>
  </w:style>
  <w:style w:type="paragraph" w:customStyle="1" w:styleId="Textodenotaalfinal">
    <w:name w:val="Texto de nota al final"/>
    <w:basedOn w:val="Normal"/>
    <w:rsid w:val="00212844"/>
    <w:pPr>
      <w:widowControl w:val="0"/>
      <w:spacing w:before="120" w:after="60"/>
      <w:jc w:val="both"/>
    </w:pPr>
    <w:rPr>
      <w:rFonts w:ascii="Arial" w:hAnsi="Arial"/>
      <w:i/>
      <w:szCs w:val="20"/>
      <w:lang w:val="es-ES_tradnl"/>
    </w:rPr>
  </w:style>
  <w:style w:type="paragraph" w:styleId="Sinespaciado">
    <w:name w:val="No Spacing"/>
    <w:uiPriority w:val="1"/>
    <w:qFormat/>
    <w:rsid w:val="00C9169E"/>
    <w:rPr>
      <w:rFonts w:asciiTheme="minorHAnsi" w:eastAsiaTheme="minorHAnsi" w:hAnsiTheme="minorHAnsi" w:cstheme="minorBidi"/>
      <w:szCs w:val="22"/>
      <w:lang w:val="en-US" w:eastAsia="en-US"/>
    </w:rPr>
  </w:style>
  <w:style w:type="character" w:customStyle="1" w:styleId="Ttulo2Car">
    <w:name w:val="Título 2 Car"/>
    <w:basedOn w:val="Fuentedeprrafopredeter"/>
    <w:link w:val="Ttulo2"/>
    <w:uiPriority w:val="9"/>
    <w:semiHidden/>
    <w:rsid w:val="001F57DA"/>
    <w:rPr>
      <w:rFonts w:asciiTheme="majorHAnsi" w:eastAsiaTheme="majorEastAsia" w:hAnsiTheme="majorHAnsi" w:cstheme="majorBidi"/>
      <w:color w:val="365F91" w:themeColor="accent1" w:themeShade="BF"/>
      <w:sz w:val="26"/>
      <w:szCs w:val="26"/>
      <w:lang w:val="es-CO" w:eastAsia="es-ES"/>
    </w:rPr>
  </w:style>
  <w:style w:type="character" w:customStyle="1" w:styleId="Ttulo3Car">
    <w:name w:val="Título 3 Car"/>
    <w:basedOn w:val="Fuentedeprrafopredeter"/>
    <w:link w:val="Ttulo3"/>
    <w:uiPriority w:val="9"/>
    <w:semiHidden/>
    <w:rsid w:val="001F57DA"/>
    <w:rPr>
      <w:rFonts w:asciiTheme="majorHAnsi" w:eastAsiaTheme="majorEastAsia" w:hAnsiTheme="majorHAnsi" w:cstheme="majorBidi"/>
      <w:color w:val="243F60" w:themeColor="accent1" w:themeShade="7F"/>
      <w:sz w:val="24"/>
      <w:szCs w:val="24"/>
      <w:lang w:val="es-CO" w:eastAsia="es-ES"/>
    </w:rPr>
  </w:style>
  <w:style w:type="table" w:customStyle="1" w:styleId="Tablanormal21">
    <w:name w:val="Tabla normal 21"/>
    <w:basedOn w:val="Tablanormal"/>
    <w:uiPriority w:val="42"/>
    <w:rsid w:val="001F57DA"/>
    <w:rPr>
      <w:rFonts w:asciiTheme="minorHAnsi" w:eastAsiaTheme="minorHAnsi" w:hAnsiTheme="minorHAnsi" w:cstheme="minorBidi"/>
      <w:sz w:val="22"/>
      <w:szCs w:val="22"/>
      <w:lang w:val="es-ES"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lanormal31">
    <w:name w:val="Tabla normal 31"/>
    <w:basedOn w:val="Normal"/>
    <w:uiPriority w:val="34"/>
    <w:qFormat/>
    <w:rsid w:val="00CF0B30"/>
    <w:pPr>
      <w:suppressAutoHyphens/>
      <w:ind w:left="708"/>
    </w:pPr>
    <w:rPr>
      <w:lang w:eastAsia="zh-CN"/>
    </w:rPr>
  </w:style>
  <w:style w:type="paragraph" w:customStyle="1" w:styleId="Listamulticolor-nfasis11">
    <w:name w:val="Lista multicolor - Énfasis 11"/>
    <w:basedOn w:val="Normal"/>
    <w:uiPriority w:val="34"/>
    <w:qFormat/>
    <w:rsid w:val="009761E3"/>
    <w:pPr>
      <w:spacing w:after="200" w:line="276" w:lineRule="auto"/>
      <w:ind w:left="720"/>
      <w:contextualSpacing/>
    </w:pPr>
    <w:rPr>
      <w:rFonts w:ascii="Calibri" w:eastAsia="Calibri" w:hAnsi="Calibri"/>
      <w:sz w:val="22"/>
      <w:szCs w:val="22"/>
      <w:lang w:eastAsia="en-US"/>
    </w:rPr>
  </w:style>
  <w:style w:type="paragraph" w:styleId="Sangra2detindependiente">
    <w:name w:val="Body Text Indent 2"/>
    <w:basedOn w:val="Normal"/>
    <w:link w:val="Sangra2detindependienteCar"/>
    <w:uiPriority w:val="99"/>
    <w:unhideWhenUsed/>
    <w:rsid w:val="001A717E"/>
    <w:pPr>
      <w:spacing w:after="120" w:line="480" w:lineRule="auto"/>
      <w:ind w:left="283"/>
    </w:pPr>
    <w:rPr>
      <w:lang w:val="es-ES"/>
    </w:rPr>
  </w:style>
  <w:style w:type="character" w:customStyle="1" w:styleId="Sangra2detindependienteCar">
    <w:name w:val="Sangría 2 de t. independiente Car"/>
    <w:basedOn w:val="Fuentedeprrafopredeter"/>
    <w:link w:val="Sangra2detindependiente"/>
    <w:uiPriority w:val="99"/>
    <w:rsid w:val="001A717E"/>
    <w:rPr>
      <w:sz w:val="24"/>
      <w:szCs w:val="24"/>
      <w:lang w:val="es-ES" w:eastAsia="es-ES"/>
    </w:rPr>
  </w:style>
  <w:style w:type="character" w:customStyle="1" w:styleId="TtuloCar">
    <w:name w:val="Título Car"/>
    <w:basedOn w:val="Fuentedeprrafopredeter"/>
    <w:link w:val="Ttulo"/>
    <w:uiPriority w:val="10"/>
    <w:rsid w:val="005A58F1"/>
    <w:rPr>
      <w:rFonts w:asciiTheme="majorHAnsi" w:eastAsiaTheme="majorEastAsia" w:hAnsiTheme="majorHAnsi" w:cstheme="majorBidi"/>
      <w:spacing w:val="-10"/>
      <w:kern w:val="28"/>
      <w:sz w:val="56"/>
      <w:szCs w:val="56"/>
      <w:lang w:val="es-CO" w:eastAsia="es-ES"/>
    </w:rPr>
  </w:style>
  <w:style w:type="character" w:customStyle="1" w:styleId="Mencinsinresolver1">
    <w:name w:val="Mención sin resolver1"/>
    <w:basedOn w:val="Fuentedeprrafopredeter"/>
    <w:uiPriority w:val="99"/>
    <w:semiHidden/>
    <w:unhideWhenUsed/>
    <w:rsid w:val="007C0C2D"/>
    <w:rPr>
      <w:color w:val="808080"/>
      <w:shd w:val="clear" w:color="auto" w:fill="E6E6E6"/>
    </w:rPr>
  </w:style>
  <w:style w:type="paragraph" w:styleId="Revisin">
    <w:name w:val="Revision"/>
    <w:hidden/>
    <w:uiPriority w:val="99"/>
    <w:semiHidden/>
    <w:rsid w:val="00351531"/>
    <w:rPr>
      <w:lang w:eastAsia="es-ES"/>
    </w:rPr>
  </w:style>
  <w:style w:type="paragraph" w:customStyle="1" w:styleId="textocarta">
    <w:name w:val="texto carta"/>
    <w:basedOn w:val="Normal"/>
    <w:uiPriority w:val="99"/>
    <w:rsid w:val="00351F5C"/>
    <w:pPr>
      <w:autoSpaceDE w:val="0"/>
      <w:autoSpaceDN w:val="0"/>
      <w:adjustRightInd w:val="0"/>
      <w:spacing w:line="300" w:lineRule="atLeast"/>
      <w:ind w:firstLine="300"/>
      <w:jc w:val="both"/>
      <w:textAlignment w:val="center"/>
    </w:pPr>
    <w:rPr>
      <w:rFonts w:ascii="Ancizar Sans Regular" w:eastAsiaTheme="minorEastAsia" w:hAnsi="Ancizar Sans Regular" w:cs="Ancizar Sans Regular"/>
      <w:color w:val="000000"/>
      <w:sz w:val="22"/>
      <w:szCs w:val="22"/>
      <w:lang w:val="es-ES_tradnl" w:eastAsia="es-CO"/>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Mencinsinresolver">
    <w:name w:val="Unresolved Mention"/>
    <w:basedOn w:val="Fuentedeprrafopredeter"/>
    <w:uiPriority w:val="99"/>
    <w:semiHidden/>
    <w:unhideWhenUsed/>
    <w:rsid w:val="003B75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1574261">
      <w:bodyDiv w:val="1"/>
      <w:marLeft w:val="0"/>
      <w:marRight w:val="0"/>
      <w:marTop w:val="0"/>
      <w:marBottom w:val="0"/>
      <w:divBdr>
        <w:top w:val="none" w:sz="0" w:space="0" w:color="auto"/>
        <w:left w:val="none" w:sz="0" w:space="0" w:color="auto"/>
        <w:bottom w:val="none" w:sz="0" w:space="0" w:color="auto"/>
        <w:right w:val="none" w:sz="0" w:space="0" w:color="auto"/>
      </w:divBdr>
    </w:div>
    <w:div w:id="642348620">
      <w:bodyDiv w:val="1"/>
      <w:marLeft w:val="0"/>
      <w:marRight w:val="0"/>
      <w:marTop w:val="0"/>
      <w:marBottom w:val="0"/>
      <w:divBdr>
        <w:top w:val="none" w:sz="0" w:space="0" w:color="auto"/>
        <w:left w:val="none" w:sz="0" w:space="0" w:color="auto"/>
        <w:bottom w:val="none" w:sz="0" w:space="0" w:color="auto"/>
        <w:right w:val="none" w:sz="0" w:space="0" w:color="auto"/>
      </w:divBdr>
    </w:div>
    <w:div w:id="1017150024">
      <w:bodyDiv w:val="1"/>
      <w:marLeft w:val="0"/>
      <w:marRight w:val="0"/>
      <w:marTop w:val="0"/>
      <w:marBottom w:val="0"/>
      <w:divBdr>
        <w:top w:val="none" w:sz="0" w:space="0" w:color="auto"/>
        <w:left w:val="none" w:sz="0" w:space="0" w:color="auto"/>
        <w:bottom w:val="none" w:sz="0" w:space="0" w:color="auto"/>
        <w:right w:val="none" w:sz="0" w:space="0" w:color="auto"/>
      </w:divBdr>
    </w:div>
    <w:div w:id="18644430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no.org.co/content/miembros-por-eleccion-cno-ano-202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energiamayorista.com.co/memorias/memorias-2019/" TargetMode="External"/><Relationship Id="rId4" Type="http://schemas.openxmlformats.org/officeDocument/2006/relationships/settings" Target="settings.xml"/><Relationship Id="rId9" Type="http://schemas.openxmlformats.org/officeDocument/2006/relationships/image" Target="media/image1.tiff"/><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33936E-7C14-451F-9B55-931E5F9C4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2075</Words>
  <Characters>11414</Characters>
  <Application>Microsoft Office Word</Application>
  <DocSecurity>0</DocSecurity>
  <Lines>95</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CT CNO</dc:creator>
  <cp:keywords/>
  <dc:description/>
  <cp:lastModifiedBy>Siomara Beltran</cp:lastModifiedBy>
  <cp:revision>2</cp:revision>
  <dcterms:created xsi:type="dcterms:W3CDTF">2019-11-07T12:14:00Z</dcterms:created>
  <dcterms:modified xsi:type="dcterms:W3CDTF">2019-11-07T12:14:00Z</dcterms:modified>
</cp:coreProperties>
</file>