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A202C" w14:textId="140E889E" w:rsidR="00112C06" w:rsidRPr="00424C05" w:rsidRDefault="00112C06" w:rsidP="00112C06">
      <w:pPr>
        <w:pStyle w:val="Ttulo"/>
        <w:jc w:val="center"/>
        <w:rPr>
          <w:rFonts w:ascii="Verdana" w:eastAsia="Verdana" w:hAnsi="Verdana" w:cs="Verdana"/>
          <w:b/>
          <w:sz w:val="32"/>
          <w:szCs w:val="32"/>
        </w:rPr>
      </w:pPr>
      <w:r w:rsidRPr="00424C05">
        <w:rPr>
          <w:rFonts w:ascii="Verdana" w:eastAsia="Verdana" w:hAnsi="Verdana" w:cs="Verdana"/>
          <w:b/>
          <w:sz w:val="32"/>
          <w:szCs w:val="32"/>
        </w:rPr>
        <w:t>INFORME CNO 56</w:t>
      </w:r>
      <w:r w:rsidR="00BC22BB">
        <w:rPr>
          <w:rFonts w:ascii="Verdana" w:eastAsia="Verdana" w:hAnsi="Verdana" w:cs="Verdana"/>
          <w:b/>
          <w:sz w:val="32"/>
          <w:szCs w:val="32"/>
        </w:rPr>
        <w:t>8</w:t>
      </w:r>
    </w:p>
    <w:p w14:paraId="63311C03" w14:textId="77777777" w:rsidR="00112C06" w:rsidRPr="00424C05" w:rsidRDefault="00112C06" w:rsidP="00112C06">
      <w:pPr>
        <w:jc w:val="both"/>
        <w:rPr>
          <w:rFonts w:ascii="Verdana" w:eastAsia="Verdana" w:hAnsi="Verdana" w:cs="Verdana"/>
          <w:sz w:val="22"/>
          <w:szCs w:val="22"/>
        </w:rPr>
      </w:pPr>
    </w:p>
    <w:p w14:paraId="6E0C8BBC" w14:textId="6A729BF6" w:rsidR="00112C06" w:rsidRPr="00424C05" w:rsidRDefault="00112C06" w:rsidP="00112C06">
      <w:pPr>
        <w:jc w:val="both"/>
        <w:rPr>
          <w:rFonts w:ascii="Verdana" w:eastAsia="Verdana" w:hAnsi="Verdana" w:cs="Verdana"/>
          <w:sz w:val="22"/>
          <w:szCs w:val="22"/>
        </w:rPr>
      </w:pPr>
      <w:r w:rsidRPr="00424C05">
        <w:rPr>
          <w:rFonts w:ascii="Verdana" w:eastAsia="Verdana" w:hAnsi="Verdana" w:cs="Verdana"/>
          <w:sz w:val="22"/>
          <w:szCs w:val="22"/>
        </w:rPr>
        <w:t xml:space="preserve">Fecha: </w:t>
      </w:r>
      <w:r w:rsidR="00C5293B">
        <w:rPr>
          <w:rFonts w:ascii="Verdana" w:eastAsia="Verdana" w:hAnsi="Verdana" w:cs="Verdana"/>
          <w:sz w:val="22"/>
          <w:szCs w:val="22"/>
        </w:rPr>
        <w:t xml:space="preserve">septiembre 4 </w:t>
      </w:r>
      <w:r w:rsidRPr="00424C05">
        <w:rPr>
          <w:rFonts w:ascii="Verdana" w:eastAsia="Verdana" w:hAnsi="Verdana" w:cs="Verdana"/>
          <w:sz w:val="22"/>
          <w:szCs w:val="22"/>
        </w:rPr>
        <w:t>de 2019.</w:t>
      </w:r>
    </w:p>
    <w:p w14:paraId="725993AB" w14:textId="77777777" w:rsidR="00112C06" w:rsidRPr="00424C05" w:rsidRDefault="00112C06" w:rsidP="00112C06">
      <w:pPr>
        <w:jc w:val="both"/>
        <w:rPr>
          <w:rFonts w:ascii="Verdana" w:hAnsi="Verdana"/>
          <w:sz w:val="22"/>
          <w:szCs w:val="22"/>
        </w:rPr>
      </w:pPr>
    </w:p>
    <w:p w14:paraId="7183085F" w14:textId="77777777" w:rsidR="00112C06" w:rsidRPr="00424C05" w:rsidRDefault="00112C06" w:rsidP="00112C06">
      <w:pPr>
        <w:jc w:val="both"/>
        <w:rPr>
          <w:rFonts w:ascii="Verdana" w:eastAsia="Verdana" w:hAnsi="Verdana" w:cs="Verdana"/>
          <w:b/>
          <w:sz w:val="22"/>
          <w:szCs w:val="22"/>
          <w:u w:val="single"/>
        </w:rPr>
      </w:pPr>
      <w:r w:rsidRPr="00424C05">
        <w:rPr>
          <w:rFonts w:ascii="Verdana" w:eastAsia="Verdana" w:hAnsi="Verdana" w:cs="Verdana"/>
          <w:b/>
          <w:sz w:val="22"/>
          <w:szCs w:val="22"/>
          <w:u w:val="single"/>
        </w:rPr>
        <w:t>ASPECTOS ADMINISTRATIVOS:</w:t>
      </w:r>
    </w:p>
    <w:p w14:paraId="4AE50B17" w14:textId="77777777" w:rsidR="00112C06" w:rsidRPr="00424C05" w:rsidRDefault="00112C06" w:rsidP="00112C06">
      <w:pPr>
        <w:jc w:val="both"/>
        <w:rPr>
          <w:rFonts w:ascii="Verdana" w:eastAsia="Verdana" w:hAnsi="Verdana" w:cs="Verdana"/>
          <w:sz w:val="22"/>
          <w:szCs w:val="22"/>
        </w:rPr>
      </w:pPr>
    </w:p>
    <w:p w14:paraId="7553E4D2" w14:textId="77777777" w:rsidR="00112C06" w:rsidRPr="00424C05" w:rsidRDefault="00112C06" w:rsidP="00112C06">
      <w:pPr>
        <w:pBdr>
          <w:top w:val="nil"/>
          <w:left w:val="nil"/>
          <w:bottom w:val="nil"/>
          <w:right w:val="nil"/>
          <w:between w:val="nil"/>
        </w:pBdr>
        <w:jc w:val="both"/>
        <w:rPr>
          <w:rFonts w:ascii="Verdana" w:eastAsia="Verdana" w:hAnsi="Verdana" w:cs="Verdana"/>
          <w:sz w:val="22"/>
          <w:szCs w:val="22"/>
        </w:rPr>
      </w:pPr>
    </w:p>
    <w:p w14:paraId="33DDABA9" w14:textId="16420A63" w:rsidR="00112C06" w:rsidRPr="00424C05" w:rsidRDefault="00112C06" w:rsidP="00112C06">
      <w:pPr>
        <w:numPr>
          <w:ilvl w:val="0"/>
          <w:numId w:val="7"/>
        </w:numPr>
        <w:pBdr>
          <w:top w:val="nil"/>
          <w:left w:val="nil"/>
          <w:bottom w:val="nil"/>
          <w:right w:val="nil"/>
          <w:between w:val="nil"/>
        </w:pBdr>
        <w:jc w:val="both"/>
        <w:rPr>
          <w:rFonts w:ascii="Verdana" w:eastAsia="Verdana" w:hAnsi="Verdana" w:cs="Verdana"/>
          <w:sz w:val="22"/>
          <w:szCs w:val="22"/>
        </w:rPr>
      </w:pPr>
      <w:r w:rsidRPr="00424C05">
        <w:rPr>
          <w:rFonts w:ascii="Verdana" w:eastAsia="Verdana" w:hAnsi="Verdana" w:cs="Verdana"/>
          <w:sz w:val="22"/>
          <w:szCs w:val="22"/>
        </w:rPr>
        <w:t>Las jornadas técnicas del mes</w:t>
      </w:r>
      <w:r w:rsidR="00C5293B">
        <w:rPr>
          <w:rFonts w:ascii="Verdana" w:eastAsia="Verdana" w:hAnsi="Verdana" w:cs="Verdana"/>
          <w:sz w:val="22"/>
          <w:szCs w:val="22"/>
        </w:rPr>
        <w:t xml:space="preserve"> fueron</w:t>
      </w:r>
      <w:r w:rsidRPr="00424C05">
        <w:rPr>
          <w:rFonts w:ascii="Verdana" w:eastAsia="Verdana" w:hAnsi="Verdana" w:cs="Verdana"/>
          <w:sz w:val="22"/>
          <w:szCs w:val="22"/>
        </w:rPr>
        <w:t xml:space="preserve"> las siguientes:</w:t>
      </w:r>
    </w:p>
    <w:p w14:paraId="5A0F4617" w14:textId="77777777" w:rsidR="00112C06" w:rsidRPr="00424C05" w:rsidRDefault="00112C06" w:rsidP="00112C06">
      <w:pPr>
        <w:pStyle w:val="Prrafodelista"/>
        <w:rPr>
          <w:rFonts w:ascii="Verdana" w:eastAsia="Verdana" w:hAnsi="Verdana" w:cs="Verdana"/>
          <w:sz w:val="22"/>
          <w:szCs w:val="22"/>
        </w:rPr>
      </w:pPr>
    </w:p>
    <w:p w14:paraId="1700B614" w14:textId="77777777" w:rsidR="00112C06" w:rsidRPr="00424C05" w:rsidRDefault="00112C06" w:rsidP="00112C06">
      <w:pPr>
        <w:pStyle w:val="Prrafodelista"/>
        <w:numPr>
          <w:ilvl w:val="0"/>
          <w:numId w:val="8"/>
        </w:numPr>
        <w:pBdr>
          <w:top w:val="nil"/>
          <w:left w:val="nil"/>
          <w:bottom w:val="nil"/>
          <w:right w:val="nil"/>
          <w:between w:val="nil"/>
        </w:pBdr>
        <w:jc w:val="both"/>
        <w:rPr>
          <w:rFonts w:ascii="Verdana" w:eastAsia="Verdana" w:hAnsi="Verdana" w:cs="Verdana"/>
          <w:sz w:val="22"/>
          <w:szCs w:val="22"/>
        </w:rPr>
      </w:pPr>
      <w:r w:rsidRPr="00424C05">
        <w:rPr>
          <w:rFonts w:ascii="Verdana" w:eastAsia="Verdana" w:hAnsi="Verdana" w:cs="Verdana"/>
          <w:sz w:val="22"/>
          <w:szCs w:val="22"/>
        </w:rPr>
        <w:t xml:space="preserve">PLANTAS: </w:t>
      </w:r>
      <w:r w:rsidRPr="00424C05">
        <w:rPr>
          <w:rFonts w:ascii="Verdana" w:eastAsia="Verdana" w:hAnsi="Verdana" w:cs="Verdana"/>
          <w:sz w:val="22"/>
          <w:szCs w:val="22"/>
        </w:rPr>
        <w:tab/>
      </w:r>
      <w:r w:rsidRPr="00424C05">
        <w:rPr>
          <w:rFonts w:ascii="Verdana" w:eastAsia="Verdana" w:hAnsi="Verdana" w:cs="Verdana"/>
          <w:sz w:val="22"/>
          <w:szCs w:val="22"/>
        </w:rPr>
        <w:tab/>
        <w:t>21 de agosto.</w:t>
      </w:r>
    </w:p>
    <w:p w14:paraId="1155C8F4" w14:textId="77777777" w:rsidR="00112C06" w:rsidRPr="00424C05" w:rsidRDefault="00112C06" w:rsidP="00112C06">
      <w:pPr>
        <w:pStyle w:val="Prrafodelista"/>
        <w:numPr>
          <w:ilvl w:val="0"/>
          <w:numId w:val="8"/>
        </w:numPr>
        <w:pBdr>
          <w:top w:val="nil"/>
          <w:left w:val="nil"/>
          <w:bottom w:val="nil"/>
          <w:right w:val="nil"/>
          <w:between w:val="nil"/>
        </w:pBdr>
        <w:jc w:val="both"/>
        <w:rPr>
          <w:rFonts w:ascii="Verdana" w:eastAsia="Verdana" w:hAnsi="Verdana" w:cs="Verdana"/>
          <w:sz w:val="22"/>
          <w:szCs w:val="22"/>
        </w:rPr>
      </w:pPr>
      <w:r w:rsidRPr="00424C05">
        <w:rPr>
          <w:rFonts w:ascii="Verdana" w:eastAsia="Verdana" w:hAnsi="Verdana" w:cs="Verdana"/>
          <w:sz w:val="22"/>
          <w:szCs w:val="22"/>
        </w:rPr>
        <w:t xml:space="preserve">TRANSMISIÓN: </w:t>
      </w:r>
      <w:r w:rsidRPr="00424C05">
        <w:rPr>
          <w:rFonts w:ascii="Verdana" w:eastAsia="Verdana" w:hAnsi="Verdana" w:cs="Verdana"/>
          <w:sz w:val="22"/>
          <w:szCs w:val="22"/>
        </w:rPr>
        <w:tab/>
        <w:t>22 y 23 de agosto.</w:t>
      </w:r>
    </w:p>
    <w:p w14:paraId="230AE826" w14:textId="77777777" w:rsidR="00112C06" w:rsidRPr="00424C05" w:rsidRDefault="00112C06" w:rsidP="00112C06">
      <w:pPr>
        <w:pBdr>
          <w:top w:val="nil"/>
          <w:left w:val="nil"/>
          <w:bottom w:val="nil"/>
          <w:right w:val="nil"/>
          <w:between w:val="nil"/>
        </w:pBdr>
        <w:ind w:left="360"/>
        <w:jc w:val="both"/>
        <w:rPr>
          <w:rFonts w:ascii="Verdana" w:eastAsia="Verdana" w:hAnsi="Verdana" w:cs="Verdana"/>
          <w:sz w:val="22"/>
          <w:szCs w:val="22"/>
        </w:rPr>
      </w:pPr>
    </w:p>
    <w:p w14:paraId="7478B36C" w14:textId="65DD3FAF" w:rsidR="00112C06" w:rsidRPr="00424C05" w:rsidRDefault="00112C06" w:rsidP="0019552B">
      <w:pPr>
        <w:pBdr>
          <w:top w:val="nil"/>
          <w:left w:val="nil"/>
          <w:bottom w:val="nil"/>
          <w:right w:val="nil"/>
          <w:between w:val="nil"/>
        </w:pBdr>
        <w:ind w:left="360"/>
        <w:jc w:val="both"/>
        <w:rPr>
          <w:rFonts w:ascii="Verdana" w:eastAsia="Verdana" w:hAnsi="Verdana" w:cs="Verdana"/>
          <w:sz w:val="22"/>
          <w:szCs w:val="22"/>
        </w:rPr>
      </w:pPr>
      <w:r w:rsidRPr="00424C05">
        <w:rPr>
          <w:rFonts w:ascii="Verdana" w:eastAsia="Verdana" w:hAnsi="Verdana" w:cs="Verdana"/>
          <w:sz w:val="22"/>
          <w:szCs w:val="22"/>
        </w:rPr>
        <w:t xml:space="preserve">Las </w:t>
      </w:r>
      <w:r w:rsidR="004D046F">
        <w:rPr>
          <w:rFonts w:ascii="Verdana" w:eastAsia="Verdana" w:hAnsi="Verdana" w:cs="Verdana"/>
          <w:sz w:val="22"/>
          <w:szCs w:val="22"/>
        </w:rPr>
        <w:t>memorias</w:t>
      </w:r>
      <w:r w:rsidRPr="00424C05">
        <w:rPr>
          <w:rFonts w:ascii="Verdana" w:eastAsia="Verdana" w:hAnsi="Verdana" w:cs="Verdana"/>
          <w:sz w:val="22"/>
          <w:szCs w:val="22"/>
        </w:rPr>
        <w:t xml:space="preserve"> pueden ser consultadas en la página web del Consejo. </w:t>
      </w:r>
    </w:p>
    <w:p w14:paraId="1006AEFE" w14:textId="77777777" w:rsidR="00112C06" w:rsidRPr="0019552B" w:rsidRDefault="00112C06" w:rsidP="0019552B">
      <w:pPr>
        <w:rPr>
          <w:rFonts w:ascii="Verdana" w:eastAsia="Verdana" w:hAnsi="Verdana" w:cs="Verdana"/>
          <w:sz w:val="22"/>
          <w:szCs w:val="22"/>
        </w:rPr>
      </w:pPr>
    </w:p>
    <w:p w14:paraId="43EE1A47" w14:textId="77777777" w:rsidR="00112C06" w:rsidRPr="00424C05" w:rsidRDefault="00112C06" w:rsidP="00112C06">
      <w:pPr>
        <w:jc w:val="both"/>
        <w:rPr>
          <w:rFonts w:ascii="Verdana" w:eastAsia="Verdana" w:hAnsi="Verdana" w:cs="Verdana"/>
          <w:b/>
          <w:sz w:val="22"/>
          <w:szCs w:val="22"/>
          <w:u w:val="single"/>
        </w:rPr>
      </w:pPr>
      <w:r w:rsidRPr="00424C05">
        <w:rPr>
          <w:rFonts w:ascii="Verdana" w:eastAsia="Verdana" w:hAnsi="Verdana" w:cs="Verdana"/>
          <w:b/>
          <w:sz w:val="22"/>
          <w:szCs w:val="22"/>
          <w:u w:val="single"/>
        </w:rPr>
        <w:t>ASPECTOS TÉCNICOS:</w:t>
      </w:r>
    </w:p>
    <w:p w14:paraId="55D54EE9" w14:textId="77777777" w:rsidR="00112C06" w:rsidRPr="0019552B" w:rsidRDefault="00112C06" w:rsidP="0019552B">
      <w:pPr>
        <w:jc w:val="both"/>
        <w:rPr>
          <w:rFonts w:ascii="Verdana" w:hAnsi="Verdana"/>
          <w:bCs/>
          <w:sz w:val="22"/>
          <w:szCs w:val="22"/>
        </w:rPr>
      </w:pPr>
    </w:p>
    <w:p w14:paraId="25794383" w14:textId="77777777" w:rsidR="00112C06" w:rsidRPr="00424C05" w:rsidRDefault="00112C06" w:rsidP="007864B2">
      <w:pPr>
        <w:pStyle w:val="Prrafodelista"/>
        <w:ind w:left="720"/>
        <w:jc w:val="both"/>
        <w:rPr>
          <w:rFonts w:ascii="Verdana" w:hAnsi="Verdana"/>
          <w:bCs/>
          <w:sz w:val="22"/>
          <w:szCs w:val="22"/>
        </w:rPr>
      </w:pPr>
    </w:p>
    <w:p w14:paraId="381FBA74" w14:textId="4FFCA39D" w:rsidR="00112C06" w:rsidRPr="00424C05" w:rsidRDefault="00112C06" w:rsidP="00C85C7F">
      <w:pPr>
        <w:pStyle w:val="Prrafodelista"/>
        <w:numPr>
          <w:ilvl w:val="0"/>
          <w:numId w:val="17"/>
        </w:numPr>
        <w:jc w:val="both"/>
        <w:rPr>
          <w:rFonts w:ascii="Verdana" w:hAnsi="Verdana"/>
          <w:bCs/>
          <w:sz w:val="22"/>
          <w:szCs w:val="22"/>
        </w:rPr>
      </w:pPr>
      <w:r w:rsidRPr="00424C05">
        <w:rPr>
          <w:rFonts w:ascii="Verdana" w:hAnsi="Verdana"/>
          <w:bCs/>
          <w:sz w:val="22"/>
          <w:szCs w:val="22"/>
        </w:rPr>
        <w:t xml:space="preserve">Se </w:t>
      </w:r>
      <w:r w:rsidR="0019552B">
        <w:rPr>
          <w:rFonts w:ascii="Verdana" w:hAnsi="Verdana"/>
          <w:bCs/>
          <w:sz w:val="22"/>
          <w:szCs w:val="22"/>
        </w:rPr>
        <w:t>envió</w:t>
      </w:r>
      <w:r w:rsidRPr="00424C05">
        <w:rPr>
          <w:rFonts w:ascii="Verdana" w:hAnsi="Verdana"/>
          <w:bCs/>
          <w:sz w:val="22"/>
          <w:szCs w:val="22"/>
        </w:rPr>
        <w:t xml:space="preserve"> comunicación a la CREG solicitando su concepto sobre la aplicación de la Resolución CREG 119 de 1998</w:t>
      </w:r>
      <w:r>
        <w:rPr>
          <w:rFonts w:ascii="Verdana" w:hAnsi="Verdana"/>
          <w:bCs/>
          <w:sz w:val="22"/>
          <w:szCs w:val="22"/>
        </w:rPr>
        <w:t xml:space="preserve"> (</w:t>
      </w:r>
      <w:r w:rsidRPr="00424C05">
        <w:rPr>
          <w:rFonts w:ascii="Verdana" w:hAnsi="Verdana"/>
          <w:bCs/>
          <w:sz w:val="22"/>
          <w:szCs w:val="22"/>
        </w:rPr>
        <w:t>Estatuto de Racionamiento</w:t>
      </w:r>
      <w:r>
        <w:rPr>
          <w:rFonts w:ascii="Verdana" w:hAnsi="Verdana"/>
          <w:bCs/>
          <w:sz w:val="22"/>
          <w:szCs w:val="22"/>
        </w:rPr>
        <w:t>)</w:t>
      </w:r>
      <w:r w:rsidRPr="00424C05">
        <w:rPr>
          <w:rFonts w:ascii="Verdana" w:hAnsi="Verdana"/>
          <w:bCs/>
          <w:sz w:val="22"/>
          <w:szCs w:val="22"/>
        </w:rPr>
        <w:t>. Lo anterior</w:t>
      </w:r>
      <w:r>
        <w:rPr>
          <w:rFonts w:ascii="Verdana" w:hAnsi="Verdana"/>
          <w:bCs/>
          <w:sz w:val="22"/>
          <w:szCs w:val="22"/>
        </w:rPr>
        <w:t>,</w:t>
      </w:r>
      <w:r w:rsidRPr="00424C05">
        <w:rPr>
          <w:rFonts w:ascii="Verdana" w:hAnsi="Verdana"/>
          <w:bCs/>
          <w:sz w:val="22"/>
          <w:szCs w:val="22"/>
        </w:rPr>
        <w:t xml:space="preserve"> teniendo en cuenta la programación desde el despacho económico de Demanda No Atendida-DNA en las subáreas Guajira-Cesar-Magdalena (GCM)</w:t>
      </w:r>
      <w:r w:rsidR="0019552B">
        <w:rPr>
          <w:rFonts w:ascii="Verdana" w:hAnsi="Verdana"/>
          <w:bCs/>
          <w:sz w:val="22"/>
          <w:szCs w:val="22"/>
        </w:rPr>
        <w:t xml:space="preserve">, Córdoba-Sucre </w:t>
      </w:r>
      <w:r w:rsidRPr="00424C05">
        <w:rPr>
          <w:rFonts w:ascii="Verdana" w:hAnsi="Verdana"/>
          <w:bCs/>
          <w:sz w:val="22"/>
          <w:szCs w:val="22"/>
        </w:rPr>
        <w:t>y Bolívar por agotamiento de la red, y las diferencias de entendimiento del CNO y el CND</w:t>
      </w:r>
      <w:r w:rsidR="0019552B">
        <w:rPr>
          <w:rFonts w:ascii="Verdana" w:hAnsi="Verdana"/>
          <w:bCs/>
          <w:sz w:val="22"/>
          <w:szCs w:val="22"/>
        </w:rPr>
        <w:t xml:space="preserve"> </w:t>
      </w:r>
      <w:r w:rsidRPr="00424C05">
        <w:rPr>
          <w:rFonts w:ascii="Verdana" w:hAnsi="Verdana"/>
          <w:bCs/>
          <w:sz w:val="22"/>
          <w:szCs w:val="22"/>
        </w:rPr>
        <w:t>de</w:t>
      </w:r>
      <w:r>
        <w:rPr>
          <w:rFonts w:ascii="Verdana" w:hAnsi="Verdana"/>
          <w:bCs/>
          <w:sz w:val="22"/>
          <w:szCs w:val="22"/>
        </w:rPr>
        <w:t xml:space="preserve"> </w:t>
      </w:r>
      <w:r w:rsidRPr="00424C05">
        <w:rPr>
          <w:rFonts w:ascii="Verdana" w:hAnsi="Verdana"/>
          <w:bCs/>
          <w:sz w:val="22"/>
          <w:szCs w:val="22"/>
        </w:rPr>
        <w:t>l</w:t>
      </w:r>
      <w:r>
        <w:rPr>
          <w:rFonts w:ascii="Verdana" w:hAnsi="Verdana"/>
          <w:bCs/>
          <w:sz w:val="22"/>
          <w:szCs w:val="22"/>
        </w:rPr>
        <w:t>as causales previstas en el</w:t>
      </w:r>
      <w:r w:rsidRPr="00424C05">
        <w:rPr>
          <w:rFonts w:ascii="Verdana" w:hAnsi="Verdana"/>
          <w:bCs/>
          <w:sz w:val="22"/>
          <w:szCs w:val="22"/>
        </w:rPr>
        <w:t xml:space="preserve"> estatuto. </w:t>
      </w:r>
      <w:r w:rsidR="00B57A69">
        <w:rPr>
          <w:rFonts w:ascii="Verdana" w:hAnsi="Verdana"/>
          <w:bCs/>
          <w:sz w:val="22"/>
          <w:szCs w:val="22"/>
        </w:rPr>
        <w:t>L</w:t>
      </w:r>
      <w:r w:rsidRPr="00424C05">
        <w:rPr>
          <w:rFonts w:ascii="Verdana" w:hAnsi="Verdana"/>
          <w:bCs/>
          <w:sz w:val="22"/>
          <w:szCs w:val="22"/>
        </w:rPr>
        <w:t>a Comisión</w:t>
      </w:r>
      <w:r w:rsidR="00B57A69">
        <w:rPr>
          <w:rFonts w:ascii="Verdana" w:hAnsi="Verdana"/>
          <w:bCs/>
          <w:sz w:val="22"/>
          <w:szCs w:val="22"/>
        </w:rPr>
        <w:t xml:space="preserve"> dio respuesta</w:t>
      </w:r>
      <w:r w:rsidR="0019552B">
        <w:rPr>
          <w:rFonts w:ascii="Verdana" w:hAnsi="Verdana"/>
          <w:bCs/>
          <w:sz w:val="22"/>
          <w:szCs w:val="22"/>
        </w:rPr>
        <w:t xml:space="preserve"> y en este momento se está formulando el concepto a la CREG según lo estipulado por el Artículo 3 de la Resolución CREG 119 de 1998</w:t>
      </w:r>
      <w:r w:rsidRPr="00424C05">
        <w:rPr>
          <w:rFonts w:ascii="Verdana" w:hAnsi="Verdana"/>
          <w:bCs/>
          <w:sz w:val="22"/>
          <w:szCs w:val="22"/>
        </w:rPr>
        <w:t xml:space="preserve">.  </w:t>
      </w:r>
    </w:p>
    <w:p w14:paraId="3440C105" w14:textId="77777777" w:rsidR="00112C06" w:rsidRPr="00424C05" w:rsidRDefault="00112C06" w:rsidP="00112C06">
      <w:pPr>
        <w:pStyle w:val="Prrafodelista"/>
        <w:ind w:left="720"/>
        <w:jc w:val="both"/>
        <w:rPr>
          <w:rFonts w:ascii="Verdana" w:hAnsi="Verdana"/>
          <w:bCs/>
          <w:sz w:val="22"/>
          <w:szCs w:val="22"/>
        </w:rPr>
      </w:pPr>
    </w:p>
    <w:p w14:paraId="33399E3B" w14:textId="252D82D4" w:rsidR="00112C06" w:rsidRDefault="004D046F" w:rsidP="00C85C7F">
      <w:pPr>
        <w:pStyle w:val="Prrafodelista"/>
        <w:numPr>
          <w:ilvl w:val="0"/>
          <w:numId w:val="17"/>
        </w:numPr>
        <w:jc w:val="both"/>
        <w:rPr>
          <w:rFonts w:ascii="Verdana" w:hAnsi="Verdana"/>
          <w:bCs/>
          <w:sz w:val="22"/>
          <w:szCs w:val="22"/>
        </w:rPr>
      </w:pPr>
      <w:r>
        <w:rPr>
          <w:rFonts w:ascii="Verdana" w:hAnsi="Verdana"/>
          <w:bCs/>
          <w:sz w:val="22"/>
          <w:szCs w:val="22"/>
        </w:rPr>
        <w:t xml:space="preserve">Se llevó a cabo la </w:t>
      </w:r>
      <w:r w:rsidR="00112C06" w:rsidRPr="00F948F3">
        <w:rPr>
          <w:rFonts w:ascii="Verdana" w:hAnsi="Verdana"/>
          <w:bCs/>
          <w:sz w:val="22"/>
          <w:szCs w:val="22"/>
        </w:rPr>
        <w:t xml:space="preserve">reunión CNO-CND-ITCO-TRANSELCA–ELECTRICARIBE–TEBSA–CELSIA– PROELECTRICA–ENE–GECELCA-URRA-TERMONORTE, </w:t>
      </w:r>
      <w:r w:rsidR="0019552B">
        <w:rPr>
          <w:rFonts w:ascii="Verdana" w:hAnsi="Verdana"/>
          <w:bCs/>
          <w:sz w:val="22"/>
          <w:szCs w:val="22"/>
        </w:rPr>
        <w:t>sobre el</w:t>
      </w:r>
      <w:r w:rsidR="00112C06" w:rsidRPr="00F948F3">
        <w:rPr>
          <w:rFonts w:ascii="Verdana" w:hAnsi="Verdana"/>
          <w:bCs/>
          <w:sz w:val="22"/>
          <w:szCs w:val="22"/>
        </w:rPr>
        <w:t xml:space="preserve"> análisis de la condición actual y esperada de</w:t>
      </w:r>
      <w:r w:rsidR="0019552B">
        <w:rPr>
          <w:rFonts w:ascii="Verdana" w:hAnsi="Verdana"/>
          <w:bCs/>
          <w:sz w:val="22"/>
          <w:szCs w:val="22"/>
        </w:rPr>
        <w:t>l área Caribe</w:t>
      </w:r>
      <w:r w:rsidR="00112C06">
        <w:rPr>
          <w:rFonts w:ascii="Verdana" w:hAnsi="Verdana"/>
          <w:bCs/>
          <w:sz w:val="22"/>
          <w:szCs w:val="22"/>
        </w:rPr>
        <w:t>.</w:t>
      </w:r>
      <w:r w:rsidR="00B57A69">
        <w:rPr>
          <w:rFonts w:ascii="Verdana" w:hAnsi="Verdana"/>
          <w:bCs/>
          <w:sz w:val="22"/>
          <w:szCs w:val="22"/>
        </w:rPr>
        <w:t xml:space="preserve"> Las </w:t>
      </w:r>
      <w:r w:rsidR="0019552B">
        <w:rPr>
          <w:rFonts w:ascii="Verdana" w:hAnsi="Verdana"/>
          <w:bCs/>
          <w:sz w:val="22"/>
          <w:szCs w:val="22"/>
        </w:rPr>
        <w:t>acciones que se definieron a partir</w:t>
      </w:r>
      <w:r w:rsidR="00B57A69">
        <w:rPr>
          <w:rFonts w:ascii="Verdana" w:hAnsi="Verdana"/>
          <w:bCs/>
          <w:sz w:val="22"/>
          <w:szCs w:val="22"/>
        </w:rPr>
        <w:t xml:space="preserve"> </w:t>
      </w:r>
      <w:r w:rsidR="0019552B">
        <w:rPr>
          <w:rFonts w:ascii="Verdana" w:hAnsi="Verdana"/>
          <w:bCs/>
          <w:sz w:val="22"/>
          <w:szCs w:val="22"/>
        </w:rPr>
        <w:t xml:space="preserve">de dicha reunión </w:t>
      </w:r>
      <w:r w:rsidR="00B57A69">
        <w:rPr>
          <w:rFonts w:ascii="Verdana" w:hAnsi="Verdana"/>
          <w:bCs/>
          <w:sz w:val="22"/>
          <w:szCs w:val="22"/>
        </w:rPr>
        <w:t>son la siguientes:</w:t>
      </w:r>
    </w:p>
    <w:p w14:paraId="1D682331" w14:textId="77777777" w:rsidR="0019552B" w:rsidRPr="0019552B" w:rsidRDefault="0019552B" w:rsidP="0019552B">
      <w:pPr>
        <w:pStyle w:val="Prrafodelista"/>
        <w:rPr>
          <w:rFonts w:ascii="Verdana" w:hAnsi="Verdana"/>
          <w:bCs/>
          <w:sz w:val="22"/>
          <w:szCs w:val="22"/>
        </w:rPr>
      </w:pPr>
    </w:p>
    <w:p w14:paraId="71D97F66" w14:textId="1D7E963D" w:rsidR="0019552B" w:rsidRPr="00B14CC2" w:rsidRDefault="0019552B" w:rsidP="0019552B">
      <w:pPr>
        <w:pStyle w:val="Prrafodelista"/>
        <w:numPr>
          <w:ilvl w:val="0"/>
          <w:numId w:val="19"/>
        </w:numPr>
        <w:contextualSpacing/>
        <w:jc w:val="both"/>
        <w:rPr>
          <w:rFonts w:ascii="Verdana" w:hAnsi="Verdana"/>
          <w:sz w:val="22"/>
          <w:szCs w:val="22"/>
        </w:rPr>
      </w:pPr>
      <w:r w:rsidRPr="00B14CC2">
        <w:rPr>
          <w:rFonts w:ascii="Verdana" w:hAnsi="Verdana"/>
          <w:sz w:val="22"/>
          <w:szCs w:val="22"/>
        </w:rPr>
        <w:t>Revisión del Protocolo de Comunicaciones del CNO cuando se comunique que se va</w:t>
      </w:r>
      <w:r>
        <w:rPr>
          <w:rFonts w:ascii="Verdana" w:hAnsi="Verdana"/>
          <w:sz w:val="22"/>
          <w:szCs w:val="22"/>
        </w:rPr>
        <w:t>n</w:t>
      </w:r>
      <w:r w:rsidRPr="00B14CC2">
        <w:rPr>
          <w:rFonts w:ascii="Verdana" w:hAnsi="Verdana"/>
          <w:sz w:val="22"/>
          <w:szCs w:val="22"/>
        </w:rPr>
        <w:t xml:space="preserve"> a racionar usuarios. </w:t>
      </w:r>
    </w:p>
    <w:p w14:paraId="3FF9552E" w14:textId="1C5671E3" w:rsidR="0019552B" w:rsidRPr="00B14CC2" w:rsidRDefault="0019552B" w:rsidP="0019552B">
      <w:pPr>
        <w:pStyle w:val="Prrafodelista"/>
        <w:numPr>
          <w:ilvl w:val="0"/>
          <w:numId w:val="19"/>
        </w:numPr>
        <w:contextualSpacing/>
        <w:jc w:val="both"/>
        <w:rPr>
          <w:rFonts w:ascii="Verdana" w:hAnsi="Verdana"/>
          <w:sz w:val="22"/>
          <w:szCs w:val="22"/>
        </w:rPr>
      </w:pPr>
      <w:r w:rsidRPr="00B14CC2">
        <w:rPr>
          <w:rFonts w:ascii="Verdana" w:hAnsi="Verdana"/>
          <w:sz w:val="22"/>
          <w:szCs w:val="22"/>
        </w:rPr>
        <w:t xml:space="preserve">Análisis estadístico de los tiempos de las consignaciones a nivel del STR y STN. </w:t>
      </w:r>
    </w:p>
    <w:p w14:paraId="5B45998E" w14:textId="07BC3716" w:rsidR="0019552B" w:rsidRPr="00B14CC2" w:rsidRDefault="0019552B" w:rsidP="0019552B">
      <w:pPr>
        <w:pStyle w:val="Prrafodelista"/>
        <w:numPr>
          <w:ilvl w:val="0"/>
          <w:numId w:val="19"/>
        </w:numPr>
        <w:contextualSpacing/>
        <w:jc w:val="both"/>
        <w:rPr>
          <w:rFonts w:ascii="Verdana" w:hAnsi="Verdana"/>
          <w:sz w:val="22"/>
          <w:szCs w:val="22"/>
        </w:rPr>
      </w:pPr>
      <w:r w:rsidRPr="00B14CC2">
        <w:rPr>
          <w:rFonts w:ascii="Verdana" w:hAnsi="Verdana"/>
          <w:sz w:val="22"/>
          <w:szCs w:val="22"/>
        </w:rPr>
        <w:t xml:space="preserve">Análisis de la </w:t>
      </w:r>
      <w:r w:rsidR="00381BE0">
        <w:rPr>
          <w:rFonts w:ascii="Verdana" w:hAnsi="Verdana"/>
          <w:sz w:val="22"/>
          <w:szCs w:val="22"/>
        </w:rPr>
        <w:t>revisión</w:t>
      </w:r>
      <w:r w:rsidRPr="00B14CC2">
        <w:rPr>
          <w:rFonts w:ascii="Verdana" w:hAnsi="Verdana"/>
          <w:sz w:val="22"/>
          <w:szCs w:val="22"/>
        </w:rPr>
        <w:t xml:space="preserve"> del criterio de tensión mínima de 0.9 en p.u. en subestaciones radiales, como el Banco 110 kV. </w:t>
      </w:r>
    </w:p>
    <w:p w14:paraId="1820C03E" w14:textId="5A99FD64" w:rsidR="0019552B" w:rsidRPr="00B14CC2" w:rsidRDefault="0019552B" w:rsidP="0019552B">
      <w:pPr>
        <w:pStyle w:val="Prrafodelista"/>
        <w:numPr>
          <w:ilvl w:val="0"/>
          <w:numId w:val="19"/>
        </w:numPr>
        <w:contextualSpacing/>
        <w:jc w:val="both"/>
        <w:rPr>
          <w:rFonts w:ascii="Verdana" w:hAnsi="Verdana"/>
          <w:sz w:val="22"/>
          <w:szCs w:val="22"/>
        </w:rPr>
      </w:pPr>
      <w:r w:rsidRPr="00B14CC2">
        <w:rPr>
          <w:rFonts w:ascii="Verdana" w:hAnsi="Verdana"/>
          <w:sz w:val="22"/>
          <w:szCs w:val="22"/>
        </w:rPr>
        <w:t xml:space="preserve">Recomendar la implementación de mecanismos de respuesta de la demanda e instalación de plantas diésel. </w:t>
      </w:r>
    </w:p>
    <w:p w14:paraId="3B7BD454" w14:textId="21F1B5B9" w:rsidR="0019552B" w:rsidRPr="00B14CC2" w:rsidRDefault="0019552B" w:rsidP="0019552B">
      <w:pPr>
        <w:pStyle w:val="Prrafodelista"/>
        <w:numPr>
          <w:ilvl w:val="0"/>
          <w:numId w:val="19"/>
        </w:numPr>
        <w:contextualSpacing/>
        <w:jc w:val="both"/>
        <w:rPr>
          <w:rFonts w:ascii="Verdana" w:hAnsi="Verdana"/>
          <w:sz w:val="22"/>
          <w:szCs w:val="22"/>
        </w:rPr>
      </w:pPr>
      <w:r w:rsidRPr="00B14CC2">
        <w:rPr>
          <w:rFonts w:ascii="Verdana" w:hAnsi="Verdana"/>
          <w:sz w:val="22"/>
          <w:szCs w:val="22"/>
        </w:rPr>
        <w:t xml:space="preserve">Análisis de la viabilidad técnica de instalar un Esquema Suplementario inteligente en GCM, que monitoree la tensión de la subestación El Paso 110 kV y </w:t>
      </w:r>
      <w:r w:rsidR="00381BE0">
        <w:rPr>
          <w:rFonts w:ascii="Verdana" w:hAnsi="Verdana"/>
          <w:sz w:val="22"/>
          <w:szCs w:val="22"/>
        </w:rPr>
        <w:t>su</w:t>
      </w:r>
      <w:r w:rsidRPr="00B14CC2">
        <w:rPr>
          <w:rFonts w:ascii="Verdana" w:hAnsi="Verdana"/>
          <w:sz w:val="22"/>
          <w:szCs w:val="22"/>
        </w:rPr>
        <w:t xml:space="preserve"> límite de intercambio de 540 MW, evitando así la programación de DNA desde el despacho económico. </w:t>
      </w:r>
    </w:p>
    <w:p w14:paraId="188D7123" w14:textId="30E13DCC" w:rsidR="0019552B" w:rsidRPr="00B14CC2" w:rsidRDefault="0019552B" w:rsidP="0019552B">
      <w:pPr>
        <w:pStyle w:val="Prrafodelista"/>
        <w:numPr>
          <w:ilvl w:val="0"/>
          <w:numId w:val="19"/>
        </w:numPr>
        <w:contextualSpacing/>
        <w:jc w:val="both"/>
        <w:rPr>
          <w:rFonts w:ascii="Verdana" w:hAnsi="Verdana"/>
          <w:sz w:val="22"/>
          <w:szCs w:val="22"/>
        </w:rPr>
      </w:pPr>
      <w:r w:rsidRPr="00B14CC2">
        <w:rPr>
          <w:rFonts w:ascii="Verdana" w:hAnsi="Verdana"/>
          <w:sz w:val="22"/>
          <w:szCs w:val="22"/>
        </w:rPr>
        <w:t xml:space="preserve">Estudiar </w:t>
      </w:r>
      <w:r w:rsidR="00381BE0">
        <w:rPr>
          <w:rFonts w:ascii="Verdana" w:hAnsi="Verdana"/>
          <w:sz w:val="22"/>
          <w:szCs w:val="22"/>
        </w:rPr>
        <w:t xml:space="preserve">la definición de </w:t>
      </w:r>
      <w:r w:rsidRPr="00B14CC2">
        <w:rPr>
          <w:rFonts w:ascii="Verdana" w:hAnsi="Verdana"/>
          <w:sz w:val="22"/>
          <w:szCs w:val="22"/>
        </w:rPr>
        <w:t>un tiempo mínimo de espera una vez se materializa una contingencia a nivel de 500 kV, antes de invocar DNA, si la generación local no es suficiente para controlar el límite de transferencia al área Caribe.</w:t>
      </w:r>
    </w:p>
    <w:p w14:paraId="0539FE4C" w14:textId="7994D11D" w:rsidR="0019552B" w:rsidRPr="00B14CC2" w:rsidRDefault="00381BE0" w:rsidP="0019552B">
      <w:pPr>
        <w:pStyle w:val="Prrafodelista"/>
        <w:numPr>
          <w:ilvl w:val="0"/>
          <w:numId w:val="19"/>
        </w:numPr>
        <w:contextualSpacing/>
        <w:jc w:val="both"/>
        <w:rPr>
          <w:rFonts w:ascii="Verdana" w:hAnsi="Verdana"/>
          <w:sz w:val="22"/>
          <w:szCs w:val="22"/>
        </w:rPr>
      </w:pPr>
      <w:r>
        <w:rPr>
          <w:rFonts w:ascii="Verdana" w:hAnsi="Verdana"/>
          <w:sz w:val="22"/>
          <w:szCs w:val="22"/>
        </w:rPr>
        <w:t>Agilizar la c</w:t>
      </w:r>
      <w:r w:rsidR="0019552B" w:rsidRPr="00B14CC2">
        <w:rPr>
          <w:rFonts w:ascii="Verdana" w:hAnsi="Verdana"/>
          <w:sz w:val="22"/>
          <w:szCs w:val="22"/>
        </w:rPr>
        <w:t>onexión del segundo circuito Boston-Chinú 110 kV: Se plantean dos opciones, que mitigarían el racionamiento bajo condiciones normales de operación, considerando que s</w:t>
      </w:r>
      <w:r>
        <w:rPr>
          <w:rFonts w:ascii="Verdana" w:hAnsi="Verdana"/>
          <w:sz w:val="22"/>
          <w:szCs w:val="22"/>
        </w:rPr>
        <w:t>ó</w:t>
      </w:r>
      <w:r w:rsidR="0019552B" w:rsidRPr="00B14CC2">
        <w:rPr>
          <w:rFonts w:ascii="Verdana" w:hAnsi="Verdana"/>
          <w:sz w:val="22"/>
          <w:szCs w:val="22"/>
        </w:rPr>
        <w:t xml:space="preserve">lo faltan 500 metros para culminar el proyecto en su totalidad (dificultades prediales). La primera </w:t>
      </w:r>
      <w:r w:rsidR="0019552B" w:rsidRPr="00B14CC2">
        <w:rPr>
          <w:rFonts w:ascii="Verdana" w:hAnsi="Verdana"/>
          <w:sz w:val="22"/>
          <w:szCs w:val="22"/>
        </w:rPr>
        <w:lastRenderedPageBreak/>
        <w:t xml:space="preserve">opción es conectar en T el segundo circuito a la línea existente, conservando su bahía </w:t>
      </w:r>
      <w:r>
        <w:rPr>
          <w:rFonts w:ascii="Verdana" w:hAnsi="Verdana"/>
          <w:sz w:val="22"/>
          <w:szCs w:val="22"/>
        </w:rPr>
        <w:t xml:space="preserve">en </w:t>
      </w:r>
      <w:r w:rsidR="0019552B" w:rsidRPr="00B14CC2">
        <w:rPr>
          <w:rFonts w:ascii="Verdana" w:hAnsi="Verdana"/>
          <w:sz w:val="22"/>
          <w:szCs w:val="22"/>
        </w:rPr>
        <w:t>la subestación Chinú 110 kV. La otra opción es utilizar las mismas bahías del circuito existente</w:t>
      </w:r>
      <w:r w:rsidR="0019552B">
        <w:rPr>
          <w:rFonts w:ascii="Verdana" w:hAnsi="Verdana"/>
          <w:sz w:val="22"/>
          <w:szCs w:val="22"/>
        </w:rPr>
        <w:t>.</w:t>
      </w:r>
    </w:p>
    <w:p w14:paraId="1CDD4E07" w14:textId="408DEBEF" w:rsidR="0019552B" w:rsidRPr="00B14CC2" w:rsidRDefault="00381BE0" w:rsidP="0019552B">
      <w:pPr>
        <w:pStyle w:val="Prrafodelista"/>
        <w:numPr>
          <w:ilvl w:val="0"/>
          <w:numId w:val="19"/>
        </w:numPr>
        <w:contextualSpacing/>
        <w:jc w:val="both"/>
        <w:rPr>
          <w:rFonts w:ascii="Verdana" w:hAnsi="Verdana"/>
          <w:sz w:val="22"/>
          <w:szCs w:val="22"/>
        </w:rPr>
      </w:pPr>
      <w:r>
        <w:rPr>
          <w:rFonts w:ascii="Verdana" w:hAnsi="Verdana"/>
          <w:sz w:val="22"/>
          <w:szCs w:val="22"/>
        </w:rPr>
        <w:t>Agilizar la i</w:t>
      </w:r>
      <w:r w:rsidR="0019552B" w:rsidRPr="00B14CC2">
        <w:rPr>
          <w:rFonts w:ascii="Verdana" w:hAnsi="Verdana"/>
          <w:sz w:val="22"/>
          <w:szCs w:val="22"/>
        </w:rPr>
        <w:t>nstalación del segundo transformador de 100</w:t>
      </w:r>
      <w:r>
        <w:rPr>
          <w:rFonts w:ascii="Verdana" w:hAnsi="Verdana"/>
          <w:sz w:val="22"/>
          <w:szCs w:val="22"/>
        </w:rPr>
        <w:t xml:space="preserve"> </w:t>
      </w:r>
      <w:r w:rsidR="0019552B" w:rsidRPr="00B14CC2">
        <w:rPr>
          <w:rFonts w:ascii="Verdana" w:hAnsi="Verdana"/>
          <w:sz w:val="22"/>
          <w:szCs w:val="22"/>
        </w:rPr>
        <w:t>MVA en subestación Copey a nivel de 34.5</w:t>
      </w:r>
      <w:r>
        <w:rPr>
          <w:rFonts w:ascii="Verdana" w:hAnsi="Verdana"/>
          <w:sz w:val="22"/>
          <w:szCs w:val="22"/>
        </w:rPr>
        <w:t xml:space="preserve"> </w:t>
      </w:r>
      <w:r w:rsidR="0019552B" w:rsidRPr="00B14CC2">
        <w:rPr>
          <w:rFonts w:ascii="Verdana" w:hAnsi="Verdana"/>
          <w:sz w:val="22"/>
          <w:szCs w:val="22"/>
        </w:rPr>
        <w:t>kV: El proyecto consiste en conectar en paralelo los devanados de 34.5 kV de los dos transformadores existentes (incluyendo la unidad de reserv</w:t>
      </w:r>
      <w:r>
        <w:rPr>
          <w:rFonts w:ascii="Verdana" w:hAnsi="Verdana"/>
          <w:sz w:val="22"/>
          <w:szCs w:val="22"/>
        </w:rPr>
        <w:t>a</w:t>
      </w:r>
      <w:r w:rsidR="0019552B" w:rsidRPr="00B14CC2">
        <w:rPr>
          <w:rFonts w:ascii="Verdana" w:hAnsi="Verdana"/>
          <w:sz w:val="22"/>
          <w:szCs w:val="22"/>
        </w:rPr>
        <w:t>), haciendo uso de una bahía móvil. Lo anterior reduciría la cargabilidad de los transformadores existentes</w:t>
      </w:r>
      <w:r>
        <w:rPr>
          <w:rFonts w:ascii="Verdana" w:hAnsi="Verdana"/>
          <w:sz w:val="22"/>
          <w:szCs w:val="22"/>
        </w:rPr>
        <w:t>.</w:t>
      </w:r>
    </w:p>
    <w:p w14:paraId="710720A8" w14:textId="1D90B93C" w:rsidR="0019552B" w:rsidRPr="00B14CC2" w:rsidRDefault="00381BE0" w:rsidP="0019552B">
      <w:pPr>
        <w:pStyle w:val="Prrafodelista"/>
        <w:numPr>
          <w:ilvl w:val="0"/>
          <w:numId w:val="19"/>
        </w:numPr>
        <w:contextualSpacing/>
        <w:jc w:val="both"/>
        <w:rPr>
          <w:rFonts w:ascii="Verdana" w:hAnsi="Verdana"/>
          <w:sz w:val="22"/>
          <w:szCs w:val="22"/>
        </w:rPr>
      </w:pPr>
      <w:r>
        <w:rPr>
          <w:rFonts w:ascii="Verdana" w:hAnsi="Verdana"/>
          <w:sz w:val="22"/>
          <w:szCs w:val="22"/>
        </w:rPr>
        <w:t>Agilizar la instalación del t</w:t>
      </w:r>
      <w:r w:rsidR="0019552B" w:rsidRPr="00B14CC2">
        <w:rPr>
          <w:rFonts w:ascii="Verdana" w:hAnsi="Verdana"/>
          <w:sz w:val="22"/>
          <w:szCs w:val="22"/>
        </w:rPr>
        <w:t xml:space="preserve">ransformador Provisional en la </w:t>
      </w:r>
      <w:r>
        <w:rPr>
          <w:rFonts w:ascii="Verdana" w:hAnsi="Verdana"/>
          <w:sz w:val="22"/>
          <w:szCs w:val="22"/>
        </w:rPr>
        <w:t>subestación La Loma</w:t>
      </w:r>
      <w:r w:rsidR="0019552B" w:rsidRPr="00B14CC2">
        <w:rPr>
          <w:rFonts w:ascii="Verdana" w:hAnsi="Verdana"/>
          <w:sz w:val="22"/>
          <w:szCs w:val="22"/>
        </w:rPr>
        <w:t>: El proyecto consiste en trasladar demanda de la subestación El Banco 110 kV hacia la subestación La Loma, instalando un transformador 110/34.5 kV en una de las bahías a 110 kV, propiedad de GEB.  Es importante mencionar que GEB está analizando la viabilidad técnica de esta alternativa y su remuneración</w:t>
      </w:r>
      <w:r>
        <w:rPr>
          <w:rFonts w:ascii="Verdana" w:hAnsi="Verdana"/>
          <w:sz w:val="22"/>
          <w:szCs w:val="22"/>
        </w:rPr>
        <w:t>.</w:t>
      </w:r>
    </w:p>
    <w:p w14:paraId="397CBD20" w14:textId="682CB090" w:rsidR="0019552B" w:rsidRPr="00B14CC2" w:rsidRDefault="0019552B" w:rsidP="0019552B">
      <w:pPr>
        <w:pStyle w:val="Prrafodelista"/>
        <w:numPr>
          <w:ilvl w:val="0"/>
          <w:numId w:val="19"/>
        </w:numPr>
        <w:contextualSpacing/>
        <w:jc w:val="both"/>
        <w:rPr>
          <w:rFonts w:ascii="Verdana" w:hAnsi="Verdana"/>
          <w:sz w:val="22"/>
          <w:szCs w:val="22"/>
        </w:rPr>
      </w:pPr>
      <w:r w:rsidRPr="00B14CC2">
        <w:rPr>
          <w:rFonts w:ascii="Verdana" w:hAnsi="Verdana"/>
          <w:sz w:val="22"/>
          <w:szCs w:val="22"/>
        </w:rPr>
        <w:t>Estudiar el curso de acción si se declaran desiertas nuevamente las convocatorias UPME que actualmente están en curso</w:t>
      </w:r>
      <w:r w:rsidR="00381BE0">
        <w:rPr>
          <w:rFonts w:ascii="Verdana" w:hAnsi="Verdana"/>
          <w:sz w:val="22"/>
          <w:szCs w:val="22"/>
        </w:rPr>
        <w:t xml:space="preserve"> (La Marina).</w:t>
      </w:r>
    </w:p>
    <w:p w14:paraId="01704447" w14:textId="68DCB787" w:rsidR="0019552B" w:rsidRPr="00B14CC2" w:rsidRDefault="00381BE0" w:rsidP="0019552B">
      <w:pPr>
        <w:pStyle w:val="Prrafodelista"/>
        <w:numPr>
          <w:ilvl w:val="0"/>
          <w:numId w:val="19"/>
        </w:numPr>
        <w:contextualSpacing/>
        <w:jc w:val="both"/>
        <w:rPr>
          <w:rFonts w:ascii="Verdana" w:hAnsi="Verdana"/>
          <w:sz w:val="22"/>
          <w:szCs w:val="22"/>
        </w:rPr>
      </w:pPr>
      <w:r>
        <w:rPr>
          <w:rFonts w:ascii="Verdana" w:hAnsi="Verdana"/>
          <w:sz w:val="22"/>
          <w:szCs w:val="22"/>
        </w:rPr>
        <w:t>Estudiar la viabilidad de mantener</w:t>
      </w:r>
      <w:r w:rsidR="0019552B" w:rsidRPr="00B14CC2">
        <w:rPr>
          <w:rFonts w:ascii="Verdana" w:hAnsi="Verdana"/>
          <w:sz w:val="22"/>
          <w:szCs w:val="22"/>
        </w:rPr>
        <w:t xml:space="preserve"> cerrado </w:t>
      </w:r>
      <w:r>
        <w:rPr>
          <w:rFonts w:ascii="Verdana" w:hAnsi="Verdana"/>
          <w:sz w:val="22"/>
          <w:szCs w:val="22"/>
        </w:rPr>
        <w:t xml:space="preserve">durante </w:t>
      </w:r>
      <w:r w:rsidR="0019552B" w:rsidRPr="00B14CC2">
        <w:rPr>
          <w:rFonts w:ascii="Verdana" w:hAnsi="Verdana"/>
          <w:sz w:val="22"/>
          <w:szCs w:val="22"/>
        </w:rPr>
        <w:t xml:space="preserve">más tiempo el anillo de la subestación Toluviejo 110 kV, medida que mejoraría el perfil de tensiones en el sur del departamento de Bolívar. </w:t>
      </w:r>
    </w:p>
    <w:p w14:paraId="4AF80E7E" w14:textId="5AFDF71C" w:rsidR="0019552B" w:rsidRPr="00B14CC2" w:rsidRDefault="00381BE0" w:rsidP="0019552B">
      <w:pPr>
        <w:pStyle w:val="Prrafodelista"/>
        <w:numPr>
          <w:ilvl w:val="0"/>
          <w:numId w:val="19"/>
        </w:numPr>
        <w:contextualSpacing/>
        <w:jc w:val="both"/>
        <w:rPr>
          <w:rFonts w:ascii="Verdana" w:hAnsi="Verdana"/>
          <w:sz w:val="22"/>
          <w:szCs w:val="22"/>
        </w:rPr>
      </w:pPr>
      <w:r>
        <w:rPr>
          <w:rFonts w:ascii="Verdana" w:hAnsi="Verdana"/>
          <w:sz w:val="22"/>
          <w:szCs w:val="22"/>
        </w:rPr>
        <w:t>Reiterar a</w:t>
      </w:r>
      <w:r w:rsidR="0019552B" w:rsidRPr="00B14CC2">
        <w:rPr>
          <w:rFonts w:ascii="Verdana" w:hAnsi="Verdana"/>
          <w:sz w:val="22"/>
          <w:szCs w:val="22"/>
        </w:rPr>
        <w:t xml:space="preserve"> MINENERGIA, UPME y CREG, sobre la importancia de garantizar la entrada en servicio coordinada de las expansiones en el STN y STR, al igual que considerar los verdaderos tiempos de ejecución de las obras, y acompañar las mismas con inversiones en los Sistemas de Distribución Local.</w:t>
      </w:r>
      <w:r w:rsidR="0019552B">
        <w:rPr>
          <w:rFonts w:ascii="Verdana" w:hAnsi="Verdana"/>
          <w:sz w:val="22"/>
          <w:szCs w:val="22"/>
        </w:rPr>
        <w:t xml:space="preserve"> </w:t>
      </w:r>
    </w:p>
    <w:p w14:paraId="2950C22E" w14:textId="703D2748" w:rsidR="0019552B" w:rsidRPr="00B14CC2" w:rsidRDefault="0019552B" w:rsidP="0019552B">
      <w:pPr>
        <w:pStyle w:val="Prrafodelista"/>
        <w:numPr>
          <w:ilvl w:val="0"/>
          <w:numId w:val="19"/>
        </w:numPr>
        <w:contextualSpacing/>
        <w:jc w:val="both"/>
        <w:rPr>
          <w:rFonts w:ascii="Verdana" w:hAnsi="Verdana"/>
          <w:sz w:val="22"/>
          <w:szCs w:val="22"/>
        </w:rPr>
      </w:pPr>
      <w:r w:rsidRPr="00B14CC2">
        <w:rPr>
          <w:rFonts w:ascii="Verdana" w:hAnsi="Verdana"/>
          <w:sz w:val="22"/>
          <w:szCs w:val="22"/>
        </w:rPr>
        <w:t xml:space="preserve">Presentar la situación del área Caribe en la próxima reunión CACSSE. </w:t>
      </w:r>
    </w:p>
    <w:p w14:paraId="2B3BA0E2" w14:textId="78F880BA" w:rsidR="0019552B" w:rsidRPr="00B14CC2" w:rsidRDefault="0019552B" w:rsidP="0019552B">
      <w:pPr>
        <w:pStyle w:val="Prrafodelista"/>
        <w:numPr>
          <w:ilvl w:val="0"/>
          <w:numId w:val="19"/>
        </w:numPr>
        <w:contextualSpacing/>
        <w:jc w:val="both"/>
        <w:rPr>
          <w:rFonts w:ascii="Verdana" w:hAnsi="Verdana"/>
          <w:sz w:val="22"/>
          <w:szCs w:val="22"/>
        </w:rPr>
      </w:pPr>
      <w:r w:rsidRPr="00B14CC2">
        <w:rPr>
          <w:rFonts w:ascii="Verdana" w:hAnsi="Verdana"/>
          <w:sz w:val="22"/>
          <w:szCs w:val="22"/>
        </w:rPr>
        <w:t>Programar de manera permanente en el Subcomité de Análisis y Planeación Eléctrica del CNO un seguimiento a la situación eléctrica del área Caribe.</w:t>
      </w:r>
      <w:r>
        <w:rPr>
          <w:rFonts w:ascii="Verdana" w:hAnsi="Verdana"/>
          <w:sz w:val="22"/>
          <w:szCs w:val="22"/>
        </w:rPr>
        <w:t xml:space="preserve"> </w:t>
      </w:r>
    </w:p>
    <w:p w14:paraId="2997BB2B" w14:textId="706F4BFD" w:rsidR="0019552B" w:rsidRPr="00B14CC2" w:rsidRDefault="0019552B" w:rsidP="0019552B">
      <w:pPr>
        <w:pStyle w:val="Prrafodelista"/>
        <w:numPr>
          <w:ilvl w:val="0"/>
          <w:numId w:val="19"/>
        </w:numPr>
        <w:contextualSpacing/>
        <w:jc w:val="both"/>
        <w:rPr>
          <w:rFonts w:ascii="Verdana" w:hAnsi="Verdana"/>
          <w:sz w:val="22"/>
          <w:szCs w:val="22"/>
        </w:rPr>
      </w:pPr>
      <w:r w:rsidRPr="00B14CC2">
        <w:rPr>
          <w:rFonts w:ascii="Verdana" w:hAnsi="Verdana"/>
          <w:sz w:val="22"/>
          <w:szCs w:val="22"/>
        </w:rPr>
        <w:t>Facilitar a TEBSA y ELECTRICARIBE en el SCADA, el intercambio en tiempo real del área Caribe (todos los límites, es decir, Caribe, Caribe 2 y GCM).</w:t>
      </w:r>
      <w:r>
        <w:rPr>
          <w:rFonts w:ascii="Verdana" w:hAnsi="Verdana"/>
          <w:sz w:val="22"/>
          <w:szCs w:val="22"/>
        </w:rPr>
        <w:t xml:space="preserve"> </w:t>
      </w:r>
    </w:p>
    <w:p w14:paraId="3CF43BE2" w14:textId="7255E8A4" w:rsidR="0019552B" w:rsidRPr="00B14CC2" w:rsidRDefault="0019552B" w:rsidP="0019552B">
      <w:pPr>
        <w:pStyle w:val="Prrafodelista"/>
        <w:numPr>
          <w:ilvl w:val="0"/>
          <w:numId w:val="19"/>
        </w:numPr>
        <w:contextualSpacing/>
        <w:jc w:val="both"/>
        <w:rPr>
          <w:rFonts w:ascii="Verdana" w:hAnsi="Verdana"/>
          <w:sz w:val="22"/>
          <w:szCs w:val="22"/>
        </w:rPr>
      </w:pPr>
      <w:r w:rsidRPr="00B14CC2">
        <w:rPr>
          <w:rFonts w:ascii="Verdana" w:hAnsi="Verdana"/>
          <w:sz w:val="22"/>
          <w:szCs w:val="22"/>
        </w:rPr>
        <w:t xml:space="preserve">Dar la señal a las entidades sectoriales </w:t>
      </w:r>
      <w:r w:rsidR="00381BE0">
        <w:rPr>
          <w:rFonts w:ascii="Verdana" w:hAnsi="Verdana"/>
          <w:sz w:val="22"/>
          <w:szCs w:val="22"/>
        </w:rPr>
        <w:t xml:space="preserve">sobre </w:t>
      </w:r>
      <w:r w:rsidRPr="00B14CC2">
        <w:rPr>
          <w:rFonts w:ascii="Verdana" w:hAnsi="Verdana"/>
          <w:sz w:val="22"/>
          <w:szCs w:val="22"/>
        </w:rPr>
        <w:t>los impactos de los redespachos en las unidades de generación térmicas.</w:t>
      </w:r>
      <w:r>
        <w:rPr>
          <w:rFonts w:ascii="Verdana" w:hAnsi="Verdana"/>
          <w:sz w:val="22"/>
          <w:szCs w:val="22"/>
        </w:rPr>
        <w:t xml:space="preserve"> </w:t>
      </w:r>
    </w:p>
    <w:p w14:paraId="00AA3016" w14:textId="64CADE40" w:rsidR="0019552B" w:rsidRPr="00B14CC2" w:rsidRDefault="0019552B" w:rsidP="0019552B">
      <w:pPr>
        <w:pStyle w:val="Prrafodelista"/>
        <w:numPr>
          <w:ilvl w:val="0"/>
          <w:numId w:val="19"/>
        </w:numPr>
        <w:contextualSpacing/>
        <w:jc w:val="both"/>
        <w:rPr>
          <w:rFonts w:ascii="Verdana" w:hAnsi="Verdana"/>
          <w:sz w:val="22"/>
          <w:szCs w:val="22"/>
        </w:rPr>
      </w:pPr>
      <w:r w:rsidRPr="00B14CC2">
        <w:rPr>
          <w:rFonts w:ascii="Verdana" w:hAnsi="Verdana"/>
          <w:sz w:val="22"/>
          <w:szCs w:val="22"/>
        </w:rPr>
        <w:t>Informar en tiempo real a ELECTRICARIBE la generación de Termoflores.</w:t>
      </w:r>
      <w:r>
        <w:rPr>
          <w:rFonts w:ascii="Verdana" w:hAnsi="Verdana"/>
          <w:sz w:val="22"/>
          <w:szCs w:val="22"/>
        </w:rPr>
        <w:t xml:space="preserve"> </w:t>
      </w:r>
    </w:p>
    <w:p w14:paraId="1C036D73" w14:textId="55BD350F" w:rsidR="0019552B" w:rsidRPr="00E42C86" w:rsidRDefault="0019552B" w:rsidP="0019552B">
      <w:pPr>
        <w:pStyle w:val="Prrafodelista"/>
        <w:numPr>
          <w:ilvl w:val="0"/>
          <w:numId w:val="19"/>
        </w:numPr>
        <w:contextualSpacing/>
        <w:jc w:val="both"/>
        <w:rPr>
          <w:rFonts w:ascii="Verdana" w:hAnsi="Verdana"/>
          <w:sz w:val="22"/>
          <w:szCs w:val="22"/>
        </w:rPr>
      </w:pPr>
      <w:r w:rsidRPr="00B14CC2">
        <w:rPr>
          <w:rFonts w:ascii="Verdana" w:hAnsi="Verdana"/>
          <w:sz w:val="22"/>
          <w:szCs w:val="22"/>
        </w:rPr>
        <w:t>Presentar las conclusiones de esta reunión al grupo de restricciones, liderado por MINENERGÍA</w:t>
      </w:r>
      <w:r>
        <w:rPr>
          <w:rFonts w:ascii="Verdana" w:hAnsi="Verdana"/>
          <w:sz w:val="22"/>
          <w:szCs w:val="22"/>
        </w:rPr>
        <w:t>.</w:t>
      </w:r>
      <w:r w:rsidRPr="00AF19FB">
        <w:rPr>
          <w:rFonts w:ascii="Verdana" w:hAnsi="Verdana"/>
          <w:sz w:val="22"/>
          <w:szCs w:val="22"/>
        </w:rPr>
        <w:t xml:space="preserve"> </w:t>
      </w:r>
    </w:p>
    <w:p w14:paraId="53EBB578" w14:textId="77777777" w:rsidR="00112C06" w:rsidRPr="00381BE0" w:rsidRDefault="00112C06" w:rsidP="00381BE0">
      <w:pPr>
        <w:jc w:val="both"/>
        <w:rPr>
          <w:rFonts w:ascii="Verdana" w:hAnsi="Verdana"/>
          <w:bCs/>
          <w:sz w:val="22"/>
          <w:szCs w:val="22"/>
        </w:rPr>
      </w:pPr>
    </w:p>
    <w:p w14:paraId="149D9E3A" w14:textId="4760C4BC" w:rsidR="00112C06" w:rsidRPr="00424C05" w:rsidRDefault="00381BE0" w:rsidP="00C85C7F">
      <w:pPr>
        <w:pStyle w:val="Prrafodelista"/>
        <w:numPr>
          <w:ilvl w:val="0"/>
          <w:numId w:val="17"/>
        </w:numPr>
        <w:jc w:val="both"/>
        <w:rPr>
          <w:rFonts w:ascii="Verdana" w:hAnsi="Verdana"/>
          <w:bCs/>
          <w:sz w:val="22"/>
          <w:szCs w:val="22"/>
        </w:rPr>
      </w:pPr>
      <w:r>
        <w:rPr>
          <w:rFonts w:ascii="Verdana" w:hAnsi="Verdana"/>
          <w:bCs/>
          <w:sz w:val="22"/>
          <w:szCs w:val="22"/>
        </w:rPr>
        <w:t>El día de hoy</w:t>
      </w:r>
      <w:r w:rsidR="00112C06" w:rsidRPr="00424C05">
        <w:rPr>
          <w:rFonts w:ascii="Verdana" w:hAnsi="Verdana"/>
          <w:bCs/>
          <w:sz w:val="22"/>
          <w:szCs w:val="22"/>
        </w:rPr>
        <w:t xml:space="preserve"> los </w:t>
      </w:r>
      <w:r w:rsidR="00112C06">
        <w:rPr>
          <w:rFonts w:ascii="Verdana" w:hAnsi="Verdana"/>
          <w:bCs/>
          <w:sz w:val="22"/>
          <w:szCs w:val="22"/>
        </w:rPr>
        <w:t>S</w:t>
      </w:r>
      <w:r w:rsidR="00112C06" w:rsidRPr="00424C05">
        <w:rPr>
          <w:rFonts w:ascii="Verdana" w:hAnsi="Verdana"/>
          <w:bCs/>
          <w:sz w:val="22"/>
          <w:szCs w:val="22"/>
        </w:rPr>
        <w:t>ubcomités de Recursos Energéticos Renovables y Plantas</w:t>
      </w:r>
      <w:r w:rsidR="0036314B">
        <w:rPr>
          <w:rFonts w:ascii="Verdana" w:hAnsi="Verdana"/>
          <w:bCs/>
          <w:sz w:val="22"/>
          <w:szCs w:val="22"/>
        </w:rPr>
        <w:t xml:space="preserve"> presentarán sus observaciones</w:t>
      </w:r>
      <w:r w:rsidR="00112C06" w:rsidRPr="00424C05">
        <w:rPr>
          <w:rFonts w:ascii="Verdana" w:hAnsi="Verdana"/>
          <w:bCs/>
          <w:sz w:val="22"/>
          <w:szCs w:val="22"/>
        </w:rPr>
        <w:t xml:space="preserve"> al protocolo propuesto </w:t>
      </w:r>
      <w:r w:rsidR="0036314B">
        <w:rPr>
          <w:rFonts w:ascii="Verdana" w:hAnsi="Verdana"/>
          <w:bCs/>
          <w:sz w:val="22"/>
          <w:szCs w:val="22"/>
        </w:rPr>
        <w:t xml:space="preserve">por la Universidad de los Andes </w:t>
      </w:r>
      <w:r w:rsidR="00112C06" w:rsidRPr="00424C05">
        <w:rPr>
          <w:rFonts w:ascii="Verdana" w:hAnsi="Verdana"/>
          <w:bCs/>
          <w:sz w:val="22"/>
          <w:szCs w:val="22"/>
        </w:rPr>
        <w:t>para el cálculo de la Capacidad Efectiva Neta-CEN de plantas solares fotovoltaicas</w:t>
      </w:r>
      <w:r w:rsidR="0036314B">
        <w:rPr>
          <w:rFonts w:ascii="Verdana" w:hAnsi="Verdana"/>
          <w:bCs/>
          <w:sz w:val="22"/>
          <w:szCs w:val="22"/>
        </w:rPr>
        <w:t>,</w:t>
      </w:r>
      <w:r w:rsidR="00112C06">
        <w:rPr>
          <w:rFonts w:ascii="Verdana" w:hAnsi="Verdana"/>
          <w:bCs/>
          <w:sz w:val="22"/>
          <w:szCs w:val="22"/>
        </w:rPr>
        <w:t xml:space="preserve"> y </w:t>
      </w:r>
      <w:r w:rsidR="0036314B">
        <w:rPr>
          <w:rFonts w:ascii="Verdana" w:hAnsi="Verdana"/>
          <w:bCs/>
          <w:sz w:val="22"/>
          <w:szCs w:val="22"/>
        </w:rPr>
        <w:t xml:space="preserve">a la propuesta de reporte de información meteorológica de pantas eólicas y </w:t>
      </w:r>
      <w:r w:rsidR="00201D31">
        <w:rPr>
          <w:rFonts w:ascii="Verdana" w:hAnsi="Verdana"/>
          <w:bCs/>
          <w:sz w:val="22"/>
          <w:szCs w:val="22"/>
        </w:rPr>
        <w:t>solares fotovoltaicos</w:t>
      </w:r>
      <w:r w:rsidR="0036314B">
        <w:rPr>
          <w:rFonts w:ascii="Verdana" w:hAnsi="Verdana"/>
          <w:bCs/>
          <w:sz w:val="22"/>
          <w:szCs w:val="22"/>
        </w:rPr>
        <w:t xml:space="preserve"> que se conecten al STN y STR (tarea derivada de la Resolución CREG 060 de 2019)</w:t>
      </w:r>
      <w:r w:rsidR="00112C06" w:rsidRPr="00424C05">
        <w:rPr>
          <w:rFonts w:ascii="Verdana" w:hAnsi="Verdana"/>
          <w:bCs/>
          <w:sz w:val="22"/>
          <w:szCs w:val="22"/>
        </w:rPr>
        <w:t>.</w:t>
      </w:r>
      <w:r w:rsidR="0036314B">
        <w:rPr>
          <w:rFonts w:ascii="Verdana" w:hAnsi="Verdana"/>
          <w:bCs/>
          <w:sz w:val="22"/>
          <w:szCs w:val="22"/>
        </w:rPr>
        <w:t xml:space="preserve"> </w:t>
      </w:r>
    </w:p>
    <w:p w14:paraId="7DCBE48B" w14:textId="77777777" w:rsidR="00112C06" w:rsidRPr="00424C05" w:rsidRDefault="00112C06" w:rsidP="00112C06">
      <w:pPr>
        <w:pStyle w:val="Prrafodelista"/>
        <w:ind w:left="720"/>
        <w:jc w:val="both"/>
        <w:rPr>
          <w:rFonts w:ascii="Verdana" w:hAnsi="Verdana"/>
          <w:bCs/>
          <w:sz w:val="22"/>
          <w:szCs w:val="22"/>
        </w:rPr>
      </w:pPr>
    </w:p>
    <w:p w14:paraId="7FD89A9A" w14:textId="72C75CE4" w:rsidR="00112C06" w:rsidRPr="00424C05" w:rsidRDefault="0036314B" w:rsidP="00B5406F">
      <w:pPr>
        <w:pStyle w:val="Prrafodelista"/>
        <w:numPr>
          <w:ilvl w:val="0"/>
          <w:numId w:val="17"/>
        </w:numPr>
        <w:jc w:val="both"/>
        <w:rPr>
          <w:rFonts w:ascii="Verdana" w:hAnsi="Verdana"/>
          <w:bCs/>
          <w:sz w:val="22"/>
          <w:szCs w:val="22"/>
        </w:rPr>
      </w:pPr>
      <w:r>
        <w:rPr>
          <w:rFonts w:ascii="Verdana" w:hAnsi="Verdana"/>
          <w:bCs/>
          <w:sz w:val="22"/>
          <w:szCs w:val="22"/>
        </w:rPr>
        <w:t xml:space="preserve">En el Comité de Operación se revisó el avance al cumplimiento </w:t>
      </w:r>
      <w:r w:rsidR="004D046F">
        <w:rPr>
          <w:rFonts w:ascii="Verdana" w:hAnsi="Verdana"/>
          <w:bCs/>
          <w:sz w:val="22"/>
          <w:szCs w:val="22"/>
        </w:rPr>
        <w:t xml:space="preserve">de </w:t>
      </w:r>
      <w:r>
        <w:rPr>
          <w:rFonts w:ascii="Verdana" w:hAnsi="Verdana"/>
          <w:bCs/>
          <w:sz w:val="22"/>
          <w:szCs w:val="22"/>
        </w:rPr>
        <w:t xml:space="preserve">las </w:t>
      </w:r>
      <w:r w:rsidR="004D046F">
        <w:rPr>
          <w:rFonts w:ascii="Verdana" w:hAnsi="Verdana"/>
          <w:bCs/>
          <w:sz w:val="22"/>
          <w:szCs w:val="22"/>
        </w:rPr>
        <w:t>tareas</w:t>
      </w:r>
      <w:r>
        <w:rPr>
          <w:rFonts w:ascii="Verdana" w:hAnsi="Verdana"/>
          <w:bCs/>
          <w:sz w:val="22"/>
          <w:szCs w:val="22"/>
        </w:rPr>
        <w:t xml:space="preserve"> asignadas por </w:t>
      </w:r>
      <w:r w:rsidR="00112C06" w:rsidRPr="00424C05">
        <w:rPr>
          <w:rFonts w:ascii="Verdana" w:hAnsi="Verdana"/>
          <w:bCs/>
          <w:sz w:val="22"/>
          <w:szCs w:val="22"/>
        </w:rPr>
        <w:t>la</w:t>
      </w:r>
      <w:r>
        <w:rPr>
          <w:rFonts w:ascii="Verdana" w:hAnsi="Verdana"/>
          <w:bCs/>
          <w:sz w:val="22"/>
          <w:szCs w:val="22"/>
        </w:rPr>
        <w:t xml:space="preserve"> CREG en su</w:t>
      </w:r>
      <w:r w:rsidR="00112C06" w:rsidRPr="00424C05">
        <w:rPr>
          <w:rFonts w:ascii="Verdana" w:hAnsi="Verdana"/>
          <w:bCs/>
          <w:sz w:val="22"/>
          <w:szCs w:val="22"/>
        </w:rPr>
        <w:t xml:space="preserve"> Resolución 060 de 2019, “</w:t>
      </w:r>
      <w:r w:rsidRPr="0036314B">
        <w:rPr>
          <w:rFonts w:ascii="Verdana" w:hAnsi="Verdana"/>
          <w:bCs/>
          <w:i/>
          <w:iCs/>
          <w:sz w:val="22"/>
          <w:szCs w:val="22"/>
        </w:rPr>
        <w:t>p</w:t>
      </w:r>
      <w:r w:rsidR="00112C06" w:rsidRPr="0036314B">
        <w:rPr>
          <w:rFonts w:ascii="Verdana" w:hAnsi="Verdana"/>
          <w:bCs/>
          <w:i/>
          <w:iCs/>
          <w:sz w:val="22"/>
          <w:szCs w:val="22"/>
        </w:rPr>
        <w:t>or la cual se hacen modificaciones y adiciones transitorias al Reglamento de Operación para permitir la conexión y operación de plantas solares fotovoltaicas y eólicas en el SIN, y se dictan otras disposiciones</w:t>
      </w:r>
      <w:r w:rsidR="00112C06" w:rsidRPr="00424C05">
        <w:rPr>
          <w:rFonts w:ascii="Verdana" w:hAnsi="Verdana"/>
          <w:bCs/>
          <w:sz w:val="22"/>
          <w:szCs w:val="22"/>
        </w:rPr>
        <w:t>”.</w:t>
      </w:r>
      <w:r>
        <w:rPr>
          <w:rFonts w:ascii="Verdana" w:hAnsi="Verdana"/>
          <w:bCs/>
          <w:sz w:val="22"/>
          <w:szCs w:val="22"/>
        </w:rPr>
        <w:t xml:space="preserve"> Ya vía acuerdo se cumplió con la definición de</w:t>
      </w:r>
      <w:r w:rsidRPr="0036314B">
        <w:rPr>
          <w:rFonts w:ascii="Verdana" w:hAnsi="Verdana"/>
          <w:bCs/>
          <w:sz w:val="22"/>
          <w:szCs w:val="22"/>
        </w:rPr>
        <w:t xml:space="preserve"> la información, procedimiento de entrada en operación comercial y los parámetros que los generadores eólicos y solares fotovoltaicas conectados al STN y STR, deben cumplir para la entrada en operación comercial de sus plantas</w:t>
      </w:r>
      <w:r>
        <w:rPr>
          <w:rFonts w:ascii="Verdana" w:hAnsi="Verdana"/>
          <w:bCs/>
          <w:sz w:val="22"/>
          <w:szCs w:val="22"/>
        </w:rPr>
        <w:t xml:space="preserve">. Se avanza en la formulación de los 4 protocolos faltantes, relacionados con </w:t>
      </w:r>
      <w:r w:rsidR="00112C06" w:rsidRPr="0036314B">
        <w:rPr>
          <w:rFonts w:ascii="Verdana" w:hAnsi="Verdana"/>
          <w:bCs/>
          <w:sz w:val="22"/>
          <w:szCs w:val="22"/>
        </w:rPr>
        <w:t xml:space="preserve">la </w:t>
      </w:r>
      <w:r w:rsidR="00B5406F">
        <w:rPr>
          <w:rFonts w:ascii="Verdana" w:hAnsi="Verdana"/>
          <w:bCs/>
          <w:sz w:val="22"/>
          <w:szCs w:val="22"/>
        </w:rPr>
        <w:t xml:space="preserve">i) </w:t>
      </w:r>
      <w:r w:rsidR="00112C06" w:rsidRPr="0036314B">
        <w:rPr>
          <w:rFonts w:ascii="Verdana" w:hAnsi="Verdana"/>
          <w:bCs/>
          <w:sz w:val="22"/>
          <w:szCs w:val="22"/>
        </w:rPr>
        <w:t>metodología para la validación de los modelos de simulación RMS de plantas solares fotovoltaicas y eólicas</w:t>
      </w:r>
      <w:r w:rsidR="00B5406F">
        <w:rPr>
          <w:rFonts w:ascii="Verdana" w:hAnsi="Verdana"/>
          <w:bCs/>
          <w:sz w:val="22"/>
          <w:szCs w:val="22"/>
        </w:rPr>
        <w:t xml:space="preserve">, ii) </w:t>
      </w:r>
      <w:r w:rsidR="00112C06" w:rsidRPr="00B5406F">
        <w:rPr>
          <w:rFonts w:ascii="Verdana" w:hAnsi="Verdana"/>
          <w:bCs/>
          <w:sz w:val="22"/>
          <w:szCs w:val="22"/>
        </w:rPr>
        <w:t xml:space="preserve">los términos y plazos para la realización de </w:t>
      </w:r>
      <w:r w:rsidR="00B5406F">
        <w:rPr>
          <w:rFonts w:ascii="Verdana" w:hAnsi="Verdana"/>
          <w:bCs/>
          <w:sz w:val="22"/>
          <w:szCs w:val="22"/>
        </w:rPr>
        <w:t>sus pruebas, iii) la v</w:t>
      </w:r>
      <w:r w:rsidR="00112C06" w:rsidRPr="007864B2">
        <w:rPr>
          <w:rFonts w:ascii="Verdana" w:hAnsi="Verdana"/>
          <w:bCs/>
          <w:sz w:val="22"/>
          <w:szCs w:val="22"/>
        </w:rPr>
        <w:t xml:space="preserve">erificación de </w:t>
      </w:r>
      <w:r w:rsidR="00B5406F">
        <w:rPr>
          <w:rFonts w:ascii="Verdana" w:hAnsi="Verdana"/>
          <w:bCs/>
          <w:sz w:val="22"/>
          <w:szCs w:val="22"/>
        </w:rPr>
        <w:t xml:space="preserve">la </w:t>
      </w:r>
      <w:r w:rsidR="00112C06" w:rsidRPr="007864B2">
        <w:rPr>
          <w:rFonts w:ascii="Verdana" w:hAnsi="Verdana"/>
          <w:bCs/>
          <w:sz w:val="22"/>
          <w:szCs w:val="22"/>
        </w:rPr>
        <w:t xml:space="preserve">calidad, confiabilidad de la medición y reporte al CND de las </w:t>
      </w:r>
      <w:r w:rsidR="00112C06" w:rsidRPr="007864B2">
        <w:rPr>
          <w:rFonts w:ascii="Verdana" w:hAnsi="Verdana"/>
          <w:bCs/>
          <w:sz w:val="22"/>
          <w:szCs w:val="22"/>
        </w:rPr>
        <w:lastRenderedPageBreak/>
        <w:t>variables meteorológicas</w:t>
      </w:r>
      <w:r w:rsidR="00B5406F">
        <w:rPr>
          <w:rFonts w:ascii="Verdana" w:hAnsi="Verdana"/>
          <w:bCs/>
          <w:sz w:val="22"/>
          <w:szCs w:val="22"/>
        </w:rPr>
        <w:t xml:space="preserve"> y iv) la </w:t>
      </w:r>
      <w:r w:rsidR="00112C06" w:rsidRPr="00B5406F">
        <w:rPr>
          <w:rFonts w:ascii="Verdana" w:hAnsi="Verdana"/>
          <w:bCs/>
          <w:sz w:val="22"/>
          <w:szCs w:val="22"/>
        </w:rPr>
        <w:t>metodología para el cálculo de la calidad, confiabilidad y disponibilidad de las mediciones eléctricas (análogas y digitales</w:t>
      </w:r>
      <w:r w:rsidR="00B5406F">
        <w:rPr>
          <w:rFonts w:ascii="Verdana" w:hAnsi="Verdana"/>
          <w:bCs/>
          <w:sz w:val="22"/>
          <w:szCs w:val="22"/>
        </w:rPr>
        <w:t>).</w:t>
      </w:r>
    </w:p>
    <w:p w14:paraId="6EC41209" w14:textId="77777777" w:rsidR="004D046F" w:rsidRPr="004D046F" w:rsidRDefault="004D046F" w:rsidP="004D046F">
      <w:pPr>
        <w:jc w:val="both"/>
        <w:rPr>
          <w:rFonts w:ascii="Verdana" w:hAnsi="Verdana"/>
          <w:bCs/>
          <w:sz w:val="22"/>
          <w:szCs w:val="22"/>
        </w:rPr>
      </w:pPr>
    </w:p>
    <w:p w14:paraId="5B8849F9" w14:textId="3D448E31" w:rsidR="00112C06" w:rsidRPr="00424C05" w:rsidRDefault="00112C06" w:rsidP="00C85C7F">
      <w:pPr>
        <w:pStyle w:val="Prrafodelista"/>
        <w:numPr>
          <w:ilvl w:val="0"/>
          <w:numId w:val="17"/>
        </w:numPr>
        <w:jc w:val="both"/>
        <w:rPr>
          <w:rFonts w:ascii="Verdana" w:hAnsi="Verdana"/>
          <w:bCs/>
          <w:sz w:val="22"/>
          <w:szCs w:val="22"/>
        </w:rPr>
      </w:pPr>
      <w:r w:rsidRPr="00424C05">
        <w:rPr>
          <w:rFonts w:ascii="Verdana" w:hAnsi="Verdana"/>
          <w:bCs/>
          <w:sz w:val="22"/>
          <w:szCs w:val="22"/>
        </w:rPr>
        <w:t xml:space="preserve">En el Comité de Transmisión </w:t>
      </w:r>
      <w:r w:rsidR="00B5406F">
        <w:rPr>
          <w:rFonts w:ascii="Verdana" w:hAnsi="Verdana"/>
          <w:bCs/>
          <w:sz w:val="22"/>
          <w:szCs w:val="22"/>
        </w:rPr>
        <w:t xml:space="preserve">los transmisores expusieron nuevamente </w:t>
      </w:r>
      <w:r w:rsidRPr="00424C05">
        <w:rPr>
          <w:rFonts w:ascii="Verdana" w:hAnsi="Verdana"/>
          <w:bCs/>
          <w:sz w:val="22"/>
          <w:szCs w:val="22"/>
        </w:rPr>
        <w:t xml:space="preserve">su preocupación por </w:t>
      </w:r>
      <w:r w:rsidR="00B5406F">
        <w:rPr>
          <w:rFonts w:ascii="Verdana" w:hAnsi="Verdana"/>
          <w:bCs/>
          <w:sz w:val="22"/>
          <w:szCs w:val="22"/>
        </w:rPr>
        <w:t>la</w:t>
      </w:r>
      <w:r w:rsidRPr="00424C05">
        <w:rPr>
          <w:rFonts w:ascii="Verdana" w:hAnsi="Verdana"/>
          <w:bCs/>
          <w:sz w:val="22"/>
          <w:szCs w:val="22"/>
        </w:rPr>
        <w:t xml:space="preserve"> comunicación del CND, </w:t>
      </w:r>
      <w:r w:rsidR="00B5406F">
        <w:rPr>
          <w:rFonts w:ascii="Verdana" w:hAnsi="Verdana"/>
          <w:bCs/>
          <w:sz w:val="22"/>
          <w:szCs w:val="22"/>
        </w:rPr>
        <w:t>relacionada con</w:t>
      </w:r>
      <w:r w:rsidRPr="00424C05">
        <w:rPr>
          <w:rFonts w:ascii="Verdana" w:hAnsi="Verdana"/>
          <w:bCs/>
          <w:sz w:val="22"/>
          <w:szCs w:val="22"/>
        </w:rPr>
        <w:t xml:space="preserve"> una capacitación sobre delegación de funciones para ejercer total o parcialmente las actividades asociadas a la coordinación de la operación del SIN. En este sentido, y teniendo en cuenta las limitaciones manifestadas por algunos transportadores para llevar a cabalidad dichas funciones, </w:t>
      </w:r>
      <w:r w:rsidR="00B5406F">
        <w:rPr>
          <w:rFonts w:ascii="Verdana" w:hAnsi="Verdana"/>
          <w:bCs/>
          <w:sz w:val="22"/>
          <w:szCs w:val="22"/>
        </w:rPr>
        <w:t xml:space="preserve">el CND está analizando si da alcance a su comunicación o se formula junto con el Comité de Transmisión una propuesta </w:t>
      </w:r>
      <w:r w:rsidR="008F3C55">
        <w:rPr>
          <w:rFonts w:ascii="Verdana" w:hAnsi="Verdana"/>
          <w:bCs/>
          <w:sz w:val="22"/>
          <w:szCs w:val="22"/>
        </w:rPr>
        <w:t>de ajuste</w:t>
      </w:r>
      <w:r w:rsidR="00B5406F">
        <w:rPr>
          <w:rFonts w:ascii="Verdana" w:hAnsi="Verdana"/>
          <w:bCs/>
          <w:sz w:val="22"/>
          <w:szCs w:val="22"/>
        </w:rPr>
        <w:t xml:space="preserve"> a</w:t>
      </w:r>
      <w:r w:rsidRPr="00424C05">
        <w:rPr>
          <w:rFonts w:ascii="Verdana" w:hAnsi="Verdana"/>
          <w:bCs/>
          <w:sz w:val="22"/>
          <w:szCs w:val="22"/>
        </w:rPr>
        <w:t xml:space="preserve"> la Resolución CREG 080 de 1999</w:t>
      </w:r>
      <w:r w:rsidR="008F3C55">
        <w:rPr>
          <w:rFonts w:ascii="Verdana" w:hAnsi="Verdana"/>
          <w:bCs/>
          <w:sz w:val="22"/>
          <w:szCs w:val="22"/>
        </w:rPr>
        <w:t>,</w:t>
      </w:r>
      <w:r w:rsidR="00B5406F">
        <w:rPr>
          <w:rFonts w:ascii="Verdana" w:hAnsi="Verdana"/>
          <w:bCs/>
          <w:sz w:val="22"/>
          <w:szCs w:val="22"/>
        </w:rPr>
        <w:t xml:space="preserve"> teniendo </w:t>
      </w:r>
      <w:r w:rsidR="008F3C55">
        <w:rPr>
          <w:rFonts w:ascii="Verdana" w:hAnsi="Verdana"/>
          <w:bCs/>
          <w:sz w:val="22"/>
          <w:szCs w:val="22"/>
        </w:rPr>
        <w:t xml:space="preserve">en cuenta </w:t>
      </w:r>
      <w:r w:rsidR="00B5406F">
        <w:rPr>
          <w:rFonts w:ascii="Verdana" w:hAnsi="Verdana"/>
          <w:bCs/>
          <w:sz w:val="22"/>
          <w:szCs w:val="22"/>
        </w:rPr>
        <w:t>la realidad operativa a</w:t>
      </w:r>
      <w:r w:rsidR="008F3C55">
        <w:rPr>
          <w:rFonts w:ascii="Verdana" w:hAnsi="Verdana"/>
          <w:bCs/>
          <w:sz w:val="22"/>
          <w:szCs w:val="22"/>
        </w:rPr>
        <w:t>ctual (Centros Regionales de Despacho)</w:t>
      </w:r>
      <w:r w:rsidRPr="00424C05">
        <w:rPr>
          <w:rFonts w:ascii="Verdana" w:hAnsi="Verdana"/>
          <w:bCs/>
          <w:sz w:val="22"/>
          <w:szCs w:val="22"/>
        </w:rPr>
        <w:t xml:space="preserve">. </w:t>
      </w:r>
    </w:p>
    <w:p w14:paraId="503F49C8" w14:textId="77777777" w:rsidR="004D046F" w:rsidRPr="004D046F" w:rsidRDefault="004D046F" w:rsidP="004D046F">
      <w:pPr>
        <w:jc w:val="both"/>
        <w:rPr>
          <w:rFonts w:ascii="Verdana" w:hAnsi="Verdana"/>
          <w:bCs/>
          <w:sz w:val="22"/>
          <w:szCs w:val="22"/>
        </w:rPr>
      </w:pPr>
    </w:p>
    <w:p w14:paraId="6A3A83A1" w14:textId="77FAB964" w:rsidR="004D046F" w:rsidRDefault="008F3C55" w:rsidP="008F3C55">
      <w:pPr>
        <w:pStyle w:val="Prrafodelista"/>
        <w:numPr>
          <w:ilvl w:val="0"/>
          <w:numId w:val="17"/>
        </w:numPr>
        <w:jc w:val="both"/>
        <w:rPr>
          <w:rFonts w:ascii="Verdana" w:hAnsi="Verdana"/>
          <w:bCs/>
          <w:sz w:val="22"/>
          <w:szCs w:val="22"/>
        </w:rPr>
      </w:pPr>
      <w:r>
        <w:rPr>
          <w:rFonts w:ascii="Verdana" w:hAnsi="Verdana"/>
          <w:bCs/>
          <w:sz w:val="22"/>
          <w:szCs w:val="22"/>
        </w:rPr>
        <w:t>Teniendo en cuenta los productos solicitados por l</w:t>
      </w:r>
      <w:r w:rsidR="00112C06" w:rsidRPr="004D046F">
        <w:rPr>
          <w:rFonts w:ascii="Verdana" w:hAnsi="Verdana"/>
          <w:bCs/>
          <w:sz w:val="22"/>
          <w:szCs w:val="22"/>
        </w:rPr>
        <w:t>a CREG</w:t>
      </w:r>
      <w:r>
        <w:rPr>
          <w:rFonts w:ascii="Verdana" w:hAnsi="Verdana"/>
          <w:bCs/>
          <w:sz w:val="22"/>
          <w:szCs w:val="22"/>
        </w:rPr>
        <w:t xml:space="preserve"> en el marco de la</w:t>
      </w:r>
      <w:r w:rsidR="00112C06" w:rsidRPr="004D046F">
        <w:rPr>
          <w:rFonts w:ascii="Verdana" w:hAnsi="Verdana"/>
          <w:bCs/>
          <w:sz w:val="22"/>
          <w:szCs w:val="22"/>
        </w:rPr>
        <w:t xml:space="preserve"> actualización del Código de Redes</w:t>
      </w:r>
      <w:r>
        <w:rPr>
          <w:rFonts w:ascii="Verdana" w:hAnsi="Verdana"/>
          <w:bCs/>
          <w:sz w:val="22"/>
          <w:szCs w:val="22"/>
        </w:rPr>
        <w:t xml:space="preserve"> y el desarrollo de los mismos por parte del grupo del Código de Redes del CNO, la Comisión programó las siguientes reuniones para discutir sobre los siguientes temas: </w:t>
      </w:r>
    </w:p>
    <w:p w14:paraId="444D47D4" w14:textId="77777777" w:rsidR="004D046F" w:rsidRPr="004D046F" w:rsidRDefault="004D046F" w:rsidP="004D046F">
      <w:pPr>
        <w:jc w:val="both"/>
        <w:rPr>
          <w:rFonts w:ascii="Verdana" w:hAnsi="Verdana"/>
          <w:bCs/>
          <w:sz w:val="22"/>
          <w:szCs w:val="22"/>
        </w:rPr>
      </w:pPr>
    </w:p>
    <w:p w14:paraId="4CBDD879" w14:textId="29B580FA" w:rsidR="004D046F" w:rsidRDefault="004D046F" w:rsidP="004D046F">
      <w:pPr>
        <w:jc w:val="both"/>
        <w:rPr>
          <w:rFonts w:ascii="Verdana" w:hAnsi="Verdana"/>
          <w:bCs/>
          <w:sz w:val="22"/>
          <w:szCs w:val="22"/>
        </w:rPr>
      </w:pPr>
      <w:r>
        <w:rPr>
          <w:noProof/>
        </w:rPr>
        <w:drawing>
          <wp:inline distT="0" distB="0" distL="0" distR="0" wp14:anchorId="3321B6A9" wp14:editId="2F73A385">
            <wp:extent cx="6202680" cy="532447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492" t="23739" r="29653" b="6248"/>
                    <a:stretch/>
                  </pic:blipFill>
                  <pic:spPr bwMode="auto">
                    <a:xfrm>
                      <a:off x="0" y="0"/>
                      <a:ext cx="6289777" cy="5399240"/>
                    </a:xfrm>
                    <a:prstGeom prst="rect">
                      <a:avLst/>
                    </a:prstGeom>
                    <a:ln>
                      <a:noFill/>
                    </a:ln>
                    <a:extLst>
                      <a:ext uri="{53640926-AAD7-44D8-BBD7-CCE9431645EC}">
                        <a14:shadowObscured xmlns:a14="http://schemas.microsoft.com/office/drawing/2010/main"/>
                      </a:ext>
                    </a:extLst>
                  </pic:spPr>
                </pic:pic>
              </a:graphicData>
            </a:graphic>
          </wp:inline>
        </w:drawing>
      </w:r>
    </w:p>
    <w:p w14:paraId="47BBC851" w14:textId="0A00B0CF" w:rsidR="004D046F" w:rsidRDefault="004D046F" w:rsidP="004D046F">
      <w:pPr>
        <w:jc w:val="both"/>
        <w:rPr>
          <w:rFonts w:ascii="Verdana" w:hAnsi="Verdana"/>
          <w:bCs/>
          <w:sz w:val="22"/>
          <w:szCs w:val="22"/>
        </w:rPr>
      </w:pPr>
    </w:p>
    <w:p w14:paraId="102EE1A9" w14:textId="7B714C57" w:rsidR="007F2F35" w:rsidRDefault="008F3C55" w:rsidP="008F3C55">
      <w:pPr>
        <w:pStyle w:val="Prrafodelista"/>
        <w:numPr>
          <w:ilvl w:val="0"/>
          <w:numId w:val="17"/>
        </w:numPr>
        <w:jc w:val="both"/>
        <w:rPr>
          <w:rFonts w:ascii="Verdana" w:hAnsi="Verdana"/>
          <w:bCs/>
          <w:sz w:val="22"/>
          <w:szCs w:val="22"/>
        </w:rPr>
      </w:pPr>
      <w:r w:rsidRPr="008F3C55">
        <w:rPr>
          <w:rFonts w:ascii="Verdana" w:hAnsi="Verdana"/>
          <w:bCs/>
          <w:sz w:val="22"/>
          <w:szCs w:val="22"/>
        </w:rPr>
        <w:lastRenderedPageBreak/>
        <w:t>En el Comité de Operación el CND presentó el estado de las conexiones asociadas</w:t>
      </w:r>
      <w:r w:rsidR="00765481">
        <w:rPr>
          <w:rFonts w:ascii="Verdana" w:hAnsi="Verdana"/>
          <w:bCs/>
          <w:sz w:val="22"/>
          <w:szCs w:val="22"/>
        </w:rPr>
        <w:t xml:space="preserve"> a las plantas con asignación de Obligaciones de Energía en Firme-OEF. Se identificó que algunas no tienen concepto de conexión</w:t>
      </w:r>
      <w:r w:rsidR="008C128A">
        <w:rPr>
          <w:rFonts w:ascii="Verdana" w:hAnsi="Verdana"/>
          <w:bCs/>
          <w:sz w:val="22"/>
          <w:szCs w:val="22"/>
        </w:rPr>
        <w:t xml:space="preserve"> o están supeditadas a la aprobación del Plan de Expansión (Termocaribe 3, Alpha, Beta y El Tesorito)</w:t>
      </w:r>
      <w:r w:rsidR="00765481">
        <w:rPr>
          <w:rFonts w:ascii="Verdana" w:hAnsi="Verdana"/>
          <w:bCs/>
          <w:sz w:val="22"/>
          <w:szCs w:val="22"/>
        </w:rPr>
        <w:t xml:space="preserve">, y que </w:t>
      </w:r>
      <w:r w:rsidR="00201D31">
        <w:rPr>
          <w:rFonts w:ascii="Verdana" w:hAnsi="Verdana"/>
          <w:bCs/>
          <w:sz w:val="22"/>
          <w:szCs w:val="22"/>
        </w:rPr>
        <w:t xml:space="preserve">se </w:t>
      </w:r>
      <w:r w:rsidR="00765481">
        <w:rPr>
          <w:rFonts w:ascii="Verdana" w:hAnsi="Verdana"/>
          <w:bCs/>
          <w:sz w:val="22"/>
          <w:szCs w:val="22"/>
        </w:rPr>
        <w:t>ha viabilizado la incorporación de algunas</w:t>
      </w:r>
      <w:r w:rsidR="008C128A">
        <w:rPr>
          <w:rFonts w:ascii="Verdana" w:hAnsi="Verdana"/>
          <w:bCs/>
          <w:sz w:val="22"/>
          <w:szCs w:val="22"/>
        </w:rPr>
        <w:t xml:space="preserve"> de ellas</w:t>
      </w:r>
      <w:r w:rsidR="00765481">
        <w:rPr>
          <w:rFonts w:ascii="Verdana" w:hAnsi="Verdana"/>
          <w:bCs/>
          <w:sz w:val="22"/>
          <w:szCs w:val="22"/>
        </w:rPr>
        <w:t xml:space="preserve"> a través de medidas operativas que van en detrimento de la seguridad y confiabilidad del SIN (ampliación de capacidad de Term</w:t>
      </w:r>
      <w:r w:rsidR="00201D31">
        <w:rPr>
          <w:rFonts w:ascii="Verdana" w:hAnsi="Verdana"/>
          <w:bCs/>
          <w:sz w:val="22"/>
          <w:szCs w:val="22"/>
        </w:rPr>
        <w:t>o</w:t>
      </w:r>
      <w:r w:rsidR="00765481">
        <w:rPr>
          <w:rFonts w:ascii="Verdana" w:hAnsi="Verdana"/>
          <w:bCs/>
          <w:sz w:val="22"/>
          <w:szCs w:val="22"/>
        </w:rPr>
        <w:t>valle en 40 MW), o se han supeditado a condiciones que dependen de terceros, como el consumo permanente de varias cargas especiales (</w:t>
      </w:r>
      <w:r w:rsidR="008C128A">
        <w:rPr>
          <w:rFonts w:ascii="Verdana" w:hAnsi="Verdana"/>
          <w:bCs/>
          <w:sz w:val="22"/>
          <w:szCs w:val="22"/>
        </w:rPr>
        <w:t xml:space="preserve">Termosolo </w:t>
      </w:r>
      <w:r w:rsidR="007F2F35">
        <w:rPr>
          <w:rFonts w:ascii="Verdana" w:hAnsi="Verdana"/>
          <w:bCs/>
          <w:sz w:val="22"/>
          <w:szCs w:val="22"/>
        </w:rPr>
        <w:t>2</w:t>
      </w:r>
      <w:r w:rsidR="008C128A">
        <w:rPr>
          <w:rFonts w:ascii="Verdana" w:hAnsi="Verdana"/>
          <w:bCs/>
          <w:sz w:val="22"/>
          <w:szCs w:val="22"/>
        </w:rPr>
        <w:t xml:space="preserve"> de </w:t>
      </w:r>
      <w:r w:rsidR="007F2F35">
        <w:rPr>
          <w:rFonts w:ascii="Verdana" w:hAnsi="Verdana"/>
          <w:bCs/>
          <w:sz w:val="22"/>
          <w:szCs w:val="22"/>
        </w:rPr>
        <w:t>80</w:t>
      </w:r>
      <w:r w:rsidR="008C128A">
        <w:rPr>
          <w:rFonts w:ascii="Verdana" w:hAnsi="Verdana"/>
          <w:bCs/>
          <w:sz w:val="22"/>
          <w:szCs w:val="22"/>
        </w:rPr>
        <w:t xml:space="preserve"> MW, Termoproyectos de 19 MW y TermoEBR de 19MW</w:t>
      </w:r>
      <w:r w:rsidR="00765481">
        <w:rPr>
          <w:rFonts w:ascii="Verdana" w:hAnsi="Verdana"/>
          <w:bCs/>
          <w:sz w:val="22"/>
          <w:szCs w:val="22"/>
        </w:rPr>
        <w:t>)</w:t>
      </w:r>
      <w:r w:rsidR="008C128A">
        <w:rPr>
          <w:rFonts w:ascii="Verdana" w:hAnsi="Verdana"/>
          <w:bCs/>
          <w:sz w:val="22"/>
          <w:szCs w:val="22"/>
        </w:rPr>
        <w:t>. Asimismo, se identifica que la expansión de red requerida para conectar algunas</w:t>
      </w:r>
      <w:r w:rsidR="007F2F35">
        <w:rPr>
          <w:rFonts w:ascii="Verdana" w:hAnsi="Verdana"/>
          <w:bCs/>
          <w:sz w:val="22"/>
          <w:szCs w:val="22"/>
        </w:rPr>
        <w:t xml:space="preserve"> plantas podría estar en operación después de la fecha de inicio de las OEF (Termosolo 1 de 148 MW, Tumawind de 198 MW, Chemesky de 99 MW y Casa Eléctrica de 176 MW).</w:t>
      </w:r>
    </w:p>
    <w:p w14:paraId="503ACC3D" w14:textId="77777777" w:rsidR="007F2F35" w:rsidRDefault="007F2F35" w:rsidP="007F2F35">
      <w:pPr>
        <w:pStyle w:val="Prrafodelista"/>
        <w:ind w:left="360"/>
        <w:jc w:val="both"/>
        <w:rPr>
          <w:rFonts w:ascii="Verdana" w:hAnsi="Verdana"/>
          <w:bCs/>
          <w:sz w:val="22"/>
          <w:szCs w:val="22"/>
        </w:rPr>
      </w:pPr>
    </w:p>
    <w:p w14:paraId="43A22F83" w14:textId="3D499263" w:rsidR="008F3C55" w:rsidRPr="008F3C55" w:rsidRDefault="007F2F35" w:rsidP="007F2F35">
      <w:pPr>
        <w:pStyle w:val="Prrafodelista"/>
        <w:ind w:left="360"/>
        <w:jc w:val="both"/>
        <w:rPr>
          <w:rFonts w:ascii="Verdana" w:hAnsi="Verdana"/>
          <w:bCs/>
          <w:sz w:val="22"/>
          <w:szCs w:val="22"/>
        </w:rPr>
      </w:pPr>
      <w:r>
        <w:rPr>
          <w:rFonts w:ascii="Verdana" w:hAnsi="Verdana"/>
          <w:bCs/>
          <w:sz w:val="22"/>
          <w:szCs w:val="22"/>
        </w:rPr>
        <w:t>Teniendo en cuenta este panorama, se recomendó desde el Comité de Operación enviar comunicación alertando sobre dicha situación y los riesgos identificados.</w:t>
      </w:r>
      <w:r w:rsidR="008C128A">
        <w:rPr>
          <w:rFonts w:ascii="Verdana" w:hAnsi="Verdana"/>
          <w:bCs/>
          <w:sz w:val="22"/>
          <w:szCs w:val="22"/>
        </w:rPr>
        <w:t xml:space="preserve">  </w:t>
      </w:r>
      <w:r w:rsidR="008F3C55" w:rsidRPr="008F3C55">
        <w:rPr>
          <w:rFonts w:ascii="Verdana" w:hAnsi="Verdana"/>
          <w:bCs/>
          <w:sz w:val="22"/>
          <w:szCs w:val="22"/>
        </w:rPr>
        <w:t xml:space="preserve"> </w:t>
      </w:r>
    </w:p>
    <w:p w14:paraId="467858A1" w14:textId="11ECE824" w:rsidR="007F2F35" w:rsidRDefault="007F2F35" w:rsidP="004D046F">
      <w:pPr>
        <w:jc w:val="both"/>
        <w:rPr>
          <w:rFonts w:ascii="Verdana" w:hAnsi="Verdana"/>
          <w:bCs/>
          <w:sz w:val="22"/>
          <w:szCs w:val="22"/>
        </w:rPr>
      </w:pPr>
    </w:p>
    <w:p w14:paraId="489263C7" w14:textId="70E9AFBF" w:rsidR="007F2F35" w:rsidRDefault="007F2F35" w:rsidP="007F2F35">
      <w:pPr>
        <w:pStyle w:val="Prrafodelista"/>
        <w:numPr>
          <w:ilvl w:val="0"/>
          <w:numId w:val="17"/>
        </w:numPr>
        <w:jc w:val="both"/>
        <w:rPr>
          <w:rFonts w:ascii="Verdana" w:hAnsi="Verdana"/>
          <w:bCs/>
          <w:sz w:val="22"/>
          <w:szCs w:val="22"/>
        </w:rPr>
      </w:pPr>
      <w:r>
        <w:rPr>
          <w:rFonts w:ascii="Verdana" w:hAnsi="Verdana"/>
          <w:bCs/>
          <w:sz w:val="22"/>
          <w:szCs w:val="22"/>
        </w:rPr>
        <w:t>En el Comité de Distribución se analiz</w:t>
      </w:r>
      <w:r w:rsidR="00201D31">
        <w:rPr>
          <w:rFonts w:ascii="Verdana" w:hAnsi="Verdana"/>
          <w:bCs/>
          <w:sz w:val="22"/>
          <w:szCs w:val="22"/>
        </w:rPr>
        <w:t>aron</w:t>
      </w:r>
      <w:r>
        <w:rPr>
          <w:rFonts w:ascii="Verdana" w:hAnsi="Verdana"/>
          <w:bCs/>
          <w:sz w:val="22"/>
          <w:szCs w:val="22"/>
        </w:rPr>
        <w:t xml:space="preserve"> las diferencias de reporte de la Demanda No Atendida-DNA por los Operadores de Red</w:t>
      </w:r>
      <w:r w:rsidR="008C6D48">
        <w:rPr>
          <w:rFonts w:ascii="Verdana" w:hAnsi="Verdana"/>
          <w:bCs/>
          <w:sz w:val="22"/>
          <w:szCs w:val="22"/>
        </w:rPr>
        <w:t>,</w:t>
      </w:r>
      <w:r>
        <w:rPr>
          <w:rFonts w:ascii="Verdana" w:hAnsi="Verdana"/>
          <w:bCs/>
          <w:sz w:val="22"/>
          <w:szCs w:val="22"/>
        </w:rPr>
        <w:t xml:space="preserve"> cuando se presentan eventos y se llevan a cabo los </w:t>
      </w:r>
      <w:r w:rsidR="008C6D48">
        <w:rPr>
          <w:rFonts w:ascii="Verdana" w:hAnsi="Verdana"/>
          <w:bCs/>
          <w:sz w:val="22"/>
          <w:szCs w:val="22"/>
        </w:rPr>
        <w:t xml:space="preserve">pronósticos de demanda. Se aclaró que en el primer caso se reporta la afectación de cargas producto </w:t>
      </w:r>
      <w:r w:rsidR="00C62F34">
        <w:rPr>
          <w:rFonts w:ascii="Verdana" w:hAnsi="Verdana"/>
          <w:bCs/>
          <w:sz w:val="22"/>
          <w:szCs w:val="22"/>
        </w:rPr>
        <w:t>de los eventos</w:t>
      </w:r>
      <w:r w:rsidR="008C6D48">
        <w:rPr>
          <w:rFonts w:ascii="Verdana" w:hAnsi="Verdana"/>
          <w:bCs/>
          <w:sz w:val="22"/>
          <w:szCs w:val="22"/>
        </w:rPr>
        <w:t>. En el segundo se considera toda la DNA que se materializa, incluyendo</w:t>
      </w:r>
      <w:r w:rsidR="00C62F34">
        <w:rPr>
          <w:rFonts w:ascii="Verdana" w:hAnsi="Verdana"/>
          <w:bCs/>
          <w:sz w:val="22"/>
          <w:szCs w:val="22"/>
        </w:rPr>
        <w:t xml:space="preserve"> eventos a </w:t>
      </w:r>
      <w:r w:rsidR="008C6D48">
        <w:rPr>
          <w:rFonts w:ascii="Verdana" w:hAnsi="Verdana"/>
          <w:bCs/>
          <w:sz w:val="22"/>
          <w:szCs w:val="22"/>
        </w:rPr>
        <w:t xml:space="preserve">nivel de </w:t>
      </w:r>
      <w:r w:rsidR="00C62F34">
        <w:rPr>
          <w:rFonts w:ascii="Verdana" w:hAnsi="Verdana"/>
          <w:bCs/>
          <w:sz w:val="22"/>
          <w:szCs w:val="22"/>
        </w:rPr>
        <w:t>distribución local (que no es reportada al CND). Teniendo en cuenta lo anterior, ya es posible por parte del CND realizar la valoración de económica de la DNA que se ha programado y materializado en las sub</w:t>
      </w:r>
      <w:r w:rsidR="00201D31">
        <w:rPr>
          <w:rFonts w:ascii="Verdana" w:hAnsi="Verdana"/>
          <w:bCs/>
          <w:sz w:val="22"/>
          <w:szCs w:val="22"/>
        </w:rPr>
        <w:t>a</w:t>
      </w:r>
      <w:r w:rsidR="00C62F34">
        <w:rPr>
          <w:rFonts w:ascii="Verdana" w:hAnsi="Verdana"/>
          <w:bCs/>
          <w:sz w:val="22"/>
          <w:szCs w:val="22"/>
        </w:rPr>
        <w:t>rea</w:t>
      </w:r>
      <w:r w:rsidR="00201D31">
        <w:rPr>
          <w:rFonts w:ascii="Verdana" w:hAnsi="Verdana"/>
          <w:bCs/>
          <w:sz w:val="22"/>
          <w:szCs w:val="22"/>
        </w:rPr>
        <w:t>s</w:t>
      </w:r>
      <w:r w:rsidR="00C62F34">
        <w:rPr>
          <w:rFonts w:ascii="Verdana" w:hAnsi="Verdana"/>
          <w:bCs/>
          <w:sz w:val="22"/>
          <w:szCs w:val="22"/>
        </w:rPr>
        <w:t xml:space="preserve"> GCM, Córdoba-Sucre y Bolívar.</w:t>
      </w:r>
    </w:p>
    <w:p w14:paraId="24881053" w14:textId="3FD06F65" w:rsidR="00C62F34" w:rsidRDefault="00C62F34" w:rsidP="00C62F34">
      <w:pPr>
        <w:pStyle w:val="Prrafodelista"/>
        <w:ind w:left="360"/>
        <w:jc w:val="both"/>
        <w:rPr>
          <w:rFonts w:ascii="Verdana" w:hAnsi="Verdana"/>
          <w:bCs/>
          <w:sz w:val="22"/>
          <w:szCs w:val="22"/>
        </w:rPr>
      </w:pPr>
    </w:p>
    <w:p w14:paraId="3F49DCA3" w14:textId="4F6A4EB9" w:rsidR="001E75B0" w:rsidRDefault="00C62F34" w:rsidP="007F2F35">
      <w:pPr>
        <w:pStyle w:val="Prrafodelista"/>
        <w:numPr>
          <w:ilvl w:val="0"/>
          <w:numId w:val="17"/>
        </w:numPr>
        <w:jc w:val="both"/>
        <w:rPr>
          <w:rFonts w:ascii="Verdana" w:hAnsi="Verdana"/>
          <w:bCs/>
          <w:sz w:val="22"/>
          <w:szCs w:val="22"/>
        </w:rPr>
      </w:pPr>
      <w:r>
        <w:rPr>
          <w:rFonts w:ascii="Verdana" w:hAnsi="Verdana"/>
          <w:bCs/>
          <w:sz w:val="22"/>
          <w:szCs w:val="22"/>
        </w:rPr>
        <w:t xml:space="preserve">En el Comité de Distribución ELECTRICARIBE presentó el número de solicitudes de conexión a su sistema, de plantas asociadas a Fuentes No Convencionales de Energía Renovable-FNCER. La capacidad </w:t>
      </w:r>
      <w:r w:rsidR="001E75B0">
        <w:rPr>
          <w:rFonts w:ascii="Verdana" w:hAnsi="Verdana"/>
          <w:bCs/>
          <w:sz w:val="22"/>
          <w:szCs w:val="22"/>
        </w:rPr>
        <w:t>agregada de</w:t>
      </w:r>
      <w:r>
        <w:rPr>
          <w:rFonts w:ascii="Verdana" w:hAnsi="Verdana"/>
          <w:bCs/>
          <w:sz w:val="22"/>
          <w:szCs w:val="22"/>
        </w:rPr>
        <w:t xml:space="preserve"> dichas solicitudes es suprior a 20 GW. El Operador de Red-OR alerto sobre los impactos que podrían generar estas tecnologías de generación</w:t>
      </w:r>
      <w:r w:rsidR="001E75B0">
        <w:rPr>
          <w:rFonts w:ascii="Verdana" w:hAnsi="Verdana"/>
          <w:bCs/>
          <w:sz w:val="22"/>
          <w:szCs w:val="22"/>
        </w:rPr>
        <w:t xml:space="preserve"> y las prácticas que se están observando, como el fraccionamiento de capacidad, que a su vez amerita la utilización de más bahías en las subestaciones de conexión con sus consecuentes impactos técnicos y económicos (aspectos operativos y relacionados a la expansión)</w:t>
      </w:r>
      <w:r w:rsidR="00D83B78">
        <w:rPr>
          <w:rFonts w:ascii="Verdana" w:hAnsi="Verdana"/>
          <w:bCs/>
          <w:sz w:val="22"/>
          <w:szCs w:val="22"/>
        </w:rPr>
        <w:t>, y la especulación con las capacidades de transporte asignadas (vigencias de los conceptos de conexión)</w:t>
      </w:r>
      <w:r w:rsidR="001E75B0">
        <w:rPr>
          <w:rFonts w:ascii="Verdana" w:hAnsi="Verdana"/>
          <w:bCs/>
          <w:sz w:val="22"/>
          <w:szCs w:val="22"/>
        </w:rPr>
        <w:t xml:space="preserve">. </w:t>
      </w:r>
    </w:p>
    <w:p w14:paraId="0FA238E7" w14:textId="77777777" w:rsidR="001E75B0" w:rsidRPr="001E75B0" w:rsidRDefault="001E75B0" w:rsidP="001E75B0">
      <w:pPr>
        <w:pStyle w:val="Prrafodelista"/>
        <w:rPr>
          <w:rFonts w:ascii="Verdana" w:hAnsi="Verdana"/>
          <w:bCs/>
          <w:sz w:val="22"/>
          <w:szCs w:val="22"/>
        </w:rPr>
      </w:pPr>
    </w:p>
    <w:p w14:paraId="38602FFA" w14:textId="755BFFF2" w:rsidR="00C62F34" w:rsidRPr="007F2F35" w:rsidRDefault="001E75B0" w:rsidP="001E75B0">
      <w:pPr>
        <w:pStyle w:val="Prrafodelista"/>
        <w:ind w:left="360"/>
        <w:jc w:val="both"/>
        <w:rPr>
          <w:rFonts w:ascii="Verdana" w:hAnsi="Verdana"/>
          <w:bCs/>
          <w:sz w:val="22"/>
          <w:szCs w:val="22"/>
        </w:rPr>
      </w:pPr>
      <w:r>
        <w:rPr>
          <w:rFonts w:ascii="Verdana" w:hAnsi="Verdana"/>
          <w:bCs/>
          <w:sz w:val="22"/>
          <w:szCs w:val="22"/>
        </w:rPr>
        <w:t xml:space="preserve">Dado que la problemática expuesta por ELECTRICRIBE es común </w:t>
      </w:r>
      <w:r w:rsidR="00D83B78">
        <w:rPr>
          <w:rFonts w:ascii="Verdana" w:hAnsi="Verdana"/>
          <w:bCs/>
          <w:sz w:val="22"/>
          <w:szCs w:val="22"/>
        </w:rPr>
        <w:t>a otros OR, se acordó en el Comité de Distribución alertar sobre dicha situación a la CREG.</w:t>
      </w:r>
      <w:r>
        <w:rPr>
          <w:rFonts w:ascii="Verdana" w:hAnsi="Verdana"/>
          <w:bCs/>
          <w:sz w:val="22"/>
          <w:szCs w:val="22"/>
        </w:rPr>
        <w:t xml:space="preserve"> </w:t>
      </w:r>
      <w:r w:rsidR="00C62F34">
        <w:rPr>
          <w:rFonts w:ascii="Verdana" w:hAnsi="Verdana"/>
          <w:bCs/>
          <w:sz w:val="22"/>
          <w:szCs w:val="22"/>
        </w:rPr>
        <w:t xml:space="preserve">     </w:t>
      </w:r>
    </w:p>
    <w:p w14:paraId="346B5104" w14:textId="7ABA22B0" w:rsidR="006E56A5" w:rsidRDefault="0058226B" w:rsidP="007F2F35">
      <w:pPr>
        <w:jc w:val="both"/>
        <w:rPr>
          <w:rFonts w:ascii="Verdana" w:hAnsi="Verdana"/>
          <w:bCs/>
          <w:sz w:val="22"/>
          <w:szCs w:val="22"/>
        </w:rPr>
      </w:pPr>
      <w:r>
        <w:rPr>
          <w:rFonts w:ascii="Verdana" w:hAnsi="Verdana"/>
          <w:bCs/>
          <w:sz w:val="22"/>
          <w:szCs w:val="22"/>
        </w:rPr>
        <w:tab/>
      </w:r>
    </w:p>
    <w:p w14:paraId="4139021D" w14:textId="50081C7C" w:rsidR="006E56A5" w:rsidRPr="00CE6393" w:rsidRDefault="00CE6393" w:rsidP="00CE6393">
      <w:pPr>
        <w:pStyle w:val="Prrafodelista"/>
        <w:numPr>
          <w:ilvl w:val="0"/>
          <w:numId w:val="17"/>
        </w:numPr>
        <w:jc w:val="both"/>
        <w:rPr>
          <w:rFonts w:ascii="Verdana" w:hAnsi="Verdana"/>
          <w:bCs/>
          <w:sz w:val="22"/>
          <w:szCs w:val="22"/>
        </w:rPr>
      </w:pPr>
      <w:r>
        <w:rPr>
          <w:rFonts w:ascii="Verdana" w:hAnsi="Verdana"/>
          <w:bCs/>
          <w:sz w:val="22"/>
          <w:szCs w:val="22"/>
        </w:rPr>
        <w:t>Teniendo en cuenta la propuesta técnica de XM sobre la definición de requerimientos de conexión a los Recursos Energéticos Distribuidos-DER, se acordó en los Comités de Operación, Transmisión y Distribución</w:t>
      </w:r>
      <w:r w:rsidR="0014580B">
        <w:rPr>
          <w:rFonts w:ascii="Verdana" w:hAnsi="Verdana"/>
          <w:bCs/>
          <w:sz w:val="22"/>
          <w:szCs w:val="22"/>
        </w:rPr>
        <w:t xml:space="preserve"> agendar un espacio para presentar dicha propuesta. La reunión con los Comités será agenda para el mes de octubre. </w:t>
      </w:r>
      <w:r>
        <w:rPr>
          <w:rFonts w:ascii="Verdana" w:hAnsi="Verdana"/>
          <w:bCs/>
          <w:sz w:val="22"/>
          <w:szCs w:val="22"/>
        </w:rPr>
        <w:t xml:space="preserve"> </w:t>
      </w:r>
    </w:p>
    <w:p w14:paraId="32C85EB8" w14:textId="6DA2FF9D" w:rsidR="00CE6393" w:rsidRDefault="00CE6393" w:rsidP="00CE6393">
      <w:pPr>
        <w:jc w:val="both"/>
        <w:rPr>
          <w:rFonts w:ascii="Verdana" w:hAnsi="Verdana"/>
          <w:bCs/>
          <w:sz w:val="22"/>
          <w:szCs w:val="22"/>
        </w:rPr>
      </w:pPr>
    </w:p>
    <w:p w14:paraId="213510B1" w14:textId="7FCFA063" w:rsidR="0014580B" w:rsidRPr="0014580B" w:rsidRDefault="0014580B" w:rsidP="0014580B">
      <w:pPr>
        <w:pStyle w:val="Prrafodelista"/>
        <w:numPr>
          <w:ilvl w:val="0"/>
          <w:numId w:val="17"/>
        </w:numPr>
        <w:jc w:val="both"/>
        <w:rPr>
          <w:rFonts w:ascii="Verdana" w:hAnsi="Verdana"/>
          <w:bCs/>
          <w:sz w:val="22"/>
          <w:szCs w:val="22"/>
        </w:rPr>
      </w:pPr>
      <w:r>
        <w:rPr>
          <w:rFonts w:ascii="Verdana" w:hAnsi="Verdana"/>
          <w:bCs/>
          <w:sz w:val="22"/>
          <w:szCs w:val="22"/>
        </w:rPr>
        <w:t xml:space="preserve">En las jornadas técnicas del Subcomité de Plantas el Coordinador Chileno presentó su experiencia sobre las medidas de flexibilización de su sistema, y la importancia de la consideración de este atributo en la planeación operativa y de la expansión de los sistemas eléctricos de potencia. Se discutió sobre la definición de la flexibilidad, los elementos que la proporcionan, las principales métricas para valorarla y </w:t>
      </w:r>
      <w:r w:rsidR="0091312F">
        <w:rPr>
          <w:rFonts w:ascii="Verdana" w:hAnsi="Verdana"/>
          <w:bCs/>
          <w:sz w:val="22"/>
          <w:szCs w:val="22"/>
        </w:rPr>
        <w:t>sus costos asociados. La presentación puede ser consultada en la página web del Consejo.</w:t>
      </w:r>
      <w:r>
        <w:rPr>
          <w:rFonts w:ascii="Verdana" w:hAnsi="Verdana"/>
          <w:bCs/>
          <w:sz w:val="22"/>
          <w:szCs w:val="22"/>
        </w:rPr>
        <w:t xml:space="preserve"> </w:t>
      </w:r>
    </w:p>
    <w:p w14:paraId="19B6B317" w14:textId="77777777" w:rsidR="00CE6393" w:rsidRPr="00CE6393" w:rsidRDefault="00CE6393" w:rsidP="00CE6393">
      <w:pPr>
        <w:jc w:val="both"/>
        <w:rPr>
          <w:rFonts w:ascii="Verdana" w:hAnsi="Verdana"/>
          <w:bCs/>
          <w:sz w:val="22"/>
          <w:szCs w:val="22"/>
        </w:rPr>
      </w:pPr>
    </w:p>
    <w:p w14:paraId="21C96C92" w14:textId="14AF954D" w:rsidR="0091312F" w:rsidRPr="0091312F" w:rsidRDefault="0091312F" w:rsidP="00C6206E">
      <w:pPr>
        <w:pStyle w:val="Prrafodelista"/>
        <w:numPr>
          <w:ilvl w:val="0"/>
          <w:numId w:val="17"/>
        </w:numPr>
        <w:jc w:val="both"/>
        <w:rPr>
          <w:rFonts w:ascii="Verdana" w:hAnsi="Verdana"/>
          <w:bCs/>
          <w:sz w:val="22"/>
          <w:szCs w:val="22"/>
        </w:rPr>
      </w:pPr>
      <w:r>
        <w:rPr>
          <w:rFonts w:ascii="Verdana" w:hAnsi="Verdana"/>
          <w:bCs/>
          <w:sz w:val="22"/>
          <w:szCs w:val="22"/>
        </w:rPr>
        <w:lastRenderedPageBreak/>
        <w:t>A partir del evento del 07 de agosto del año en curso, e</w:t>
      </w:r>
      <w:r w:rsidRPr="0091312F">
        <w:rPr>
          <w:rFonts w:ascii="Verdana" w:hAnsi="Verdana"/>
          <w:bCs/>
          <w:sz w:val="22"/>
          <w:szCs w:val="22"/>
        </w:rPr>
        <w:t>n el subcomité de Plantas se acordó construir una propuesta de flexibilización del despacho, teniendo en cuenta la regulación actual y las inflexibilidades del parque térmico del área Caribe.</w:t>
      </w:r>
      <w:r>
        <w:rPr>
          <w:rFonts w:ascii="Verdana" w:hAnsi="Verdana"/>
          <w:bCs/>
          <w:sz w:val="22"/>
          <w:szCs w:val="22"/>
        </w:rPr>
        <w:t xml:space="preserve"> El objetivo es enviar dicha propuesta a la Comisión para su consideración.</w:t>
      </w:r>
    </w:p>
    <w:p w14:paraId="04ADFCCC" w14:textId="2EFF5875" w:rsidR="006E56A5" w:rsidRDefault="006E56A5" w:rsidP="0091312F">
      <w:pPr>
        <w:jc w:val="both"/>
        <w:rPr>
          <w:rFonts w:ascii="Verdana" w:hAnsi="Verdana"/>
          <w:bCs/>
          <w:sz w:val="22"/>
          <w:szCs w:val="22"/>
        </w:rPr>
      </w:pPr>
    </w:p>
    <w:p w14:paraId="24EC07FF" w14:textId="77777777" w:rsidR="00AC01D9" w:rsidRDefault="0091312F" w:rsidP="00AC01D9">
      <w:pPr>
        <w:pStyle w:val="Prrafodelista"/>
        <w:numPr>
          <w:ilvl w:val="0"/>
          <w:numId w:val="17"/>
        </w:numPr>
        <w:jc w:val="both"/>
        <w:rPr>
          <w:rFonts w:ascii="Verdana" w:hAnsi="Verdana"/>
          <w:bCs/>
          <w:sz w:val="22"/>
          <w:szCs w:val="22"/>
        </w:rPr>
      </w:pPr>
      <w:r>
        <w:rPr>
          <w:rFonts w:ascii="Verdana" w:hAnsi="Verdana"/>
          <w:bCs/>
          <w:sz w:val="22"/>
          <w:szCs w:val="22"/>
        </w:rPr>
        <w:t>En el subcomité de Análisis y Planeamiento Eléctrico se presentó el balance de la circular 35, asociada al reporte del nivel de corto circuito.</w:t>
      </w:r>
      <w:r w:rsidR="00AC01D9">
        <w:rPr>
          <w:rFonts w:ascii="Verdana" w:hAnsi="Verdana"/>
          <w:bCs/>
          <w:sz w:val="22"/>
          <w:szCs w:val="22"/>
        </w:rPr>
        <w:t xml:space="preserve"> </w:t>
      </w:r>
      <w:r w:rsidRPr="00AC01D9">
        <w:rPr>
          <w:rFonts w:ascii="Verdana" w:hAnsi="Verdana"/>
          <w:bCs/>
          <w:sz w:val="22"/>
          <w:szCs w:val="22"/>
        </w:rPr>
        <w:t>A partir de la información recibida</w:t>
      </w:r>
      <w:r w:rsidR="00AC01D9">
        <w:rPr>
          <w:rFonts w:ascii="Verdana" w:hAnsi="Verdana"/>
          <w:bCs/>
          <w:sz w:val="22"/>
          <w:szCs w:val="22"/>
        </w:rPr>
        <w:t>,</w:t>
      </w:r>
      <w:r w:rsidRPr="00AC01D9">
        <w:rPr>
          <w:rFonts w:ascii="Verdana" w:hAnsi="Verdana"/>
          <w:bCs/>
          <w:sz w:val="22"/>
          <w:szCs w:val="22"/>
        </w:rPr>
        <w:t xml:space="preserve"> se observan riesgos</w:t>
      </w:r>
      <w:r w:rsidR="00AC01D9">
        <w:rPr>
          <w:rFonts w:ascii="Verdana" w:hAnsi="Verdana"/>
          <w:bCs/>
          <w:sz w:val="22"/>
          <w:szCs w:val="22"/>
        </w:rPr>
        <w:t xml:space="preserve"> de daños de equipos y</w:t>
      </w:r>
      <w:r w:rsidRPr="00AC01D9">
        <w:rPr>
          <w:rFonts w:ascii="Verdana" w:hAnsi="Verdana"/>
          <w:bCs/>
          <w:sz w:val="22"/>
          <w:szCs w:val="22"/>
        </w:rPr>
        <w:t xml:space="preserve"> para el despeje adecuado de </w:t>
      </w:r>
      <w:r w:rsidR="00AC01D9">
        <w:rPr>
          <w:rFonts w:ascii="Verdana" w:hAnsi="Verdana"/>
          <w:bCs/>
          <w:sz w:val="22"/>
          <w:szCs w:val="22"/>
        </w:rPr>
        <w:t>fallas en varias subestaciones del STR y STN, pertenecientes a ENEL-CODENSA, EPM, EPSA, ELECTRICARIBE, INTERCOLOMBIA y TRANSELCA</w:t>
      </w:r>
      <w:r w:rsidRPr="00AC01D9">
        <w:rPr>
          <w:rFonts w:ascii="Verdana" w:hAnsi="Verdana"/>
          <w:bCs/>
          <w:sz w:val="22"/>
          <w:szCs w:val="22"/>
        </w:rPr>
        <w:t>.</w:t>
      </w:r>
      <w:r w:rsidR="00AC01D9">
        <w:rPr>
          <w:rFonts w:ascii="Verdana" w:hAnsi="Verdana"/>
          <w:bCs/>
          <w:sz w:val="22"/>
          <w:szCs w:val="22"/>
        </w:rPr>
        <w:t xml:space="preserve"> Se acordó revisar en el subcomité cuales de estas subestaciones presentan restricciones por equipos particulares, y cuales tienen un nivel de corto cercano a la capacidad nominal de los barrajes.</w:t>
      </w:r>
    </w:p>
    <w:p w14:paraId="0DFB9915" w14:textId="77777777" w:rsidR="00AC01D9" w:rsidRPr="00AC01D9" w:rsidRDefault="00AC01D9" w:rsidP="00AC01D9">
      <w:pPr>
        <w:pStyle w:val="Prrafodelista"/>
        <w:rPr>
          <w:rFonts w:ascii="Verdana" w:hAnsi="Verdana"/>
          <w:bCs/>
          <w:sz w:val="22"/>
          <w:szCs w:val="22"/>
        </w:rPr>
      </w:pPr>
    </w:p>
    <w:p w14:paraId="082030CE" w14:textId="6239A2AD" w:rsidR="00AC01D9" w:rsidRPr="00AC01D9" w:rsidRDefault="00AC01D9" w:rsidP="00AC01D9">
      <w:pPr>
        <w:pStyle w:val="Prrafodelista"/>
        <w:ind w:left="360"/>
        <w:jc w:val="both"/>
        <w:rPr>
          <w:rFonts w:ascii="Verdana" w:hAnsi="Verdana"/>
          <w:bCs/>
          <w:sz w:val="22"/>
          <w:szCs w:val="22"/>
        </w:rPr>
      </w:pPr>
      <w:r w:rsidRPr="00AC01D9">
        <w:rPr>
          <w:rFonts w:ascii="Verdana" w:hAnsi="Verdana"/>
          <w:bCs/>
          <w:sz w:val="22"/>
          <w:szCs w:val="22"/>
        </w:rPr>
        <w:t>En este subcomité</w:t>
      </w:r>
      <w:r>
        <w:rPr>
          <w:rFonts w:ascii="Verdana" w:hAnsi="Verdana"/>
          <w:bCs/>
          <w:sz w:val="22"/>
          <w:szCs w:val="22"/>
        </w:rPr>
        <w:t xml:space="preserve"> EPM </w:t>
      </w:r>
      <w:r w:rsidRPr="00AC01D9">
        <w:rPr>
          <w:rFonts w:ascii="Verdana" w:hAnsi="Verdana"/>
          <w:bCs/>
          <w:sz w:val="22"/>
          <w:szCs w:val="22"/>
        </w:rPr>
        <w:t>hizo una presentación</w:t>
      </w:r>
      <w:r>
        <w:rPr>
          <w:rFonts w:ascii="Verdana" w:hAnsi="Verdana"/>
          <w:bCs/>
          <w:sz w:val="22"/>
          <w:szCs w:val="22"/>
        </w:rPr>
        <w:t xml:space="preserve"> sobre FACTS distribuidos y </w:t>
      </w:r>
      <w:bookmarkStart w:id="0" w:name="_GoBack"/>
      <w:bookmarkEnd w:id="0"/>
      <w:r>
        <w:rPr>
          <w:rFonts w:ascii="Verdana" w:hAnsi="Verdana"/>
          <w:bCs/>
          <w:sz w:val="22"/>
          <w:szCs w:val="22"/>
        </w:rPr>
        <w:t>posible implementación en su sistema para la gestión de restricciones. Teniendo en cuenta los potenciales beneficios de esta tecnología, se recomienda al SAPE y el CND estudiar la misma para mitigar algunas de las limitaciones que se presentan en el área Caribe.</w:t>
      </w:r>
    </w:p>
    <w:p w14:paraId="2378E40A" w14:textId="6FD1186A" w:rsidR="00E872C5" w:rsidRDefault="00E872C5" w:rsidP="006E56A5">
      <w:pPr>
        <w:ind w:left="720" w:hanging="720"/>
        <w:jc w:val="both"/>
        <w:rPr>
          <w:rFonts w:ascii="Verdana" w:hAnsi="Verdana"/>
          <w:bCs/>
          <w:sz w:val="22"/>
          <w:szCs w:val="22"/>
        </w:rPr>
      </w:pPr>
    </w:p>
    <w:p w14:paraId="4C824054" w14:textId="77777777" w:rsidR="006E56A5" w:rsidRPr="004D046F" w:rsidRDefault="006E56A5" w:rsidP="006E56A5">
      <w:pPr>
        <w:jc w:val="both"/>
        <w:rPr>
          <w:rFonts w:ascii="Verdana" w:hAnsi="Verdana"/>
          <w:bCs/>
          <w:sz w:val="22"/>
          <w:szCs w:val="22"/>
        </w:rPr>
      </w:pPr>
    </w:p>
    <w:p w14:paraId="7A5F5644" w14:textId="77777777" w:rsidR="00112C06" w:rsidRPr="00424C05" w:rsidRDefault="00112C06" w:rsidP="00112C06">
      <w:pPr>
        <w:jc w:val="both"/>
        <w:rPr>
          <w:rFonts w:ascii="Verdana" w:hAnsi="Verdana"/>
          <w:bCs/>
          <w:sz w:val="22"/>
          <w:szCs w:val="22"/>
        </w:rPr>
      </w:pPr>
    </w:p>
    <w:p w14:paraId="4F397D6A" w14:textId="77777777" w:rsidR="007B6024" w:rsidRPr="00112C06" w:rsidRDefault="007B6024" w:rsidP="00112C06">
      <w:pPr>
        <w:rPr>
          <w:rFonts w:eastAsia="Verdana"/>
        </w:rPr>
      </w:pPr>
    </w:p>
    <w:sectPr w:rsidR="007B6024" w:rsidRPr="00112C06">
      <w:headerReference w:type="default" r:id="rId9"/>
      <w:footerReference w:type="default" r:id="rId10"/>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CFA98" w14:textId="77777777" w:rsidR="00530A9F" w:rsidRDefault="00530A9F">
      <w:r>
        <w:separator/>
      </w:r>
    </w:p>
  </w:endnote>
  <w:endnote w:type="continuationSeparator" w:id="0">
    <w:p w14:paraId="1130DC26" w14:textId="77777777" w:rsidR="00530A9F" w:rsidRDefault="0053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ncizar Sans 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8A66" w14:textId="3AF00ECE" w:rsidR="00BC22BB" w:rsidRPr="008F3C55" w:rsidRDefault="00BC22BB">
    <w:pPr>
      <w:pStyle w:val="Piedepgina"/>
      <w:rPr>
        <w:rFonts w:ascii="Verdana" w:hAnsi="Verdana"/>
        <w:sz w:val="22"/>
        <w:szCs w:val="22"/>
      </w:rPr>
    </w:pPr>
    <w:r w:rsidRPr="008F3C55">
      <w:rPr>
        <w:rFonts w:ascii="Verdana" w:hAnsi="Verdana"/>
        <w:sz w:val="22"/>
        <w:szCs w:val="22"/>
      </w:rPr>
      <w:t>Informe Secretario Técnico 568</w:t>
    </w:r>
  </w:p>
  <w:p w14:paraId="34876705" w14:textId="543589FD" w:rsidR="00E55983" w:rsidRDefault="00E55983">
    <w:pPr>
      <w:pBdr>
        <w:top w:val="nil"/>
        <w:left w:val="nil"/>
        <w:bottom w:val="nil"/>
        <w:right w:val="nil"/>
        <w:between w:val="nil"/>
      </w:pBdr>
      <w:tabs>
        <w:tab w:val="center" w:pos="4252"/>
        <w:tab w:val="right" w:pos="8504"/>
      </w:tabs>
      <w:rPr>
        <w:rFonts w:ascii="Verdana" w:eastAsia="Verdana" w:hAnsi="Verdana" w:cs="Verdana"/>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B18CC" w14:textId="77777777" w:rsidR="00530A9F" w:rsidRDefault="00530A9F">
      <w:r>
        <w:separator/>
      </w:r>
    </w:p>
  </w:footnote>
  <w:footnote w:type="continuationSeparator" w:id="0">
    <w:p w14:paraId="34AB799E" w14:textId="77777777" w:rsidR="00530A9F" w:rsidRDefault="0053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4407" w14:textId="77777777" w:rsidR="00E55983" w:rsidRDefault="00E55983">
    <w:pPr>
      <w:pBdr>
        <w:top w:val="nil"/>
        <w:left w:val="nil"/>
        <w:bottom w:val="nil"/>
        <w:right w:val="nil"/>
        <w:between w:val="nil"/>
      </w:pBdr>
      <w:tabs>
        <w:tab w:val="center" w:pos="4419"/>
        <w:tab w:val="left" w:pos="7180"/>
      </w:tabs>
      <w:rPr>
        <w:b/>
        <w:color w:val="000000"/>
        <w:sz w:val="40"/>
        <w:szCs w:val="40"/>
      </w:rPr>
    </w:pPr>
  </w:p>
  <w:p w14:paraId="35C99D28" w14:textId="77777777" w:rsidR="00E55983" w:rsidRDefault="00723FDC">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14:anchorId="3F22EB6C" wp14:editId="39AE63E1">
          <wp:simplePos x="0" y="0"/>
          <wp:positionH relativeFrom="column">
            <wp:posOffset>2011679</wp:posOffset>
          </wp:positionH>
          <wp:positionV relativeFrom="paragraph">
            <wp:posOffset>-445134</wp:posOffset>
          </wp:positionV>
          <wp:extent cx="1827530" cy="695325"/>
          <wp:effectExtent l="0" t="0" r="0" b="0"/>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74B52"/>
    <w:multiLevelType w:val="hybridMultilevel"/>
    <w:tmpl w:val="992A5A1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0FC36F0"/>
    <w:multiLevelType w:val="hybridMultilevel"/>
    <w:tmpl w:val="81CE3D74"/>
    <w:lvl w:ilvl="0" w:tplc="B8A65B28">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94A6A03"/>
    <w:multiLevelType w:val="hybridMultilevel"/>
    <w:tmpl w:val="90745D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8E7E3E"/>
    <w:multiLevelType w:val="hybridMultilevel"/>
    <w:tmpl w:val="D16218AA"/>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80B47C9"/>
    <w:multiLevelType w:val="hybridMultilevel"/>
    <w:tmpl w:val="4D342F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1120FF5"/>
    <w:multiLevelType w:val="hybridMultilevel"/>
    <w:tmpl w:val="C51C65C6"/>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462F4353"/>
    <w:multiLevelType w:val="hybridMultilevel"/>
    <w:tmpl w:val="FD681EB0"/>
    <w:lvl w:ilvl="0" w:tplc="8EE69300">
      <w:start w:val="1"/>
      <w:numFmt w:val="bullet"/>
      <w:lvlText w:val=""/>
      <w:lvlJc w:val="left"/>
      <w:pPr>
        <w:tabs>
          <w:tab w:val="num" w:pos="720"/>
        </w:tabs>
        <w:ind w:left="720" w:hanging="360"/>
      </w:pPr>
      <w:rPr>
        <w:rFonts w:ascii="Wingdings" w:hAnsi="Wingdings" w:hint="default"/>
      </w:rPr>
    </w:lvl>
    <w:lvl w:ilvl="1" w:tplc="D892EA8C" w:tentative="1">
      <w:start w:val="1"/>
      <w:numFmt w:val="bullet"/>
      <w:lvlText w:val=""/>
      <w:lvlJc w:val="left"/>
      <w:pPr>
        <w:tabs>
          <w:tab w:val="num" w:pos="1440"/>
        </w:tabs>
        <w:ind w:left="1440" w:hanging="360"/>
      </w:pPr>
      <w:rPr>
        <w:rFonts w:ascii="Wingdings" w:hAnsi="Wingdings" w:hint="default"/>
      </w:rPr>
    </w:lvl>
    <w:lvl w:ilvl="2" w:tplc="A85AF0A2" w:tentative="1">
      <w:start w:val="1"/>
      <w:numFmt w:val="bullet"/>
      <w:lvlText w:val=""/>
      <w:lvlJc w:val="left"/>
      <w:pPr>
        <w:tabs>
          <w:tab w:val="num" w:pos="2160"/>
        </w:tabs>
        <w:ind w:left="2160" w:hanging="360"/>
      </w:pPr>
      <w:rPr>
        <w:rFonts w:ascii="Wingdings" w:hAnsi="Wingdings" w:hint="default"/>
      </w:rPr>
    </w:lvl>
    <w:lvl w:ilvl="3" w:tplc="276CB88A" w:tentative="1">
      <w:start w:val="1"/>
      <w:numFmt w:val="bullet"/>
      <w:lvlText w:val=""/>
      <w:lvlJc w:val="left"/>
      <w:pPr>
        <w:tabs>
          <w:tab w:val="num" w:pos="2880"/>
        </w:tabs>
        <w:ind w:left="2880" w:hanging="360"/>
      </w:pPr>
      <w:rPr>
        <w:rFonts w:ascii="Wingdings" w:hAnsi="Wingdings" w:hint="default"/>
      </w:rPr>
    </w:lvl>
    <w:lvl w:ilvl="4" w:tplc="130884D0" w:tentative="1">
      <w:start w:val="1"/>
      <w:numFmt w:val="bullet"/>
      <w:lvlText w:val=""/>
      <w:lvlJc w:val="left"/>
      <w:pPr>
        <w:tabs>
          <w:tab w:val="num" w:pos="3600"/>
        </w:tabs>
        <w:ind w:left="3600" w:hanging="360"/>
      </w:pPr>
      <w:rPr>
        <w:rFonts w:ascii="Wingdings" w:hAnsi="Wingdings" w:hint="default"/>
      </w:rPr>
    </w:lvl>
    <w:lvl w:ilvl="5" w:tplc="B4F0EEAA" w:tentative="1">
      <w:start w:val="1"/>
      <w:numFmt w:val="bullet"/>
      <w:lvlText w:val=""/>
      <w:lvlJc w:val="left"/>
      <w:pPr>
        <w:tabs>
          <w:tab w:val="num" w:pos="4320"/>
        </w:tabs>
        <w:ind w:left="4320" w:hanging="360"/>
      </w:pPr>
      <w:rPr>
        <w:rFonts w:ascii="Wingdings" w:hAnsi="Wingdings" w:hint="default"/>
      </w:rPr>
    </w:lvl>
    <w:lvl w:ilvl="6" w:tplc="8F4CBE2E" w:tentative="1">
      <w:start w:val="1"/>
      <w:numFmt w:val="bullet"/>
      <w:lvlText w:val=""/>
      <w:lvlJc w:val="left"/>
      <w:pPr>
        <w:tabs>
          <w:tab w:val="num" w:pos="5040"/>
        </w:tabs>
        <w:ind w:left="5040" w:hanging="360"/>
      </w:pPr>
      <w:rPr>
        <w:rFonts w:ascii="Wingdings" w:hAnsi="Wingdings" w:hint="default"/>
      </w:rPr>
    </w:lvl>
    <w:lvl w:ilvl="7" w:tplc="9B00C736" w:tentative="1">
      <w:start w:val="1"/>
      <w:numFmt w:val="bullet"/>
      <w:lvlText w:val=""/>
      <w:lvlJc w:val="left"/>
      <w:pPr>
        <w:tabs>
          <w:tab w:val="num" w:pos="5760"/>
        </w:tabs>
        <w:ind w:left="5760" w:hanging="360"/>
      </w:pPr>
      <w:rPr>
        <w:rFonts w:ascii="Wingdings" w:hAnsi="Wingdings" w:hint="default"/>
      </w:rPr>
    </w:lvl>
    <w:lvl w:ilvl="8" w:tplc="F38873E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DF1F17"/>
    <w:multiLevelType w:val="hybridMultilevel"/>
    <w:tmpl w:val="CF82556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4A1542CA"/>
    <w:multiLevelType w:val="hybridMultilevel"/>
    <w:tmpl w:val="1316A75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ED0BD5"/>
    <w:multiLevelType w:val="multilevel"/>
    <w:tmpl w:val="5516AA44"/>
    <w:lvl w:ilvl="0">
      <w:start w:val="1"/>
      <w:numFmt w:val="decimal"/>
      <w:pStyle w:val="Nivel1"/>
      <w:lvlText w:val="%1."/>
      <w:lvlJc w:val="left"/>
      <w:pPr>
        <w:ind w:left="360" w:hanging="360"/>
      </w:pPr>
      <w:rPr>
        <w:sz w:val="20"/>
        <w:szCs w:val="20"/>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C38563E"/>
    <w:multiLevelType w:val="multilevel"/>
    <w:tmpl w:val="9B020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E691F94"/>
    <w:multiLevelType w:val="hybridMultilevel"/>
    <w:tmpl w:val="39304E3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2412363"/>
    <w:multiLevelType w:val="hybridMultilevel"/>
    <w:tmpl w:val="779AEF24"/>
    <w:lvl w:ilvl="0" w:tplc="240A0005">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3" w15:restartNumberingAfterBreak="0">
    <w:nsid w:val="64F41F5E"/>
    <w:multiLevelType w:val="hybridMultilevel"/>
    <w:tmpl w:val="5ECE66F4"/>
    <w:lvl w:ilvl="0" w:tplc="37226612">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D5C3668"/>
    <w:multiLevelType w:val="hybridMultilevel"/>
    <w:tmpl w:val="D5000924"/>
    <w:lvl w:ilvl="0" w:tplc="240A0005">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71935471"/>
    <w:multiLevelType w:val="hybridMultilevel"/>
    <w:tmpl w:val="8A347032"/>
    <w:lvl w:ilvl="0" w:tplc="EA3A35DC">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2B147E7"/>
    <w:multiLevelType w:val="hybridMultilevel"/>
    <w:tmpl w:val="7C4CDC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46F250C"/>
    <w:multiLevelType w:val="hybridMultilevel"/>
    <w:tmpl w:val="FB98B5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57E2339"/>
    <w:multiLevelType w:val="hybridMultilevel"/>
    <w:tmpl w:val="F538EF2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17"/>
  </w:num>
  <w:num w:numId="4">
    <w:abstractNumId w:val="4"/>
  </w:num>
  <w:num w:numId="5">
    <w:abstractNumId w:val="11"/>
  </w:num>
  <w:num w:numId="6">
    <w:abstractNumId w:val="16"/>
  </w:num>
  <w:num w:numId="7">
    <w:abstractNumId w:val="1"/>
  </w:num>
  <w:num w:numId="8">
    <w:abstractNumId w:val="8"/>
  </w:num>
  <w:num w:numId="9">
    <w:abstractNumId w:val="0"/>
  </w:num>
  <w:num w:numId="10">
    <w:abstractNumId w:val="2"/>
  </w:num>
  <w:num w:numId="11">
    <w:abstractNumId w:val="5"/>
  </w:num>
  <w:num w:numId="12">
    <w:abstractNumId w:val="18"/>
  </w:num>
  <w:num w:numId="13">
    <w:abstractNumId w:val="12"/>
  </w:num>
  <w:num w:numId="14">
    <w:abstractNumId w:val="6"/>
  </w:num>
  <w:num w:numId="15">
    <w:abstractNumId w:val="13"/>
  </w:num>
  <w:num w:numId="16">
    <w:abstractNumId w:val="14"/>
  </w:num>
  <w:num w:numId="17">
    <w:abstractNumId w:val="7"/>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3"/>
    <w:rsid w:val="000378FB"/>
    <w:rsid w:val="00076B3C"/>
    <w:rsid w:val="0008210D"/>
    <w:rsid w:val="00084002"/>
    <w:rsid w:val="000D2F11"/>
    <w:rsid w:val="000F099A"/>
    <w:rsid w:val="001113E5"/>
    <w:rsid w:val="00112C06"/>
    <w:rsid w:val="001208BF"/>
    <w:rsid w:val="001313A0"/>
    <w:rsid w:val="001375A7"/>
    <w:rsid w:val="0014233E"/>
    <w:rsid w:val="00142CB9"/>
    <w:rsid w:val="0014580B"/>
    <w:rsid w:val="0019552B"/>
    <w:rsid w:val="001B528C"/>
    <w:rsid w:val="001B5848"/>
    <w:rsid w:val="001E75B0"/>
    <w:rsid w:val="00201D31"/>
    <w:rsid w:val="0021167D"/>
    <w:rsid w:val="00213180"/>
    <w:rsid w:val="0022257E"/>
    <w:rsid w:val="0025017B"/>
    <w:rsid w:val="002600C9"/>
    <w:rsid w:val="002703C3"/>
    <w:rsid w:val="002758D8"/>
    <w:rsid w:val="00280F9A"/>
    <w:rsid w:val="002A4CED"/>
    <w:rsid w:val="003202B4"/>
    <w:rsid w:val="00327EE9"/>
    <w:rsid w:val="003611EF"/>
    <w:rsid w:val="0036314B"/>
    <w:rsid w:val="00366091"/>
    <w:rsid w:val="00381BE0"/>
    <w:rsid w:val="0039082B"/>
    <w:rsid w:val="003B4ED7"/>
    <w:rsid w:val="00402555"/>
    <w:rsid w:val="0041139D"/>
    <w:rsid w:val="00412969"/>
    <w:rsid w:val="00442F08"/>
    <w:rsid w:val="00473DC0"/>
    <w:rsid w:val="0048478B"/>
    <w:rsid w:val="004D046F"/>
    <w:rsid w:val="00500734"/>
    <w:rsid w:val="00530A9F"/>
    <w:rsid w:val="005452DF"/>
    <w:rsid w:val="005771B0"/>
    <w:rsid w:val="0058226B"/>
    <w:rsid w:val="005D48D3"/>
    <w:rsid w:val="005D7C4C"/>
    <w:rsid w:val="00605D71"/>
    <w:rsid w:val="006152C2"/>
    <w:rsid w:val="00631932"/>
    <w:rsid w:val="00643788"/>
    <w:rsid w:val="0067256F"/>
    <w:rsid w:val="006A41B8"/>
    <w:rsid w:val="006B580F"/>
    <w:rsid w:val="006D3835"/>
    <w:rsid w:val="006E2A9D"/>
    <w:rsid w:val="006E56A5"/>
    <w:rsid w:val="00711503"/>
    <w:rsid w:val="0071532A"/>
    <w:rsid w:val="00723FDC"/>
    <w:rsid w:val="00765481"/>
    <w:rsid w:val="00767508"/>
    <w:rsid w:val="0078212B"/>
    <w:rsid w:val="007864B2"/>
    <w:rsid w:val="00790902"/>
    <w:rsid w:val="007A77AF"/>
    <w:rsid w:val="007B6024"/>
    <w:rsid w:val="007F2F35"/>
    <w:rsid w:val="00820C6F"/>
    <w:rsid w:val="0082756F"/>
    <w:rsid w:val="008714D9"/>
    <w:rsid w:val="008C128A"/>
    <w:rsid w:val="008C6D48"/>
    <w:rsid w:val="008F3C55"/>
    <w:rsid w:val="00911F7E"/>
    <w:rsid w:val="0091312F"/>
    <w:rsid w:val="009132D1"/>
    <w:rsid w:val="009242BD"/>
    <w:rsid w:val="00962848"/>
    <w:rsid w:val="00963173"/>
    <w:rsid w:val="00964F40"/>
    <w:rsid w:val="00981638"/>
    <w:rsid w:val="00990F21"/>
    <w:rsid w:val="00997849"/>
    <w:rsid w:val="009A55CA"/>
    <w:rsid w:val="009B1AB3"/>
    <w:rsid w:val="009C1EA8"/>
    <w:rsid w:val="00A2427B"/>
    <w:rsid w:val="00A42AF2"/>
    <w:rsid w:val="00A748CA"/>
    <w:rsid w:val="00AC01D9"/>
    <w:rsid w:val="00B36B33"/>
    <w:rsid w:val="00B5406F"/>
    <w:rsid w:val="00B57A69"/>
    <w:rsid w:val="00B77070"/>
    <w:rsid w:val="00BA5E98"/>
    <w:rsid w:val="00BB23ED"/>
    <w:rsid w:val="00BB4A11"/>
    <w:rsid w:val="00BC0C10"/>
    <w:rsid w:val="00BC22BB"/>
    <w:rsid w:val="00BC4864"/>
    <w:rsid w:val="00BF09DE"/>
    <w:rsid w:val="00BF69B5"/>
    <w:rsid w:val="00C215AD"/>
    <w:rsid w:val="00C33FB4"/>
    <w:rsid w:val="00C35356"/>
    <w:rsid w:val="00C3645A"/>
    <w:rsid w:val="00C41CE0"/>
    <w:rsid w:val="00C4496B"/>
    <w:rsid w:val="00C5159A"/>
    <w:rsid w:val="00C5293B"/>
    <w:rsid w:val="00C62F34"/>
    <w:rsid w:val="00C74C51"/>
    <w:rsid w:val="00C81BC0"/>
    <w:rsid w:val="00C859E5"/>
    <w:rsid w:val="00C85C7F"/>
    <w:rsid w:val="00CB3A0E"/>
    <w:rsid w:val="00CB657A"/>
    <w:rsid w:val="00CC4529"/>
    <w:rsid w:val="00CE6393"/>
    <w:rsid w:val="00D0320F"/>
    <w:rsid w:val="00D0429B"/>
    <w:rsid w:val="00D05BA1"/>
    <w:rsid w:val="00D13566"/>
    <w:rsid w:val="00D472EA"/>
    <w:rsid w:val="00D64834"/>
    <w:rsid w:val="00D83B78"/>
    <w:rsid w:val="00E03594"/>
    <w:rsid w:val="00E232DB"/>
    <w:rsid w:val="00E41C44"/>
    <w:rsid w:val="00E451B5"/>
    <w:rsid w:val="00E55983"/>
    <w:rsid w:val="00E713B7"/>
    <w:rsid w:val="00E76C9F"/>
    <w:rsid w:val="00E81EE7"/>
    <w:rsid w:val="00E872C5"/>
    <w:rsid w:val="00EA02F6"/>
    <w:rsid w:val="00EA128F"/>
    <w:rsid w:val="00EB5468"/>
    <w:rsid w:val="00EF045E"/>
    <w:rsid w:val="00F23F6A"/>
    <w:rsid w:val="00F52177"/>
    <w:rsid w:val="00F54A62"/>
    <w:rsid w:val="00FB33B0"/>
    <w:rsid w:val="00FF29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020EA"/>
  <w15:docId w15:val="{70BD8642-0026-4B9D-9A78-3FAAC19D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uiPriority w:val="9"/>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lang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lang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574261">
      <w:bodyDiv w:val="1"/>
      <w:marLeft w:val="0"/>
      <w:marRight w:val="0"/>
      <w:marTop w:val="0"/>
      <w:marBottom w:val="0"/>
      <w:divBdr>
        <w:top w:val="none" w:sz="0" w:space="0" w:color="auto"/>
        <w:left w:val="none" w:sz="0" w:space="0" w:color="auto"/>
        <w:bottom w:val="none" w:sz="0" w:space="0" w:color="auto"/>
        <w:right w:val="none" w:sz="0" w:space="0" w:color="auto"/>
      </w:divBdr>
    </w:div>
    <w:div w:id="1017150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329B9-1491-4578-8B7E-246397907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1796</Words>
  <Characters>9878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CNO</dc:creator>
  <cp:keywords/>
  <dc:description/>
  <cp:lastModifiedBy>Alberto Olarte</cp:lastModifiedBy>
  <cp:revision>2</cp:revision>
  <dcterms:created xsi:type="dcterms:W3CDTF">2019-09-04T11:54:00Z</dcterms:created>
  <dcterms:modified xsi:type="dcterms:W3CDTF">2019-09-04T11:54:00Z</dcterms:modified>
</cp:coreProperties>
</file>