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A5197" w14:textId="346E55BC" w:rsidR="006C4F7E" w:rsidRPr="00E63E63" w:rsidRDefault="007008FB" w:rsidP="00FF70D9">
      <w:pPr>
        <w:pBdr>
          <w:top w:val="nil"/>
          <w:left w:val="nil"/>
          <w:bottom w:val="nil"/>
          <w:right w:val="nil"/>
          <w:between w:val="nil"/>
        </w:pBdr>
        <w:spacing w:after="120"/>
        <w:jc w:val="center"/>
        <w:rPr>
          <w:rFonts w:ascii="Arial" w:eastAsia="Arial" w:hAnsi="Arial" w:cs="Arial"/>
          <w:b/>
          <w:sz w:val="24"/>
          <w:lang w:val="es-CO"/>
        </w:rPr>
      </w:pPr>
      <w:bookmarkStart w:id="0" w:name="_GoBack"/>
      <w:bookmarkEnd w:id="0"/>
      <w:r>
        <w:rPr>
          <w:rFonts w:ascii="Arial" w:eastAsia="Arial" w:hAnsi="Arial" w:cs="Arial"/>
          <w:b/>
          <w:sz w:val="24"/>
          <w:lang w:val="es-CO"/>
        </w:rPr>
        <w:t>Comentarios a</w:t>
      </w:r>
      <w:r w:rsidR="00452641">
        <w:rPr>
          <w:rFonts w:ascii="Arial" w:eastAsia="Arial" w:hAnsi="Arial" w:cs="Arial"/>
          <w:b/>
          <w:sz w:val="24"/>
          <w:lang w:val="es-CO"/>
        </w:rPr>
        <w:t>l documento y</w:t>
      </w:r>
      <w:r>
        <w:rPr>
          <w:rFonts w:ascii="Arial" w:eastAsia="Arial" w:hAnsi="Arial" w:cs="Arial"/>
          <w:b/>
          <w:sz w:val="24"/>
          <w:lang w:val="es-CO"/>
        </w:rPr>
        <w:t xml:space="preserve"> presentación “Análisis de los Servicios Complementarios para el Sistema Interconectado Nacional-SIN” </w:t>
      </w:r>
    </w:p>
    <w:p w14:paraId="22A8D0FE" w14:textId="3FB82599" w:rsidR="00797EFC" w:rsidRDefault="006C4F7E" w:rsidP="006C4F7E">
      <w:pPr>
        <w:pBdr>
          <w:top w:val="nil"/>
          <w:left w:val="nil"/>
          <w:bottom w:val="nil"/>
          <w:right w:val="nil"/>
          <w:between w:val="nil"/>
        </w:pBdr>
        <w:spacing w:after="120"/>
        <w:jc w:val="both"/>
        <w:rPr>
          <w:rFonts w:ascii="Arial" w:eastAsia="Arial" w:hAnsi="Arial" w:cs="Arial"/>
          <w:lang w:val="es-CO"/>
        </w:rPr>
      </w:pPr>
      <w:r w:rsidRPr="00E63E63">
        <w:rPr>
          <w:rFonts w:ascii="Arial" w:eastAsia="Arial" w:hAnsi="Arial" w:cs="Arial"/>
          <w:lang w:val="es-CO"/>
        </w:rPr>
        <w:t>Objetivo:</w:t>
      </w:r>
      <w:r w:rsidR="00E547DA" w:rsidRPr="00E63E63">
        <w:rPr>
          <w:rFonts w:ascii="Arial" w:eastAsia="Arial" w:hAnsi="Arial" w:cs="Arial"/>
          <w:lang w:val="es-CO"/>
        </w:rPr>
        <w:t xml:space="preserve"> </w:t>
      </w:r>
      <w:r w:rsidR="007008FB">
        <w:rPr>
          <w:rFonts w:ascii="Arial" w:eastAsia="Arial" w:hAnsi="Arial" w:cs="Arial"/>
          <w:lang w:val="es-CO"/>
        </w:rPr>
        <w:t>Listar las principales observaciones a</w:t>
      </w:r>
      <w:r w:rsidR="00452641">
        <w:rPr>
          <w:rFonts w:ascii="Arial" w:eastAsia="Arial" w:hAnsi="Arial" w:cs="Arial"/>
          <w:lang w:val="es-CO"/>
        </w:rPr>
        <w:t>l documento</w:t>
      </w:r>
      <w:r w:rsidR="007008FB">
        <w:rPr>
          <w:rFonts w:ascii="Arial" w:eastAsia="Arial" w:hAnsi="Arial" w:cs="Arial"/>
          <w:lang w:val="es-CO"/>
        </w:rPr>
        <w:t xml:space="preserve"> </w:t>
      </w:r>
      <w:r w:rsidR="00452641">
        <w:rPr>
          <w:rFonts w:ascii="Arial" w:eastAsia="Arial" w:hAnsi="Arial" w:cs="Arial"/>
          <w:lang w:val="es-CO"/>
        </w:rPr>
        <w:t>y</w:t>
      </w:r>
      <w:r w:rsidR="007008FB">
        <w:rPr>
          <w:rFonts w:ascii="Arial" w:eastAsia="Arial" w:hAnsi="Arial" w:cs="Arial"/>
          <w:lang w:val="es-CO"/>
        </w:rPr>
        <w:t xml:space="preserve"> presentación realizada</w:t>
      </w:r>
      <w:r w:rsidR="00255627">
        <w:rPr>
          <w:rFonts w:ascii="Arial" w:eastAsia="Arial" w:hAnsi="Arial" w:cs="Arial"/>
          <w:lang w:val="es-CO"/>
        </w:rPr>
        <w:t>s</w:t>
      </w:r>
      <w:r w:rsidR="007008FB">
        <w:rPr>
          <w:rFonts w:ascii="Arial" w:eastAsia="Arial" w:hAnsi="Arial" w:cs="Arial"/>
          <w:lang w:val="es-CO"/>
        </w:rPr>
        <w:t xml:space="preserve"> por el consorcio PSR DI-AVANTE, la</w:t>
      </w:r>
      <w:r w:rsidR="00255627">
        <w:rPr>
          <w:rFonts w:ascii="Arial" w:eastAsia="Arial" w:hAnsi="Arial" w:cs="Arial"/>
          <w:lang w:val="es-CO"/>
        </w:rPr>
        <w:t>s</w:t>
      </w:r>
      <w:r w:rsidR="007008FB">
        <w:rPr>
          <w:rFonts w:ascii="Arial" w:eastAsia="Arial" w:hAnsi="Arial" w:cs="Arial"/>
          <w:lang w:val="es-CO"/>
        </w:rPr>
        <w:t xml:space="preserve"> </w:t>
      </w:r>
      <w:r w:rsidR="00255627">
        <w:rPr>
          <w:rFonts w:ascii="Arial" w:eastAsia="Arial" w:hAnsi="Arial" w:cs="Arial"/>
          <w:lang w:val="es-CO"/>
        </w:rPr>
        <w:t>cuales</w:t>
      </w:r>
      <w:r w:rsidR="007008FB">
        <w:rPr>
          <w:rFonts w:ascii="Arial" w:eastAsia="Arial" w:hAnsi="Arial" w:cs="Arial"/>
          <w:lang w:val="es-CO"/>
        </w:rPr>
        <w:t xml:space="preserve"> está</w:t>
      </w:r>
      <w:r w:rsidR="00255627">
        <w:rPr>
          <w:rFonts w:ascii="Arial" w:eastAsia="Arial" w:hAnsi="Arial" w:cs="Arial"/>
          <w:lang w:val="es-CO"/>
        </w:rPr>
        <w:t>n</w:t>
      </w:r>
      <w:r w:rsidR="007008FB">
        <w:rPr>
          <w:rFonts w:ascii="Arial" w:eastAsia="Arial" w:hAnsi="Arial" w:cs="Arial"/>
          <w:lang w:val="es-CO"/>
        </w:rPr>
        <w:t xml:space="preserve"> enfocada</w:t>
      </w:r>
      <w:r w:rsidR="00255627">
        <w:rPr>
          <w:rFonts w:ascii="Arial" w:eastAsia="Arial" w:hAnsi="Arial" w:cs="Arial"/>
          <w:lang w:val="es-CO"/>
        </w:rPr>
        <w:t>s</w:t>
      </w:r>
      <w:r w:rsidR="007008FB">
        <w:rPr>
          <w:rFonts w:ascii="Arial" w:eastAsia="Arial" w:hAnsi="Arial" w:cs="Arial"/>
          <w:lang w:val="es-CO"/>
        </w:rPr>
        <w:t xml:space="preserve"> en </w:t>
      </w:r>
      <w:r w:rsidR="003A45B1">
        <w:rPr>
          <w:rFonts w:ascii="Arial" w:eastAsia="Arial" w:hAnsi="Arial" w:cs="Arial"/>
          <w:lang w:val="es-CO"/>
        </w:rPr>
        <w:t xml:space="preserve">las </w:t>
      </w:r>
      <w:r w:rsidR="007008FB">
        <w:rPr>
          <w:rFonts w:ascii="Arial" w:eastAsia="Arial" w:hAnsi="Arial" w:cs="Arial"/>
          <w:lang w:val="es-CO"/>
        </w:rPr>
        <w:t>simulaciones energéticas horarias, de mediano y largo plazo, para revaluar los servicios complementarios en el SIN considerando nuevos desarrollos</w:t>
      </w:r>
      <w:r w:rsidR="00E547DA" w:rsidRPr="00E63E63">
        <w:rPr>
          <w:rFonts w:ascii="Arial" w:eastAsia="Arial" w:hAnsi="Arial" w:cs="Arial"/>
          <w:lang w:val="es-CO"/>
        </w:rPr>
        <w:t>.</w:t>
      </w:r>
    </w:p>
    <w:p w14:paraId="4A57F702" w14:textId="254BD049" w:rsidR="006E27AB" w:rsidRDefault="007008FB" w:rsidP="00616935">
      <w:pPr>
        <w:pStyle w:val="Prrafodelista"/>
        <w:numPr>
          <w:ilvl w:val="0"/>
          <w:numId w:val="11"/>
        </w:numPr>
        <w:pBdr>
          <w:top w:val="nil"/>
          <w:left w:val="nil"/>
          <w:bottom w:val="nil"/>
          <w:right w:val="nil"/>
          <w:between w:val="nil"/>
        </w:pBdr>
        <w:spacing w:after="120"/>
        <w:jc w:val="both"/>
        <w:rPr>
          <w:rFonts w:ascii="Arial" w:eastAsia="Arial" w:hAnsi="Arial" w:cs="Arial"/>
          <w:lang w:val="es-CO"/>
        </w:rPr>
      </w:pPr>
      <w:r w:rsidRPr="003A45B1">
        <w:rPr>
          <w:rFonts w:ascii="Arial" w:eastAsia="Arial" w:hAnsi="Arial" w:cs="Arial"/>
          <w:lang w:val="es-CO"/>
        </w:rPr>
        <w:t>Uno de los principales objetivos del estudio</w:t>
      </w:r>
      <w:r w:rsidR="00C4298E">
        <w:rPr>
          <w:rFonts w:ascii="Arial" w:eastAsia="Arial" w:hAnsi="Arial" w:cs="Arial"/>
          <w:lang w:val="es-CO"/>
        </w:rPr>
        <w:t>,</w:t>
      </w:r>
      <w:r w:rsidRPr="003A45B1">
        <w:rPr>
          <w:rFonts w:ascii="Arial" w:eastAsia="Arial" w:hAnsi="Arial" w:cs="Arial"/>
          <w:lang w:val="es-CO"/>
        </w:rPr>
        <w:t xml:space="preserve"> referenciado en la presentación</w:t>
      </w:r>
      <w:r w:rsidR="005A6BD3">
        <w:rPr>
          <w:rFonts w:ascii="Arial" w:eastAsia="Arial" w:hAnsi="Arial" w:cs="Arial"/>
          <w:lang w:val="es-CO"/>
        </w:rPr>
        <w:t xml:space="preserve"> y </w:t>
      </w:r>
      <w:r w:rsidR="00C4298E">
        <w:rPr>
          <w:rFonts w:ascii="Arial" w:eastAsia="Arial" w:hAnsi="Arial" w:cs="Arial"/>
          <w:lang w:val="es-CO"/>
        </w:rPr>
        <w:t xml:space="preserve">el </w:t>
      </w:r>
      <w:r w:rsidR="005A6BD3">
        <w:rPr>
          <w:rFonts w:ascii="Arial" w:eastAsia="Arial" w:hAnsi="Arial" w:cs="Arial"/>
          <w:lang w:val="es-CO"/>
        </w:rPr>
        <w:t>documento</w:t>
      </w:r>
      <w:r w:rsidRPr="003A45B1">
        <w:rPr>
          <w:rFonts w:ascii="Arial" w:eastAsia="Arial" w:hAnsi="Arial" w:cs="Arial"/>
          <w:lang w:val="es-CO"/>
        </w:rPr>
        <w:t xml:space="preserve">, es </w:t>
      </w:r>
      <w:r w:rsidR="003A45B1">
        <w:rPr>
          <w:rFonts w:ascii="Arial" w:eastAsia="Arial" w:hAnsi="Arial" w:cs="Arial"/>
          <w:lang w:val="es-CO"/>
        </w:rPr>
        <w:t>la realización de</w:t>
      </w:r>
      <w:r w:rsidRPr="003A45B1">
        <w:rPr>
          <w:rFonts w:ascii="Arial" w:eastAsia="Arial" w:hAnsi="Arial" w:cs="Arial"/>
          <w:lang w:val="es-CO"/>
        </w:rPr>
        <w:t xml:space="preserve"> simulaciones detalladas de la operación</w:t>
      </w:r>
      <w:r w:rsidR="009C4F06" w:rsidRPr="003A45B1">
        <w:rPr>
          <w:rFonts w:ascii="Arial" w:eastAsia="Arial" w:hAnsi="Arial" w:cs="Arial"/>
          <w:lang w:val="es-CO"/>
        </w:rPr>
        <w:t xml:space="preserve"> con resolución horaria, para verificar los requerimientos de reserva operativa para el </w:t>
      </w:r>
      <w:r w:rsidR="00B636B3">
        <w:rPr>
          <w:rFonts w:ascii="Arial" w:eastAsia="Arial" w:hAnsi="Arial" w:cs="Arial"/>
          <w:lang w:val="es-CO"/>
        </w:rPr>
        <w:t>S</w:t>
      </w:r>
      <w:r w:rsidR="009C4F06" w:rsidRPr="003A45B1">
        <w:rPr>
          <w:rFonts w:ascii="Arial" w:eastAsia="Arial" w:hAnsi="Arial" w:cs="Arial"/>
          <w:lang w:val="es-CO"/>
        </w:rPr>
        <w:t>istema</w:t>
      </w:r>
      <w:r w:rsidR="00B636B3">
        <w:rPr>
          <w:rFonts w:ascii="Arial" w:eastAsia="Arial" w:hAnsi="Arial" w:cs="Arial"/>
          <w:lang w:val="es-CO"/>
        </w:rPr>
        <w:t>,</w:t>
      </w:r>
      <w:r w:rsidR="009C4F06" w:rsidRPr="003A45B1">
        <w:rPr>
          <w:rFonts w:ascii="Arial" w:eastAsia="Arial" w:hAnsi="Arial" w:cs="Arial"/>
          <w:lang w:val="es-CO"/>
        </w:rPr>
        <w:t xml:space="preserve"> producto de la incorporación de energías renovables variables. Los </w:t>
      </w:r>
      <w:r w:rsidR="003A45B1">
        <w:rPr>
          <w:rFonts w:ascii="Arial" w:eastAsia="Arial" w:hAnsi="Arial" w:cs="Arial"/>
          <w:lang w:val="es-CO"/>
        </w:rPr>
        <w:t>resultados de</w:t>
      </w:r>
      <w:r w:rsidR="009C4F06" w:rsidRPr="003A45B1">
        <w:rPr>
          <w:rFonts w:ascii="Arial" w:eastAsia="Arial" w:hAnsi="Arial" w:cs="Arial"/>
          <w:lang w:val="es-CO"/>
        </w:rPr>
        <w:t xml:space="preserve"> PSR muestran un “ciclaje” recurrente para algunas plantas térmicas, lo cual no es consecuente con la realidad operativa. </w:t>
      </w:r>
      <w:r w:rsidR="003A45B1">
        <w:rPr>
          <w:rFonts w:ascii="Arial" w:eastAsia="Arial" w:hAnsi="Arial" w:cs="Arial"/>
          <w:lang w:val="es-CO"/>
        </w:rPr>
        <w:t>Esto</w:t>
      </w:r>
      <w:r w:rsidR="009C4F06" w:rsidRPr="003A45B1">
        <w:rPr>
          <w:rFonts w:ascii="Arial" w:eastAsia="Arial" w:hAnsi="Arial" w:cs="Arial"/>
          <w:lang w:val="es-CO"/>
        </w:rPr>
        <w:t xml:space="preserve"> se debe a la no modelación de parámetros claves, como los tiempos mínimos en línea</w:t>
      </w:r>
      <w:r w:rsidR="003A45B1">
        <w:rPr>
          <w:rFonts w:ascii="Arial" w:eastAsia="Arial" w:hAnsi="Arial" w:cs="Arial"/>
          <w:lang w:val="es-CO"/>
        </w:rPr>
        <w:t xml:space="preserve">, </w:t>
      </w:r>
      <w:r w:rsidR="005F7CF0" w:rsidRPr="003A45B1">
        <w:rPr>
          <w:rFonts w:ascii="Arial" w:eastAsia="Arial" w:hAnsi="Arial" w:cs="Arial"/>
          <w:lang w:val="es-CO"/>
        </w:rPr>
        <w:t>de calentamiento</w:t>
      </w:r>
      <w:r w:rsidR="009C4F06" w:rsidRPr="003A45B1">
        <w:rPr>
          <w:rFonts w:ascii="Arial" w:eastAsia="Arial" w:hAnsi="Arial" w:cs="Arial"/>
          <w:lang w:val="es-CO"/>
        </w:rPr>
        <w:t xml:space="preserve">, rampas de entrada y salida, </w:t>
      </w:r>
      <w:r w:rsidR="005F7CF0" w:rsidRPr="003A45B1">
        <w:rPr>
          <w:rFonts w:ascii="Arial" w:eastAsia="Arial" w:hAnsi="Arial" w:cs="Arial"/>
          <w:lang w:val="es-CO"/>
        </w:rPr>
        <w:t>configuraciones, entre otros factores</w:t>
      </w:r>
      <w:r w:rsidR="005A6BD3">
        <w:rPr>
          <w:rFonts w:ascii="Arial" w:eastAsia="Arial" w:hAnsi="Arial" w:cs="Arial"/>
          <w:lang w:val="es-CO"/>
        </w:rPr>
        <w:t xml:space="preserve"> (se toman referentes de un documento </w:t>
      </w:r>
      <w:r w:rsidR="00452641">
        <w:rPr>
          <w:rFonts w:ascii="Arial" w:eastAsia="Arial" w:hAnsi="Arial" w:cs="Arial"/>
          <w:lang w:val="es-CO"/>
        </w:rPr>
        <w:t>a</w:t>
      </w:r>
      <w:r w:rsidR="007423C1">
        <w:rPr>
          <w:rFonts w:ascii="Arial" w:eastAsia="Arial" w:hAnsi="Arial" w:cs="Arial"/>
          <w:lang w:val="es-CO"/>
        </w:rPr>
        <w:t>lemán</w:t>
      </w:r>
      <w:r w:rsidR="005A6BD3">
        <w:rPr>
          <w:rFonts w:ascii="Arial" w:eastAsia="Arial" w:hAnsi="Arial" w:cs="Arial"/>
          <w:lang w:val="es-CO"/>
        </w:rPr>
        <w:t>)</w:t>
      </w:r>
      <w:r w:rsidR="005F7CF0" w:rsidRPr="003A45B1">
        <w:rPr>
          <w:rFonts w:ascii="Arial" w:eastAsia="Arial" w:hAnsi="Arial" w:cs="Arial"/>
          <w:lang w:val="es-CO"/>
        </w:rPr>
        <w:t xml:space="preserve">. Adicionalmente, </w:t>
      </w:r>
      <w:r w:rsidR="003A34D5" w:rsidRPr="003A45B1">
        <w:rPr>
          <w:rFonts w:ascii="Arial" w:eastAsia="Arial" w:hAnsi="Arial" w:cs="Arial"/>
          <w:lang w:val="es-CO"/>
        </w:rPr>
        <w:t xml:space="preserve">el consultor </w:t>
      </w:r>
      <w:r w:rsidR="00FD5677">
        <w:rPr>
          <w:rFonts w:ascii="Arial" w:eastAsia="Arial" w:hAnsi="Arial" w:cs="Arial"/>
          <w:lang w:val="es-CO"/>
        </w:rPr>
        <w:t>emple</w:t>
      </w:r>
      <w:r w:rsidR="003A34D5" w:rsidRPr="003A45B1">
        <w:rPr>
          <w:rFonts w:ascii="Arial" w:eastAsia="Arial" w:hAnsi="Arial" w:cs="Arial"/>
          <w:lang w:val="es-CO"/>
        </w:rPr>
        <w:t>ó</w:t>
      </w:r>
      <w:r w:rsidR="005F7CF0" w:rsidRPr="003A45B1">
        <w:rPr>
          <w:rFonts w:ascii="Arial" w:eastAsia="Arial" w:hAnsi="Arial" w:cs="Arial"/>
          <w:lang w:val="es-CO"/>
        </w:rPr>
        <w:t xml:space="preserve">, por carencia de </w:t>
      </w:r>
      <w:r w:rsidR="003A34D5" w:rsidRPr="003A45B1">
        <w:rPr>
          <w:rFonts w:ascii="Arial" w:eastAsia="Arial" w:hAnsi="Arial" w:cs="Arial"/>
          <w:lang w:val="es-CO"/>
        </w:rPr>
        <w:t>datos</w:t>
      </w:r>
      <w:r w:rsidR="005F7CF0" w:rsidRPr="003A45B1">
        <w:rPr>
          <w:rFonts w:ascii="Arial" w:eastAsia="Arial" w:hAnsi="Arial" w:cs="Arial"/>
          <w:lang w:val="es-CO"/>
        </w:rPr>
        <w:t xml:space="preserve">, fuentes secundarias de información </w:t>
      </w:r>
      <w:r w:rsidR="003A34D5" w:rsidRPr="003A45B1">
        <w:rPr>
          <w:rFonts w:ascii="Arial" w:eastAsia="Arial" w:hAnsi="Arial" w:cs="Arial"/>
          <w:lang w:val="es-CO"/>
        </w:rPr>
        <w:t xml:space="preserve">para la generación de las series históricas de velocidad del viento </w:t>
      </w:r>
      <w:r w:rsidR="003A45B1">
        <w:rPr>
          <w:rFonts w:ascii="Arial" w:eastAsia="Arial" w:hAnsi="Arial" w:cs="Arial"/>
          <w:lang w:val="es-CO"/>
        </w:rPr>
        <w:t>e</w:t>
      </w:r>
      <w:r w:rsidR="003A34D5" w:rsidRPr="003A45B1">
        <w:rPr>
          <w:rFonts w:ascii="Arial" w:eastAsia="Arial" w:hAnsi="Arial" w:cs="Arial"/>
          <w:lang w:val="es-CO"/>
        </w:rPr>
        <w:t xml:space="preserve"> </w:t>
      </w:r>
      <w:r w:rsidR="003A45B1">
        <w:rPr>
          <w:rFonts w:ascii="Arial" w:eastAsia="Arial" w:hAnsi="Arial" w:cs="Arial"/>
          <w:lang w:val="es-CO"/>
        </w:rPr>
        <w:t>ir</w:t>
      </w:r>
      <w:r w:rsidR="003A34D5" w:rsidRPr="003A45B1">
        <w:rPr>
          <w:rFonts w:ascii="Arial" w:eastAsia="Arial" w:hAnsi="Arial" w:cs="Arial"/>
          <w:lang w:val="es-CO"/>
        </w:rPr>
        <w:t>radiación global horizontal</w:t>
      </w:r>
      <w:r w:rsidR="003A45B1">
        <w:rPr>
          <w:rFonts w:ascii="Arial" w:eastAsia="Arial" w:hAnsi="Arial" w:cs="Arial"/>
          <w:lang w:val="es-CO"/>
        </w:rPr>
        <w:t xml:space="preserve">. La utilización de </w:t>
      </w:r>
      <w:r w:rsidR="00B636B3">
        <w:rPr>
          <w:rFonts w:ascii="Arial" w:eastAsia="Arial" w:hAnsi="Arial" w:cs="Arial"/>
          <w:lang w:val="es-CO"/>
        </w:rPr>
        <w:t>est</w:t>
      </w:r>
      <w:r w:rsidR="003A45B1">
        <w:rPr>
          <w:rFonts w:ascii="Arial" w:eastAsia="Arial" w:hAnsi="Arial" w:cs="Arial"/>
          <w:lang w:val="es-CO"/>
        </w:rPr>
        <w:t xml:space="preserve">as fuentes, sin ninguna corrección o ajuste con medidas </w:t>
      </w:r>
      <w:r w:rsidR="00FD5677">
        <w:rPr>
          <w:rFonts w:ascii="Arial" w:eastAsia="Arial" w:hAnsi="Arial" w:cs="Arial"/>
          <w:lang w:val="es-CO"/>
        </w:rPr>
        <w:t>in</w:t>
      </w:r>
      <w:r w:rsidR="003A45B1">
        <w:rPr>
          <w:rFonts w:ascii="Arial" w:eastAsia="Arial" w:hAnsi="Arial" w:cs="Arial"/>
          <w:lang w:val="es-CO"/>
        </w:rPr>
        <w:t xml:space="preserve"> situ, pueden</w:t>
      </w:r>
      <w:r w:rsidR="00A6617B">
        <w:rPr>
          <w:rFonts w:ascii="Arial" w:eastAsia="Arial" w:hAnsi="Arial" w:cs="Arial"/>
          <w:lang w:val="es-CO"/>
        </w:rPr>
        <w:t xml:space="preserve"> </w:t>
      </w:r>
      <w:r w:rsidR="003A45B1">
        <w:rPr>
          <w:rFonts w:ascii="Arial" w:eastAsia="Arial" w:hAnsi="Arial" w:cs="Arial"/>
          <w:lang w:val="es-CO"/>
        </w:rPr>
        <w:t>genera</w:t>
      </w:r>
      <w:r w:rsidR="00A6617B">
        <w:rPr>
          <w:rFonts w:ascii="Arial" w:eastAsia="Arial" w:hAnsi="Arial" w:cs="Arial"/>
          <w:lang w:val="es-CO"/>
        </w:rPr>
        <w:t>r</w:t>
      </w:r>
      <w:r w:rsidR="003A45B1">
        <w:rPr>
          <w:rFonts w:ascii="Arial" w:eastAsia="Arial" w:hAnsi="Arial" w:cs="Arial"/>
          <w:lang w:val="es-CO"/>
        </w:rPr>
        <w:t xml:space="preserve"> una sobre o sub</w:t>
      </w:r>
      <w:r w:rsidR="00A6617B">
        <w:rPr>
          <w:rFonts w:ascii="Arial" w:eastAsia="Arial" w:hAnsi="Arial" w:cs="Arial"/>
          <w:lang w:val="es-CO"/>
        </w:rPr>
        <w:t>e</w:t>
      </w:r>
      <w:r w:rsidR="003A45B1">
        <w:rPr>
          <w:rFonts w:ascii="Arial" w:eastAsia="Arial" w:hAnsi="Arial" w:cs="Arial"/>
          <w:lang w:val="es-CO"/>
        </w:rPr>
        <w:t xml:space="preserve">stimación de la producción energética de </w:t>
      </w:r>
      <w:r w:rsidR="00FD5677">
        <w:rPr>
          <w:rFonts w:ascii="Arial" w:eastAsia="Arial" w:hAnsi="Arial" w:cs="Arial"/>
          <w:lang w:val="es-CO"/>
        </w:rPr>
        <w:t>las plantas eólicas y solares fotovoltaicas</w:t>
      </w:r>
      <w:r w:rsidR="003A45B1">
        <w:rPr>
          <w:rFonts w:ascii="Arial" w:eastAsia="Arial" w:hAnsi="Arial" w:cs="Arial"/>
          <w:lang w:val="es-CO"/>
        </w:rPr>
        <w:t>.</w:t>
      </w:r>
    </w:p>
    <w:p w14:paraId="5831F99C" w14:textId="77777777" w:rsidR="00616935" w:rsidRPr="00616935" w:rsidRDefault="00616935" w:rsidP="00616935">
      <w:pPr>
        <w:pStyle w:val="Prrafodelista"/>
        <w:pBdr>
          <w:top w:val="nil"/>
          <w:left w:val="nil"/>
          <w:bottom w:val="nil"/>
          <w:right w:val="nil"/>
          <w:between w:val="nil"/>
        </w:pBdr>
        <w:spacing w:after="120"/>
        <w:jc w:val="both"/>
        <w:rPr>
          <w:rFonts w:ascii="Arial" w:eastAsia="Arial" w:hAnsi="Arial" w:cs="Arial"/>
          <w:lang w:val="es-CO"/>
        </w:rPr>
      </w:pPr>
    </w:p>
    <w:p w14:paraId="5CDAF438" w14:textId="13240294" w:rsidR="007F4D9B" w:rsidRDefault="006E27AB" w:rsidP="007F4D9B">
      <w:pPr>
        <w:pStyle w:val="Prrafodelista"/>
        <w:pBdr>
          <w:top w:val="nil"/>
          <w:left w:val="nil"/>
          <w:bottom w:val="nil"/>
          <w:right w:val="nil"/>
          <w:between w:val="nil"/>
        </w:pBdr>
        <w:spacing w:after="120"/>
        <w:jc w:val="both"/>
        <w:rPr>
          <w:rFonts w:ascii="Arial" w:eastAsia="Arial" w:hAnsi="Arial" w:cs="Arial"/>
          <w:lang w:val="es-CO"/>
        </w:rPr>
      </w:pPr>
      <w:r>
        <w:rPr>
          <w:rFonts w:ascii="Arial" w:eastAsia="Arial" w:hAnsi="Arial" w:cs="Arial"/>
          <w:lang w:val="es-CO"/>
        </w:rPr>
        <w:t>Es decir</w:t>
      </w:r>
      <w:r w:rsidR="003A45B1">
        <w:rPr>
          <w:rFonts w:ascii="Arial" w:eastAsia="Arial" w:hAnsi="Arial" w:cs="Arial"/>
          <w:lang w:val="es-CO"/>
        </w:rPr>
        <w:t>, no se está modelando detalladamente el parque térmico y se puede estar sobre o subestimando la producción de las plantas</w:t>
      </w:r>
      <w:r w:rsidR="00FD5677">
        <w:rPr>
          <w:rFonts w:ascii="Arial" w:eastAsia="Arial" w:hAnsi="Arial" w:cs="Arial"/>
          <w:lang w:val="es-CO"/>
        </w:rPr>
        <w:t xml:space="preserve"> renovables de naturaleza intermitente</w:t>
      </w:r>
      <w:r w:rsidR="007F4D9B">
        <w:rPr>
          <w:rFonts w:ascii="Arial" w:eastAsia="Arial" w:hAnsi="Arial" w:cs="Arial"/>
          <w:lang w:val="es-CO"/>
        </w:rPr>
        <w:t>, situaciones que afecta</w:t>
      </w:r>
      <w:r w:rsidR="00D043B5">
        <w:rPr>
          <w:rFonts w:ascii="Arial" w:eastAsia="Arial" w:hAnsi="Arial" w:cs="Arial"/>
          <w:lang w:val="es-CO"/>
        </w:rPr>
        <w:t>n</w:t>
      </w:r>
      <w:r w:rsidR="007F4D9B">
        <w:rPr>
          <w:rFonts w:ascii="Arial" w:eastAsia="Arial" w:hAnsi="Arial" w:cs="Arial"/>
          <w:lang w:val="es-CO"/>
        </w:rPr>
        <w:t xml:space="preserve"> notablemente los resultados de las simulaciones y las </w:t>
      </w:r>
      <w:r>
        <w:rPr>
          <w:rFonts w:ascii="Arial" w:eastAsia="Arial" w:hAnsi="Arial" w:cs="Arial"/>
          <w:lang w:val="es-CO"/>
        </w:rPr>
        <w:t>conclusiones</w:t>
      </w:r>
      <w:r w:rsidR="007F4D9B">
        <w:rPr>
          <w:rFonts w:ascii="Arial" w:eastAsia="Arial" w:hAnsi="Arial" w:cs="Arial"/>
          <w:lang w:val="es-CO"/>
        </w:rPr>
        <w:t xml:space="preserve"> </w:t>
      </w:r>
      <w:r w:rsidR="00D043B5">
        <w:rPr>
          <w:rFonts w:ascii="Arial" w:eastAsia="Arial" w:hAnsi="Arial" w:cs="Arial"/>
          <w:lang w:val="es-CO"/>
        </w:rPr>
        <w:t>del estudio</w:t>
      </w:r>
      <w:r w:rsidR="00A6617B">
        <w:rPr>
          <w:rFonts w:ascii="Arial" w:eastAsia="Arial" w:hAnsi="Arial" w:cs="Arial"/>
          <w:lang w:val="es-CO"/>
        </w:rPr>
        <w:t xml:space="preserve"> (como la cuantificación y costo de la flexibilidad requerida por la incorporación de las Fuentes </w:t>
      </w:r>
      <w:r w:rsidR="00B636B3">
        <w:rPr>
          <w:rFonts w:ascii="Arial" w:eastAsia="Arial" w:hAnsi="Arial" w:cs="Arial"/>
          <w:lang w:val="es-CO"/>
        </w:rPr>
        <w:t xml:space="preserve">No Convencionales </w:t>
      </w:r>
      <w:r w:rsidR="00BD005D">
        <w:rPr>
          <w:rFonts w:ascii="Arial" w:eastAsia="Arial" w:hAnsi="Arial" w:cs="Arial"/>
          <w:lang w:val="es-CO"/>
        </w:rPr>
        <w:t>de Energías</w:t>
      </w:r>
      <w:r w:rsidR="00B636B3">
        <w:rPr>
          <w:rFonts w:ascii="Arial" w:eastAsia="Arial" w:hAnsi="Arial" w:cs="Arial"/>
          <w:lang w:val="es-CO"/>
        </w:rPr>
        <w:t xml:space="preserve"> Renovables</w:t>
      </w:r>
      <w:r>
        <w:rPr>
          <w:rFonts w:ascii="Arial" w:eastAsia="Arial" w:hAnsi="Arial" w:cs="Arial"/>
          <w:lang w:val="es-CO"/>
        </w:rPr>
        <w:t xml:space="preserve">, </w:t>
      </w:r>
      <w:r w:rsidR="00B636B3">
        <w:rPr>
          <w:rFonts w:ascii="Arial" w:eastAsia="Arial" w:hAnsi="Arial" w:cs="Arial"/>
          <w:lang w:val="es-CO"/>
        </w:rPr>
        <w:t>FNCER</w:t>
      </w:r>
      <w:r w:rsidR="00BD005D">
        <w:rPr>
          <w:rFonts w:ascii="Arial" w:eastAsia="Arial" w:hAnsi="Arial" w:cs="Arial"/>
          <w:lang w:val="es-CO"/>
        </w:rPr>
        <w:t xml:space="preserve"> de características intermitentes</w:t>
      </w:r>
      <w:r w:rsidR="00A6617B">
        <w:rPr>
          <w:rFonts w:ascii="Arial" w:eastAsia="Arial" w:hAnsi="Arial" w:cs="Arial"/>
          <w:lang w:val="es-CO"/>
        </w:rPr>
        <w:t>)</w:t>
      </w:r>
      <w:r w:rsidR="003A45B1">
        <w:rPr>
          <w:rFonts w:ascii="Arial" w:eastAsia="Arial" w:hAnsi="Arial" w:cs="Arial"/>
          <w:lang w:val="es-CO"/>
        </w:rPr>
        <w:t>.</w:t>
      </w:r>
    </w:p>
    <w:p w14:paraId="62C613EF" w14:textId="7E7512F7" w:rsidR="007F4D9B" w:rsidRDefault="007F4D9B" w:rsidP="007F4D9B">
      <w:pPr>
        <w:pStyle w:val="Prrafodelista"/>
        <w:pBdr>
          <w:top w:val="nil"/>
          <w:left w:val="nil"/>
          <w:bottom w:val="nil"/>
          <w:right w:val="nil"/>
          <w:between w:val="nil"/>
        </w:pBdr>
        <w:spacing w:after="120"/>
        <w:jc w:val="both"/>
        <w:rPr>
          <w:rFonts w:ascii="Arial" w:eastAsia="Arial" w:hAnsi="Arial" w:cs="Arial"/>
          <w:lang w:val="es-CO"/>
        </w:rPr>
      </w:pPr>
    </w:p>
    <w:p w14:paraId="5207B559" w14:textId="056B6472" w:rsidR="00897584" w:rsidRDefault="009214F2" w:rsidP="003A45B1">
      <w:pPr>
        <w:pStyle w:val="Prrafodelista"/>
        <w:numPr>
          <w:ilvl w:val="0"/>
          <w:numId w:val="11"/>
        </w:numPr>
        <w:pBdr>
          <w:top w:val="nil"/>
          <w:left w:val="nil"/>
          <w:bottom w:val="nil"/>
          <w:right w:val="nil"/>
          <w:between w:val="nil"/>
        </w:pBdr>
        <w:spacing w:after="120"/>
        <w:jc w:val="both"/>
        <w:rPr>
          <w:rFonts w:ascii="Arial" w:eastAsia="Arial" w:hAnsi="Arial" w:cs="Arial"/>
          <w:lang w:val="es-CO"/>
        </w:rPr>
      </w:pPr>
      <w:r>
        <w:rPr>
          <w:rFonts w:ascii="Arial" w:eastAsia="Arial" w:hAnsi="Arial" w:cs="Arial"/>
          <w:lang w:val="es-CO"/>
        </w:rPr>
        <w:t>En relación con</w:t>
      </w:r>
      <w:r w:rsidR="00897584">
        <w:rPr>
          <w:rFonts w:ascii="Arial" w:eastAsia="Arial" w:hAnsi="Arial" w:cs="Arial"/>
          <w:lang w:val="es-CO"/>
        </w:rPr>
        <w:t xml:space="preserve"> la información de aportes hídricos, debe aclararse como se están obteniendo los caudales horarios, o qu</w:t>
      </w:r>
      <w:r w:rsidR="00B636B3">
        <w:rPr>
          <w:rFonts w:ascii="Arial" w:eastAsia="Arial" w:hAnsi="Arial" w:cs="Arial"/>
          <w:lang w:val="es-CO"/>
        </w:rPr>
        <w:t>é</w:t>
      </w:r>
      <w:r w:rsidR="00897584">
        <w:rPr>
          <w:rFonts w:ascii="Arial" w:eastAsia="Arial" w:hAnsi="Arial" w:cs="Arial"/>
          <w:lang w:val="es-CO"/>
        </w:rPr>
        <w:t xml:space="preserve"> simplificación hace el modelo de simulación de la operación respecto a este recurso (¿se están utilizando los caudales diarios y se asume este valor como promedio, por ejemplo?).</w:t>
      </w:r>
    </w:p>
    <w:p w14:paraId="7E58C921" w14:textId="77777777" w:rsidR="00897584" w:rsidRDefault="00897584" w:rsidP="00897584">
      <w:pPr>
        <w:pStyle w:val="Prrafodelista"/>
        <w:pBdr>
          <w:top w:val="nil"/>
          <w:left w:val="nil"/>
          <w:bottom w:val="nil"/>
          <w:right w:val="nil"/>
          <w:between w:val="nil"/>
        </w:pBdr>
        <w:spacing w:after="120"/>
        <w:jc w:val="both"/>
        <w:rPr>
          <w:rFonts w:ascii="Arial" w:eastAsia="Arial" w:hAnsi="Arial" w:cs="Arial"/>
          <w:lang w:val="es-CO"/>
        </w:rPr>
      </w:pPr>
    </w:p>
    <w:p w14:paraId="05B0F14E" w14:textId="530286A7" w:rsidR="007008FB" w:rsidRDefault="00412C50" w:rsidP="003A45B1">
      <w:pPr>
        <w:pStyle w:val="Prrafodelista"/>
        <w:numPr>
          <w:ilvl w:val="0"/>
          <w:numId w:val="11"/>
        </w:numPr>
        <w:pBdr>
          <w:top w:val="nil"/>
          <w:left w:val="nil"/>
          <w:bottom w:val="nil"/>
          <w:right w:val="nil"/>
          <w:between w:val="nil"/>
        </w:pBdr>
        <w:spacing w:after="120"/>
        <w:jc w:val="both"/>
        <w:rPr>
          <w:rFonts w:ascii="Arial" w:eastAsia="Arial" w:hAnsi="Arial" w:cs="Arial"/>
          <w:lang w:val="es-CO"/>
        </w:rPr>
      </w:pPr>
      <w:r>
        <w:rPr>
          <w:rFonts w:ascii="Arial" w:eastAsia="Arial" w:hAnsi="Arial" w:cs="Arial"/>
          <w:lang w:val="es-CO"/>
        </w:rPr>
        <w:t>Respecto al plan de obras de corto plazo,</w:t>
      </w:r>
      <w:r w:rsidR="006E27AB">
        <w:rPr>
          <w:rFonts w:ascii="Arial" w:eastAsia="Arial" w:hAnsi="Arial" w:cs="Arial"/>
          <w:lang w:val="es-CO"/>
        </w:rPr>
        <w:t xml:space="preserve"> plantas que ya están definidas y que no son objeto de consideración d</w:t>
      </w:r>
      <w:r w:rsidR="00255627">
        <w:rPr>
          <w:rFonts w:ascii="Arial" w:eastAsia="Arial" w:hAnsi="Arial" w:cs="Arial"/>
          <w:lang w:val="es-CO"/>
        </w:rPr>
        <w:t>urante</w:t>
      </w:r>
      <w:r w:rsidR="006E27AB">
        <w:rPr>
          <w:rFonts w:ascii="Arial" w:eastAsia="Arial" w:hAnsi="Arial" w:cs="Arial"/>
          <w:lang w:val="es-CO"/>
        </w:rPr>
        <w:t xml:space="preserve"> del proceso de generación de </w:t>
      </w:r>
      <w:r w:rsidR="00797E41">
        <w:rPr>
          <w:rFonts w:ascii="Arial" w:eastAsia="Arial" w:hAnsi="Arial" w:cs="Arial"/>
          <w:lang w:val="es-CO"/>
        </w:rPr>
        <w:t xml:space="preserve">los </w:t>
      </w:r>
      <w:r w:rsidR="006E27AB">
        <w:rPr>
          <w:rFonts w:ascii="Arial" w:eastAsia="Arial" w:hAnsi="Arial" w:cs="Arial"/>
          <w:lang w:val="es-CO"/>
        </w:rPr>
        <w:t xml:space="preserve">escenarios de largo plazo (son fijas), sugerimos revisar las capacidades de las tecnologías </w:t>
      </w:r>
      <w:r w:rsidR="00616935">
        <w:rPr>
          <w:rFonts w:ascii="Arial" w:eastAsia="Arial" w:hAnsi="Arial" w:cs="Arial"/>
          <w:lang w:val="es-CO"/>
        </w:rPr>
        <w:t>eólica</w:t>
      </w:r>
      <w:r w:rsidR="006E27AB">
        <w:rPr>
          <w:rFonts w:ascii="Arial" w:eastAsia="Arial" w:hAnsi="Arial" w:cs="Arial"/>
          <w:lang w:val="es-CO"/>
        </w:rPr>
        <w:t xml:space="preserve">s y </w:t>
      </w:r>
      <w:r w:rsidR="00616935">
        <w:rPr>
          <w:rFonts w:ascii="Arial" w:eastAsia="Arial" w:hAnsi="Arial" w:cs="Arial"/>
          <w:lang w:val="es-CO"/>
        </w:rPr>
        <w:t xml:space="preserve">solares </w:t>
      </w:r>
      <w:r w:rsidR="006E27AB">
        <w:rPr>
          <w:rFonts w:ascii="Arial" w:eastAsia="Arial" w:hAnsi="Arial" w:cs="Arial"/>
          <w:lang w:val="es-CO"/>
        </w:rPr>
        <w:t xml:space="preserve">fotovoltaicas. Según información del Plan de Expansión de la UPME, hasta el año 2021 se tendrían menos de 500 y 900 MW, según </w:t>
      </w:r>
      <w:r w:rsidR="00D043B5">
        <w:rPr>
          <w:rFonts w:ascii="Arial" w:eastAsia="Arial" w:hAnsi="Arial" w:cs="Arial"/>
          <w:lang w:val="es-CO"/>
        </w:rPr>
        <w:t xml:space="preserve">la </w:t>
      </w:r>
      <w:r w:rsidR="006E27AB">
        <w:rPr>
          <w:rFonts w:ascii="Arial" w:eastAsia="Arial" w:hAnsi="Arial" w:cs="Arial"/>
          <w:lang w:val="es-CO"/>
        </w:rPr>
        <w:t>estrategia (Escenarios 1 y 2, respectivamente). Asimismo, no hay certeza sobre el desarrollo de dichas capacidades, motivo por el cual no se puede</w:t>
      </w:r>
      <w:r w:rsidR="00616935">
        <w:rPr>
          <w:rFonts w:ascii="Arial" w:eastAsia="Arial" w:hAnsi="Arial" w:cs="Arial"/>
          <w:lang w:val="es-CO"/>
        </w:rPr>
        <w:t>n</w:t>
      </w:r>
      <w:r w:rsidR="00D043B5">
        <w:rPr>
          <w:rFonts w:ascii="Arial" w:eastAsia="Arial" w:hAnsi="Arial" w:cs="Arial"/>
          <w:lang w:val="es-CO"/>
        </w:rPr>
        <w:t xml:space="preserve"> considerar</w:t>
      </w:r>
      <w:r w:rsidR="006E27AB">
        <w:rPr>
          <w:rFonts w:ascii="Arial" w:eastAsia="Arial" w:hAnsi="Arial" w:cs="Arial"/>
          <w:lang w:val="es-CO"/>
        </w:rPr>
        <w:t xml:space="preserve"> </w:t>
      </w:r>
      <w:r w:rsidR="00616935">
        <w:rPr>
          <w:rFonts w:ascii="Arial" w:eastAsia="Arial" w:hAnsi="Arial" w:cs="Arial"/>
          <w:lang w:val="es-CO"/>
        </w:rPr>
        <w:t xml:space="preserve">como fijas en </w:t>
      </w:r>
      <w:r w:rsidR="006E27AB">
        <w:rPr>
          <w:rFonts w:ascii="Arial" w:eastAsia="Arial" w:hAnsi="Arial" w:cs="Arial"/>
          <w:lang w:val="es-CO"/>
        </w:rPr>
        <w:t>los escenarios del consultor</w:t>
      </w:r>
      <w:r w:rsidR="00616935">
        <w:rPr>
          <w:rFonts w:ascii="Arial" w:eastAsia="Arial" w:hAnsi="Arial" w:cs="Arial"/>
          <w:lang w:val="es-CO"/>
        </w:rPr>
        <w:t xml:space="preserve"> (son candidatos y deben tenerse en cuenta en el proceso de construcción de las estrategias de largo plazo).</w:t>
      </w:r>
    </w:p>
    <w:p w14:paraId="00EA1726" w14:textId="0FC4D991" w:rsidR="00616935" w:rsidRDefault="00616935" w:rsidP="00616935">
      <w:pPr>
        <w:pStyle w:val="Prrafodelista"/>
        <w:pBdr>
          <w:top w:val="nil"/>
          <w:left w:val="nil"/>
          <w:bottom w:val="nil"/>
          <w:right w:val="nil"/>
          <w:between w:val="nil"/>
        </w:pBdr>
        <w:spacing w:after="120"/>
        <w:jc w:val="both"/>
        <w:rPr>
          <w:rFonts w:ascii="Arial" w:eastAsia="Arial" w:hAnsi="Arial" w:cs="Arial"/>
          <w:lang w:val="es-CO"/>
        </w:rPr>
      </w:pPr>
    </w:p>
    <w:p w14:paraId="2FF259C2" w14:textId="259FD299" w:rsidR="004A12C5" w:rsidRDefault="00616935" w:rsidP="003A45B1">
      <w:pPr>
        <w:pStyle w:val="Prrafodelista"/>
        <w:numPr>
          <w:ilvl w:val="0"/>
          <w:numId w:val="11"/>
        </w:numPr>
        <w:pBdr>
          <w:top w:val="nil"/>
          <w:left w:val="nil"/>
          <w:bottom w:val="nil"/>
          <w:right w:val="nil"/>
          <w:between w:val="nil"/>
        </w:pBdr>
        <w:spacing w:after="120"/>
        <w:jc w:val="both"/>
        <w:rPr>
          <w:rFonts w:ascii="Arial" w:eastAsia="Arial" w:hAnsi="Arial" w:cs="Arial"/>
          <w:lang w:val="es-CO"/>
        </w:rPr>
      </w:pPr>
      <w:r>
        <w:rPr>
          <w:rFonts w:ascii="Arial" w:eastAsia="Arial" w:hAnsi="Arial" w:cs="Arial"/>
          <w:lang w:val="es-CO"/>
        </w:rPr>
        <w:t xml:space="preserve">La flexibilidad es una de las principales características que debe tener un Sistema Eléctrico de Potencia-SEP cuando se integran de manera representativa fuentes </w:t>
      </w:r>
      <w:r w:rsidR="00B636B3">
        <w:rPr>
          <w:rFonts w:ascii="Arial" w:eastAsia="Arial" w:hAnsi="Arial" w:cs="Arial"/>
          <w:lang w:val="es-CO"/>
        </w:rPr>
        <w:t>FNCER</w:t>
      </w:r>
      <w:r>
        <w:rPr>
          <w:rFonts w:ascii="Arial" w:eastAsia="Arial" w:hAnsi="Arial" w:cs="Arial"/>
          <w:lang w:val="es-CO"/>
        </w:rPr>
        <w:t xml:space="preserve"> </w:t>
      </w:r>
      <w:r w:rsidR="00BD005D">
        <w:rPr>
          <w:rFonts w:ascii="Arial" w:eastAsia="Arial" w:hAnsi="Arial" w:cs="Arial"/>
          <w:lang w:val="es-CO"/>
        </w:rPr>
        <w:t xml:space="preserve">variables </w:t>
      </w:r>
      <w:r>
        <w:rPr>
          <w:rFonts w:ascii="Arial" w:eastAsia="Arial" w:hAnsi="Arial" w:cs="Arial"/>
          <w:lang w:val="es-CO"/>
        </w:rPr>
        <w:t>en su matriz</w:t>
      </w:r>
      <w:r w:rsidR="00897584">
        <w:rPr>
          <w:rFonts w:ascii="Arial" w:eastAsia="Arial" w:hAnsi="Arial" w:cs="Arial"/>
          <w:lang w:val="es-CO"/>
        </w:rPr>
        <w:t xml:space="preserve">. Dicho concepto se </w:t>
      </w:r>
      <w:r>
        <w:rPr>
          <w:rFonts w:ascii="Arial" w:eastAsia="Arial" w:hAnsi="Arial" w:cs="Arial"/>
          <w:lang w:val="es-CO"/>
        </w:rPr>
        <w:t>entien</w:t>
      </w:r>
      <w:r w:rsidR="00897584">
        <w:rPr>
          <w:rFonts w:ascii="Arial" w:eastAsia="Arial" w:hAnsi="Arial" w:cs="Arial"/>
          <w:lang w:val="es-CO"/>
        </w:rPr>
        <w:t>de</w:t>
      </w:r>
      <w:r>
        <w:rPr>
          <w:rFonts w:ascii="Arial" w:eastAsia="Arial" w:hAnsi="Arial" w:cs="Arial"/>
          <w:lang w:val="es-CO"/>
        </w:rPr>
        <w:t xml:space="preserve"> como la habilidad que </w:t>
      </w:r>
      <w:r>
        <w:rPr>
          <w:rFonts w:ascii="Arial" w:eastAsia="Arial" w:hAnsi="Arial" w:cs="Arial"/>
          <w:lang w:val="es-CO"/>
        </w:rPr>
        <w:lastRenderedPageBreak/>
        <w:t xml:space="preserve">tienen los SEP para </w:t>
      </w:r>
      <w:r w:rsidR="00897584" w:rsidRPr="00897584">
        <w:rPr>
          <w:rFonts w:ascii="Arial" w:eastAsia="Arial" w:hAnsi="Arial" w:cs="Arial"/>
          <w:lang w:val="es-CO"/>
        </w:rPr>
        <w:t>adaptarse a las variaciones en el balance generación/demanda.</w:t>
      </w:r>
      <w:r w:rsidR="00897584">
        <w:rPr>
          <w:rFonts w:ascii="Arial" w:eastAsia="Arial" w:hAnsi="Arial" w:cs="Arial"/>
          <w:lang w:val="es-CO"/>
        </w:rPr>
        <w:t xml:space="preserve"> Comúnmente las necesidades de flexibilidad se establecen a través de modelos detallados de la operación</w:t>
      </w:r>
      <w:r w:rsidR="004A12C5">
        <w:rPr>
          <w:rFonts w:ascii="Arial" w:eastAsia="Arial" w:hAnsi="Arial" w:cs="Arial"/>
          <w:lang w:val="es-CO"/>
        </w:rPr>
        <w:t xml:space="preserve"> con resolución horaria o diezminutal</w:t>
      </w:r>
      <w:r w:rsidR="00897584">
        <w:rPr>
          <w:rFonts w:ascii="Arial" w:eastAsia="Arial" w:hAnsi="Arial" w:cs="Arial"/>
          <w:lang w:val="es-CO"/>
        </w:rPr>
        <w:t xml:space="preserve">, </w:t>
      </w:r>
      <w:r w:rsidR="00B636B3">
        <w:rPr>
          <w:rFonts w:ascii="Arial" w:eastAsia="Arial" w:hAnsi="Arial" w:cs="Arial"/>
          <w:lang w:val="es-CO"/>
        </w:rPr>
        <w:t xml:space="preserve">en las que </w:t>
      </w:r>
      <w:r w:rsidR="00897584">
        <w:rPr>
          <w:rFonts w:ascii="Arial" w:eastAsia="Arial" w:hAnsi="Arial" w:cs="Arial"/>
          <w:lang w:val="es-CO"/>
        </w:rPr>
        <w:t>se incluyen</w:t>
      </w:r>
      <w:r w:rsidR="004A12C5">
        <w:rPr>
          <w:rFonts w:ascii="Arial" w:eastAsia="Arial" w:hAnsi="Arial" w:cs="Arial"/>
          <w:lang w:val="es-CO"/>
        </w:rPr>
        <w:t>, además de</w:t>
      </w:r>
      <w:r w:rsidR="00897584">
        <w:rPr>
          <w:rFonts w:ascii="Arial" w:eastAsia="Arial" w:hAnsi="Arial" w:cs="Arial"/>
          <w:lang w:val="es-CO"/>
        </w:rPr>
        <w:t xml:space="preserve"> las restricciones de almacenamiento</w:t>
      </w:r>
      <w:r w:rsidR="004A12C5">
        <w:rPr>
          <w:rFonts w:ascii="Arial" w:eastAsia="Arial" w:hAnsi="Arial" w:cs="Arial"/>
          <w:lang w:val="es-CO"/>
        </w:rPr>
        <w:t xml:space="preserve"> y del parque térmico (</w:t>
      </w:r>
      <w:r w:rsidR="00897584">
        <w:rPr>
          <w:rFonts w:ascii="Arial" w:eastAsia="Arial" w:hAnsi="Arial" w:cs="Arial"/>
          <w:lang w:val="es-CO"/>
        </w:rPr>
        <w:t>rampas, tiempos mínimos en línea, de calentamiento, configuraciones, número de encendidos y apagados</w:t>
      </w:r>
      <w:r w:rsidR="004A12C5">
        <w:rPr>
          <w:rFonts w:ascii="Arial" w:eastAsia="Arial" w:hAnsi="Arial" w:cs="Arial"/>
          <w:lang w:val="es-CO"/>
        </w:rPr>
        <w:t>, entre otras)</w:t>
      </w:r>
      <w:r w:rsidR="00897584">
        <w:rPr>
          <w:rFonts w:ascii="Arial" w:eastAsia="Arial" w:hAnsi="Arial" w:cs="Arial"/>
          <w:lang w:val="es-CO"/>
        </w:rPr>
        <w:t xml:space="preserve">, </w:t>
      </w:r>
      <w:r w:rsidR="004A12C5">
        <w:rPr>
          <w:rFonts w:ascii="Arial" w:eastAsia="Arial" w:hAnsi="Arial" w:cs="Arial"/>
          <w:lang w:val="es-CO"/>
        </w:rPr>
        <w:t xml:space="preserve">las </w:t>
      </w:r>
      <w:r w:rsidR="001D405B">
        <w:rPr>
          <w:rFonts w:ascii="Arial" w:eastAsia="Arial" w:hAnsi="Arial" w:cs="Arial"/>
          <w:lang w:val="es-CO"/>
        </w:rPr>
        <w:t xml:space="preserve">restricciones de transporte y </w:t>
      </w:r>
      <w:r w:rsidR="004A12C5">
        <w:rPr>
          <w:rFonts w:ascii="Arial" w:eastAsia="Arial" w:hAnsi="Arial" w:cs="Arial"/>
          <w:lang w:val="es-CO"/>
        </w:rPr>
        <w:t>necesidades</w:t>
      </w:r>
      <w:r w:rsidR="00897584">
        <w:rPr>
          <w:rFonts w:ascii="Arial" w:eastAsia="Arial" w:hAnsi="Arial" w:cs="Arial"/>
          <w:lang w:val="es-CO"/>
        </w:rPr>
        <w:t xml:space="preserve"> de inercia y reserva, que son obtenid</w:t>
      </w:r>
      <w:r w:rsidR="001D405B">
        <w:rPr>
          <w:rFonts w:ascii="Arial" w:eastAsia="Arial" w:hAnsi="Arial" w:cs="Arial"/>
          <w:lang w:val="es-CO"/>
        </w:rPr>
        <w:t>a</w:t>
      </w:r>
      <w:r w:rsidR="00897584">
        <w:rPr>
          <w:rFonts w:ascii="Arial" w:eastAsia="Arial" w:hAnsi="Arial" w:cs="Arial"/>
          <w:lang w:val="es-CO"/>
        </w:rPr>
        <w:t>s y validad</w:t>
      </w:r>
      <w:r w:rsidR="001D405B">
        <w:rPr>
          <w:rFonts w:ascii="Arial" w:eastAsia="Arial" w:hAnsi="Arial" w:cs="Arial"/>
          <w:lang w:val="es-CO"/>
        </w:rPr>
        <w:t>a</w:t>
      </w:r>
      <w:r w:rsidR="00897584">
        <w:rPr>
          <w:rFonts w:ascii="Arial" w:eastAsia="Arial" w:hAnsi="Arial" w:cs="Arial"/>
          <w:lang w:val="es-CO"/>
        </w:rPr>
        <w:t>s a través de simulaciones eléctricas</w:t>
      </w:r>
      <w:r w:rsidR="004A12C5">
        <w:rPr>
          <w:rFonts w:ascii="Arial" w:eastAsia="Arial" w:hAnsi="Arial" w:cs="Arial"/>
          <w:lang w:val="es-CO"/>
        </w:rPr>
        <w:t>.</w:t>
      </w:r>
      <w:r w:rsidR="001D405B">
        <w:rPr>
          <w:rFonts w:ascii="Arial" w:eastAsia="Arial" w:hAnsi="Arial" w:cs="Arial"/>
          <w:lang w:val="es-CO"/>
        </w:rPr>
        <w:t xml:space="preserve"> Las restricciones de transporte son fundamentales y deben ser tenidas en cuenta en el modelo</w:t>
      </w:r>
      <w:r w:rsidR="00DF2CB5">
        <w:rPr>
          <w:rFonts w:ascii="Arial" w:eastAsia="Arial" w:hAnsi="Arial" w:cs="Arial"/>
          <w:lang w:val="es-CO"/>
        </w:rPr>
        <w:t>, ya que la red de transmisión y sub transmisión posibilita o no el aprovechamiento de las diferentes fuentes de flexibilidad de un SEP</w:t>
      </w:r>
      <w:r w:rsidR="00B636B3">
        <w:rPr>
          <w:rFonts w:ascii="Arial" w:eastAsia="Arial" w:hAnsi="Arial" w:cs="Arial"/>
          <w:lang w:val="es-CO"/>
        </w:rPr>
        <w:t xml:space="preserve">. Para </w:t>
      </w:r>
      <w:r w:rsidR="00BD005D">
        <w:rPr>
          <w:rFonts w:ascii="Arial" w:eastAsia="Arial" w:hAnsi="Arial" w:cs="Arial"/>
          <w:lang w:val="es-CO"/>
        </w:rPr>
        <w:t>el caso</w:t>
      </w:r>
      <w:r w:rsidR="00DF2CB5">
        <w:rPr>
          <w:rFonts w:ascii="Arial" w:eastAsia="Arial" w:hAnsi="Arial" w:cs="Arial"/>
          <w:lang w:val="es-CO"/>
        </w:rPr>
        <w:t xml:space="preserve"> colombiano</w:t>
      </w:r>
      <w:r w:rsidR="00B636B3">
        <w:rPr>
          <w:rFonts w:ascii="Arial" w:eastAsia="Arial" w:hAnsi="Arial" w:cs="Arial"/>
          <w:lang w:val="es-CO"/>
        </w:rPr>
        <w:t>,</w:t>
      </w:r>
      <w:r w:rsidR="00DF2CB5">
        <w:rPr>
          <w:rFonts w:ascii="Arial" w:eastAsia="Arial" w:hAnsi="Arial" w:cs="Arial"/>
          <w:lang w:val="es-CO"/>
        </w:rPr>
        <w:t xml:space="preserve"> las plantas hidroeléctricas con embalse se encuentran en el interior del país, en contraste con la ubicación esperada de las plantas eólicas y solares fotovoltaicas a gran escala, que se encuentran emplazadas en el área Caribe y cuyo límite de importación actual es 1450 MW.</w:t>
      </w:r>
      <w:r w:rsidR="001D405B">
        <w:rPr>
          <w:rFonts w:ascii="Arial" w:eastAsia="Arial" w:hAnsi="Arial" w:cs="Arial"/>
          <w:lang w:val="es-CO"/>
        </w:rPr>
        <w:t xml:space="preserve"> </w:t>
      </w:r>
      <w:r w:rsidR="00F00E08">
        <w:rPr>
          <w:rFonts w:ascii="Arial" w:eastAsia="Arial" w:hAnsi="Arial" w:cs="Arial"/>
          <w:lang w:val="es-CO"/>
        </w:rPr>
        <w:t xml:space="preserve">Bajo este contexto, la consultoría no ha dimensionado los requerimientos de flexibilidad </w:t>
      </w:r>
      <w:r w:rsidR="002F2C3F">
        <w:rPr>
          <w:rFonts w:ascii="Arial" w:eastAsia="Arial" w:hAnsi="Arial" w:cs="Arial"/>
          <w:lang w:val="es-CO"/>
        </w:rPr>
        <w:t>d</w:t>
      </w:r>
      <w:r w:rsidR="00F00E08">
        <w:rPr>
          <w:rFonts w:ascii="Arial" w:eastAsia="Arial" w:hAnsi="Arial" w:cs="Arial"/>
          <w:lang w:val="es-CO"/>
        </w:rPr>
        <w:t>el SIN para cada escenario de largo plazo</w:t>
      </w:r>
      <w:r w:rsidR="002F2C3F">
        <w:rPr>
          <w:rFonts w:ascii="Arial" w:eastAsia="Arial" w:hAnsi="Arial" w:cs="Arial"/>
          <w:lang w:val="es-CO"/>
        </w:rPr>
        <w:t>,</w:t>
      </w:r>
      <w:r w:rsidR="00F00E08">
        <w:rPr>
          <w:rFonts w:ascii="Arial" w:eastAsia="Arial" w:hAnsi="Arial" w:cs="Arial"/>
          <w:lang w:val="es-CO"/>
        </w:rPr>
        <w:t xml:space="preserve"> ni l</w:t>
      </w:r>
      <w:r w:rsidR="002F2C3F">
        <w:rPr>
          <w:rFonts w:ascii="Arial" w:eastAsia="Arial" w:hAnsi="Arial" w:cs="Arial"/>
          <w:lang w:val="es-CO"/>
        </w:rPr>
        <w:t>os</w:t>
      </w:r>
      <w:r w:rsidR="00F00E08">
        <w:rPr>
          <w:rFonts w:ascii="Arial" w:eastAsia="Arial" w:hAnsi="Arial" w:cs="Arial"/>
          <w:lang w:val="es-CO"/>
        </w:rPr>
        <w:t xml:space="preserve"> ha valorado económicamente</w:t>
      </w:r>
      <w:r w:rsidR="002F2C3F">
        <w:rPr>
          <w:rFonts w:ascii="Arial" w:eastAsia="Arial" w:hAnsi="Arial" w:cs="Arial"/>
          <w:lang w:val="es-CO"/>
        </w:rPr>
        <w:t>. Este aspecto es fundamental cuando se estudian los servicios complementarios.</w:t>
      </w:r>
      <w:r w:rsidR="004A12C5">
        <w:rPr>
          <w:rFonts w:ascii="Arial" w:eastAsia="Arial" w:hAnsi="Arial" w:cs="Arial"/>
          <w:lang w:val="es-CO"/>
        </w:rPr>
        <w:t xml:space="preserve"> </w:t>
      </w:r>
    </w:p>
    <w:p w14:paraId="7F6A358C" w14:textId="77777777" w:rsidR="004A12C5" w:rsidRPr="004A12C5" w:rsidRDefault="004A12C5" w:rsidP="004A12C5">
      <w:pPr>
        <w:pStyle w:val="Prrafodelista"/>
        <w:rPr>
          <w:rFonts w:ascii="Arial" w:eastAsia="Arial" w:hAnsi="Arial" w:cs="Arial"/>
          <w:lang w:val="es-CO"/>
        </w:rPr>
      </w:pPr>
    </w:p>
    <w:p w14:paraId="037484D9" w14:textId="02CE3FA1" w:rsidR="00A648DC" w:rsidRDefault="004A12C5" w:rsidP="004A12C5">
      <w:pPr>
        <w:pStyle w:val="Prrafodelista"/>
        <w:pBdr>
          <w:top w:val="nil"/>
          <w:left w:val="nil"/>
          <w:bottom w:val="nil"/>
          <w:right w:val="nil"/>
          <w:between w:val="nil"/>
        </w:pBdr>
        <w:spacing w:after="120"/>
        <w:jc w:val="both"/>
        <w:rPr>
          <w:rFonts w:ascii="Arial" w:eastAsia="Arial" w:hAnsi="Arial" w:cs="Arial"/>
          <w:lang w:val="es-CO"/>
        </w:rPr>
      </w:pPr>
      <w:r>
        <w:rPr>
          <w:rFonts w:ascii="Arial" w:eastAsia="Arial" w:hAnsi="Arial" w:cs="Arial"/>
          <w:lang w:val="es-CO"/>
        </w:rPr>
        <w:t>El consultor no ha realizado ningún estudio eléctrico</w:t>
      </w:r>
      <w:r w:rsidR="00A648DC">
        <w:rPr>
          <w:rFonts w:ascii="Arial" w:eastAsia="Arial" w:hAnsi="Arial" w:cs="Arial"/>
          <w:lang w:val="es-CO"/>
        </w:rPr>
        <w:t>,</w:t>
      </w:r>
      <w:r>
        <w:rPr>
          <w:rFonts w:ascii="Arial" w:eastAsia="Arial" w:hAnsi="Arial" w:cs="Arial"/>
          <w:lang w:val="es-CO"/>
        </w:rPr>
        <w:t xml:space="preserve"> </w:t>
      </w:r>
      <w:r w:rsidR="00B636B3">
        <w:rPr>
          <w:rFonts w:ascii="Arial" w:eastAsia="Arial" w:hAnsi="Arial" w:cs="Arial"/>
          <w:lang w:val="es-CO"/>
        </w:rPr>
        <w:t xml:space="preserve">en el que </w:t>
      </w:r>
      <w:r>
        <w:rPr>
          <w:rFonts w:ascii="Arial" w:eastAsia="Arial" w:hAnsi="Arial" w:cs="Arial"/>
          <w:lang w:val="es-CO"/>
        </w:rPr>
        <w:t xml:space="preserve">se identifique el comportamiento de la respuesta en frecuencia del SIN para diferentes porcentajes de penetración de </w:t>
      </w:r>
      <w:r w:rsidR="00982B24">
        <w:rPr>
          <w:rFonts w:ascii="Arial" w:eastAsia="Arial" w:hAnsi="Arial" w:cs="Arial"/>
          <w:lang w:val="es-CO"/>
        </w:rPr>
        <w:t>FNCER</w:t>
      </w:r>
      <w:r w:rsidR="00BD005D">
        <w:rPr>
          <w:rFonts w:ascii="Arial" w:eastAsia="Arial" w:hAnsi="Arial" w:cs="Arial"/>
          <w:lang w:val="es-CO"/>
        </w:rPr>
        <w:t xml:space="preserve"> variables</w:t>
      </w:r>
      <w:r w:rsidR="00982B24">
        <w:rPr>
          <w:rFonts w:ascii="Arial" w:eastAsia="Arial" w:hAnsi="Arial" w:cs="Arial"/>
          <w:lang w:val="es-CO"/>
        </w:rPr>
        <w:t xml:space="preserve"> </w:t>
      </w:r>
      <w:r>
        <w:rPr>
          <w:rFonts w:ascii="Arial" w:eastAsia="Arial" w:hAnsi="Arial" w:cs="Arial"/>
          <w:lang w:val="es-CO"/>
        </w:rPr>
        <w:t xml:space="preserve">y </w:t>
      </w:r>
      <w:r w:rsidR="00A648DC">
        <w:rPr>
          <w:rFonts w:ascii="Arial" w:eastAsia="Arial" w:hAnsi="Arial" w:cs="Arial"/>
          <w:lang w:val="es-CO"/>
        </w:rPr>
        <w:t>estados de la red (</w:t>
      </w:r>
      <w:r>
        <w:rPr>
          <w:rFonts w:ascii="Arial" w:eastAsia="Arial" w:hAnsi="Arial" w:cs="Arial"/>
          <w:lang w:val="es-CO"/>
        </w:rPr>
        <w:t>contingencias</w:t>
      </w:r>
      <w:r w:rsidR="00A648DC">
        <w:rPr>
          <w:rFonts w:ascii="Arial" w:eastAsia="Arial" w:hAnsi="Arial" w:cs="Arial"/>
          <w:lang w:val="es-CO"/>
        </w:rPr>
        <w:t xml:space="preserve"> de generación y redes de transmisión que fraccionen el sistema). Sin estos análisis no se pueden dimensionar </w:t>
      </w:r>
      <w:r>
        <w:rPr>
          <w:rFonts w:ascii="Arial" w:eastAsia="Arial" w:hAnsi="Arial" w:cs="Arial"/>
          <w:lang w:val="es-CO"/>
        </w:rPr>
        <w:t>los requerimientos de inercia y reserva para la regulación primaria y secundaria de frecuencia</w:t>
      </w:r>
      <w:r w:rsidR="00A648DC">
        <w:rPr>
          <w:rFonts w:ascii="Arial" w:eastAsia="Arial" w:hAnsi="Arial" w:cs="Arial"/>
          <w:lang w:val="es-CO"/>
        </w:rPr>
        <w:t>, servicios complementarios que son esenciales.</w:t>
      </w:r>
    </w:p>
    <w:p w14:paraId="471FC1BF" w14:textId="28588AFD" w:rsidR="00A648DC" w:rsidRDefault="00A648DC" w:rsidP="004A12C5">
      <w:pPr>
        <w:pStyle w:val="Prrafodelista"/>
        <w:pBdr>
          <w:top w:val="nil"/>
          <w:left w:val="nil"/>
          <w:bottom w:val="nil"/>
          <w:right w:val="nil"/>
          <w:between w:val="nil"/>
        </w:pBdr>
        <w:spacing w:after="120"/>
        <w:jc w:val="both"/>
        <w:rPr>
          <w:rFonts w:ascii="Arial" w:eastAsia="Arial" w:hAnsi="Arial" w:cs="Arial"/>
          <w:lang w:val="es-CO"/>
        </w:rPr>
      </w:pPr>
    </w:p>
    <w:p w14:paraId="7E9EB820" w14:textId="30979022" w:rsidR="00DF2CB5" w:rsidRDefault="00A648DC" w:rsidP="00DF2CB5">
      <w:pPr>
        <w:pStyle w:val="Prrafodelista"/>
        <w:pBdr>
          <w:top w:val="nil"/>
          <w:left w:val="nil"/>
          <w:bottom w:val="nil"/>
          <w:right w:val="nil"/>
          <w:between w:val="nil"/>
        </w:pBdr>
        <w:spacing w:after="120"/>
        <w:jc w:val="both"/>
        <w:rPr>
          <w:rFonts w:ascii="Arial" w:eastAsia="Arial" w:hAnsi="Arial" w:cs="Arial"/>
          <w:lang w:val="es-CO"/>
        </w:rPr>
      </w:pPr>
      <w:r>
        <w:rPr>
          <w:rFonts w:ascii="Arial" w:eastAsia="Arial" w:hAnsi="Arial" w:cs="Arial"/>
          <w:lang w:val="es-CO"/>
        </w:rPr>
        <w:t xml:space="preserve">Tampoco se ha abordado la coordinación gas/electricidad, elemento esencial para tener en cuenta dentro del análisis. El </w:t>
      </w:r>
      <w:r w:rsidR="00982B24">
        <w:rPr>
          <w:rFonts w:ascii="Arial" w:eastAsia="Arial" w:hAnsi="Arial" w:cs="Arial"/>
          <w:lang w:val="es-CO"/>
        </w:rPr>
        <w:t>C</w:t>
      </w:r>
      <w:r>
        <w:rPr>
          <w:rFonts w:ascii="Arial" w:eastAsia="Arial" w:hAnsi="Arial" w:cs="Arial"/>
          <w:lang w:val="es-CO"/>
        </w:rPr>
        <w:t xml:space="preserve">onsejo ha identificado que las plantas térmicas que utilizan el gas natural como fuente primaria deberán regular la intermitencia de las </w:t>
      </w:r>
      <w:r w:rsidR="00982B24">
        <w:rPr>
          <w:rFonts w:ascii="Arial" w:eastAsia="Arial" w:hAnsi="Arial" w:cs="Arial"/>
          <w:lang w:val="es-CO"/>
        </w:rPr>
        <w:t>FNCER</w:t>
      </w:r>
      <w:r w:rsidR="00BD005D">
        <w:rPr>
          <w:rFonts w:ascii="Arial" w:eastAsia="Arial" w:hAnsi="Arial" w:cs="Arial"/>
          <w:lang w:val="es-CO"/>
        </w:rPr>
        <w:t xml:space="preserve"> variables</w:t>
      </w:r>
      <w:r w:rsidR="00982B24">
        <w:rPr>
          <w:rFonts w:ascii="Arial" w:eastAsia="Arial" w:hAnsi="Arial" w:cs="Arial"/>
          <w:lang w:val="es-CO"/>
        </w:rPr>
        <w:t xml:space="preserve"> </w:t>
      </w:r>
      <w:r>
        <w:rPr>
          <w:rFonts w:ascii="Arial" w:eastAsia="Arial" w:hAnsi="Arial" w:cs="Arial"/>
          <w:lang w:val="es-CO"/>
        </w:rPr>
        <w:t>cuando no se pueda aprovechar la flexibilidad de las plantas hidroeléctricas con embalse del interior del país, ello por restricciones de importación del área Caribe.</w:t>
      </w:r>
    </w:p>
    <w:p w14:paraId="4DF563BB" w14:textId="77777777" w:rsidR="00DF2CB5" w:rsidRPr="00DF2CB5" w:rsidRDefault="00DF2CB5" w:rsidP="00DF2CB5">
      <w:pPr>
        <w:pStyle w:val="Prrafodelista"/>
        <w:pBdr>
          <w:top w:val="nil"/>
          <w:left w:val="nil"/>
          <w:bottom w:val="nil"/>
          <w:right w:val="nil"/>
          <w:between w:val="nil"/>
        </w:pBdr>
        <w:spacing w:after="120"/>
        <w:jc w:val="both"/>
        <w:rPr>
          <w:rFonts w:ascii="Arial" w:eastAsia="Arial" w:hAnsi="Arial" w:cs="Arial"/>
          <w:lang w:val="es-CO"/>
        </w:rPr>
      </w:pPr>
    </w:p>
    <w:p w14:paraId="18BFB457" w14:textId="24261252" w:rsidR="00CC50D9" w:rsidRDefault="00BF6929" w:rsidP="00CC50D9">
      <w:pPr>
        <w:pStyle w:val="Prrafodelista"/>
        <w:numPr>
          <w:ilvl w:val="0"/>
          <w:numId w:val="11"/>
        </w:numPr>
        <w:pBdr>
          <w:top w:val="nil"/>
          <w:left w:val="nil"/>
          <w:bottom w:val="nil"/>
          <w:right w:val="nil"/>
          <w:between w:val="nil"/>
        </w:pBdr>
        <w:spacing w:after="120"/>
        <w:jc w:val="both"/>
        <w:rPr>
          <w:rFonts w:ascii="Arial" w:eastAsia="Arial" w:hAnsi="Arial" w:cs="Arial"/>
          <w:lang w:val="es-CO"/>
        </w:rPr>
      </w:pPr>
      <w:r>
        <w:rPr>
          <w:rFonts w:ascii="Arial" w:eastAsia="Arial" w:hAnsi="Arial" w:cs="Arial"/>
          <w:lang w:val="es-CO"/>
        </w:rPr>
        <w:t>S</w:t>
      </w:r>
      <w:r w:rsidR="00C6361F">
        <w:rPr>
          <w:rFonts w:ascii="Arial" w:eastAsia="Arial" w:hAnsi="Arial" w:cs="Arial"/>
          <w:lang w:val="es-CO"/>
        </w:rPr>
        <w:t>e deben</w:t>
      </w:r>
      <w:r>
        <w:rPr>
          <w:rFonts w:ascii="Arial" w:eastAsia="Arial" w:hAnsi="Arial" w:cs="Arial"/>
          <w:lang w:val="es-CO"/>
        </w:rPr>
        <w:t xml:space="preserve"> revisar los escenarios planteados</w:t>
      </w:r>
      <w:r w:rsidR="00797E41">
        <w:rPr>
          <w:rFonts w:ascii="Arial" w:eastAsia="Arial" w:hAnsi="Arial" w:cs="Arial"/>
          <w:lang w:val="es-CO"/>
        </w:rPr>
        <w:t xml:space="preserve"> </w:t>
      </w:r>
      <w:r>
        <w:rPr>
          <w:rFonts w:ascii="Arial" w:eastAsia="Arial" w:hAnsi="Arial" w:cs="Arial"/>
          <w:lang w:val="es-CO"/>
        </w:rPr>
        <w:t xml:space="preserve">respecto a la proyección de crecimiento de la demanda nacional. </w:t>
      </w:r>
      <w:r w:rsidR="00F00E08">
        <w:rPr>
          <w:rFonts w:ascii="Arial" w:eastAsia="Arial" w:hAnsi="Arial" w:cs="Arial"/>
          <w:lang w:val="es-CO"/>
        </w:rPr>
        <w:t>L</w:t>
      </w:r>
      <w:r>
        <w:rPr>
          <w:rFonts w:ascii="Arial" w:eastAsia="Arial" w:hAnsi="Arial" w:cs="Arial"/>
          <w:lang w:val="es-CO"/>
        </w:rPr>
        <w:t xml:space="preserve">a UPME </w:t>
      </w:r>
      <w:r w:rsidR="00CC50D9">
        <w:rPr>
          <w:rFonts w:ascii="Arial" w:eastAsia="Arial" w:hAnsi="Arial" w:cs="Arial"/>
          <w:lang w:val="es-CO"/>
        </w:rPr>
        <w:t>considera</w:t>
      </w:r>
      <w:r>
        <w:rPr>
          <w:rFonts w:ascii="Arial" w:eastAsia="Arial" w:hAnsi="Arial" w:cs="Arial"/>
          <w:lang w:val="es-CO"/>
        </w:rPr>
        <w:t xml:space="preserve"> en sus pro</w:t>
      </w:r>
      <w:r w:rsidR="00797E41">
        <w:rPr>
          <w:rFonts w:ascii="Arial" w:eastAsia="Arial" w:hAnsi="Arial" w:cs="Arial"/>
          <w:lang w:val="es-CO"/>
        </w:rPr>
        <w:t>nósticos</w:t>
      </w:r>
      <w:r>
        <w:rPr>
          <w:rFonts w:ascii="Arial" w:eastAsia="Arial" w:hAnsi="Arial" w:cs="Arial"/>
          <w:lang w:val="es-CO"/>
        </w:rPr>
        <w:t xml:space="preserve"> la generación distribuida</w:t>
      </w:r>
      <w:r w:rsidR="00C6361F">
        <w:rPr>
          <w:rFonts w:ascii="Arial" w:eastAsia="Arial" w:hAnsi="Arial" w:cs="Arial"/>
          <w:lang w:val="es-CO"/>
        </w:rPr>
        <w:t>, razón por la cual la demanda del SIN</w:t>
      </w:r>
      <w:r w:rsidR="00BD005D">
        <w:rPr>
          <w:rFonts w:ascii="Arial" w:eastAsia="Arial" w:hAnsi="Arial" w:cs="Arial"/>
          <w:lang w:val="es-CO"/>
        </w:rPr>
        <w:t xml:space="preserve"> en el estudio del consultor</w:t>
      </w:r>
      <w:r w:rsidR="00C6361F">
        <w:rPr>
          <w:rFonts w:ascii="Arial" w:eastAsia="Arial" w:hAnsi="Arial" w:cs="Arial"/>
          <w:lang w:val="es-CO"/>
        </w:rPr>
        <w:t xml:space="preserve"> </w:t>
      </w:r>
      <w:r w:rsidR="005A6BD3">
        <w:rPr>
          <w:rFonts w:ascii="Arial" w:eastAsia="Arial" w:hAnsi="Arial" w:cs="Arial"/>
          <w:lang w:val="es-CO"/>
        </w:rPr>
        <w:t>podría ser</w:t>
      </w:r>
      <w:r w:rsidR="00C6361F">
        <w:rPr>
          <w:rFonts w:ascii="Arial" w:eastAsia="Arial" w:hAnsi="Arial" w:cs="Arial"/>
          <w:lang w:val="es-CO"/>
        </w:rPr>
        <w:t xml:space="preserve"> menor</w:t>
      </w:r>
      <w:r w:rsidR="005A6BD3">
        <w:rPr>
          <w:rFonts w:ascii="Arial" w:eastAsia="Arial" w:hAnsi="Arial" w:cs="Arial"/>
          <w:lang w:val="es-CO"/>
        </w:rPr>
        <w:t xml:space="preserve"> (sugerimos revisar)</w:t>
      </w:r>
      <w:r w:rsidR="00C6361F">
        <w:rPr>
          <w:rFonts w:ascii="Arial" w:eastAsia="Arial" w:hAnsi="Arial" w:cs="Arial"/>
          <w:lang w:val="es-CO"/>
        </w:rPr>
        <w:t>. Asimismo,</w:t>
      </w:r>
      <w:r w:rsidR="00CC50D9">
        <w:rPr>
          <w:rFonts w:ascii="Arial" w:eastAsia="Arial" w:hAnsi="Arial" w:cs="Arial"/>
          <w:lang w:val="es-CO"/>
        </w:rPr>
        <w:t xml:space="preserve"> para el escenario de demanda con la inclusión de los recursos energéticos distribuidos, recomendamos</w:t>
      </w:r>
      <w:r w:rsidR="00C6361F">
        <w:rPr>
          <w:rFonts w:ascii="Arial" w:eastAsia="Arial" w:hAnsi="Arial" w:cs="Arial"/>
          <w:lang w:val="es-CO"/>
        </w:rPr>
        <w:t xml:space="preserve"> tener en cuenta las observaciones hechas al doc</w:t>
      </w:r>
      <w:r w:rsidR="00CC50D9">
        <w:rPr>
          <w:rFonts w:ascii="Arial" w:eastAsia="Arial" w:hAnsi="Arial" w:cs="Arial"/>
          <w:lang w:val="es-CO"/>
        </w:rPr>
        <w:t>umento “</w:t>
      </w:r>
      <w:r w:rsidR="00CC50D9" w:rsidRPr="00CC50D9">
        <w:rPr>
          <w:rFonts w:ascii="Arial" w:eastAsia="Arial" w:hAnsi="Arial" w:cs="Arial"/>
          <w:i/>
          <w:lang w:val="es-CO"/>
        </w:rPr>
        <w:t>Estudio para el Diseño de Indicadores de Seguimiento y Evaluación de la Integración de la Autogeneración y la Generación Distribuida en el Sistema Interconectado Nacional</w:t>
      </w:r>
      <w:r w:rsidR="00CC50D9" w:rsidRPr="00CC50D9">
        <w:rPr>
          <w:rFonts w:ascii="Arial" w:eastAsia="Arial" w:hAnsi="Arial" w:cs="Arial"/>
          <w:lang w:val="es-CO"/>
        </w:rPr>
        <w:t>”</w:t>
      </w:r>
    </w:p>
    <w:p w14:paraId="039A0A9B" w14:textId="77777777" w:rsidR="00CC50D9" w:rsidRDefault="00CC50D9" w:rsidP="00CC50D9">
      <w:pPr>
        <w:pStyle w:val="Prrafodelista"/>
        <w:pBdr>
          <w:top w:val="nil"/>
          <w:left w:val="nil"/>
          <w:bottom w:val="nil"/>
          <w:right w:val="nil"/>
          <w:between w:val="nil"/>
        </w:pBdr>
        <w:spacing w:after="120"/>
        <w:jc w:val="both"/>
        <w:rPr>
          <w:rFonts w:ascii="Arial" w:eastAsia="Arial" w:hAnsi="Arial" w:cs="Arial"/>
          <w:lang w:val="es-CO"/>
        </w:rPr>
      </w:pPr>
    </w:p>
    <w:p w14:paraId="51AC77F3" w14:textId="21F52D8F" w:rsidR="00CC50D9" w:rsidRDefault="00CC50D9" w:rsidP="00322119">
      <w:pPr>
        <w:pStyle w:val="Prrafodelista"/>
        <w:pBdr>
          <w:top w:val="nil"/>
          <w:left w:val="nil"/>
          <w:bottom w:val="nil"/>
          <w:right w:val="nil"/>
          <w:between w:val="nil"/>
        </w:pBdr>
        <w:spacing w:after="120"/>
        <w:jc w:val="both"/>
        <w:rPr>
          <w:rFonts w:ascii="Arial" w:eastAsia="Arial" w:hAnsi="Arial" w:cs="Arial"/>
          <w:lang w:val="es-CO"/>
        </w:rPr>
      </w:pPr>
      <w:r>
        <w:rPr>
          <w:rFonts w:ascii="Arial" w:eastAsia="Arial" w:hAnsi="Arial" w:cs="Arial"/>
          <w:lang w:val="es-CO"/>
        </w:rPr>
        <w:t xml:space="preserve">Por otro lado, desde el punto de vista eléctrico, cuando se tiene una participación instantánea de </w:t>
      </w:r>
      <w:r w:rsidR="00982B24">
        <w:rPr>
          <w:rFonts w:ascii="Arial" w:eastAsia="Arial" w:hAnsi="Arial" w:cs="Arial"/>
          <w:lang w:val="es-CO"/>
        </w:rPr>
        <w:t>FNCER</w:t>
      </w:r>
      <w:r w:rsidR="00BD005D">
        <w:rPr>
          <w:rFonts w:ascii="Arial" w:eastAsia="Arial" w:hAnsi="Arial" w:cs="Arial"/>
          <w:lang w:val="es-CO"/>
        </w:rPr>
        <w:t xml:space="preserve"> variables</w:t>
      </w:r>
      <w:r w:rsidR="00982B24">
        <w:rPr>
          <w:rFonts w:ascii="Arial" w:eastAsia="Arial" w:hAnsi="Arial" w:cs="Arial"/>
          <w:lang w:val="es-CO"/>
        </w:rPr>
        <w:t xml:space="preserve"> </w:t>
      </w:r>
      <w:r>
        <w:rPr>
          <w:rFonts w:ascii="Arial" w:eastAsia="Arial" w:hAnsi="Arial" w:cs="Arial"/>
          <w:lang w:val="es-CO"/>
        </w:rPr>
        <w:t>y mínima demanda, se observan las máximas exclusiones de frecuencia ante eventos de perdida de generación síncrona convencional</w:t>
      </w:r>
      <w:r w:rsidR="00982B24">
        <w:rPr>
          <w:rFonts w:ascii="Arial" w:eastAsia="Arial" w:hAnsi="Arial" w:cs="Arial"/>
          <w:lang w:val="es-CO"/>
        </w:rPr>
        <w:t xml:space="preserve">, en las que </w:t>
      </w:r>
      <w:r>
        <w:rPr>
          <w:rFonts w:ascii="Arial" w:eastAsia="Arial" w:hAnsi="Arial" w:cs="Arial"/>
          <w:lang w:val="es-CO"/>
        </w:rPr>
        <w:t>la participación de las fuentes intermitentes es alta en dichos instantes</w:t>
      </w:r>
      <w:r w:rsidR="00662F4E">
        <w:rPr>
          <w:rFonts w:ascii="Arial" w:eastAsia="Arial" w:hAnsi="Arial" w:cs="Arial"/>
          <w:lang w:val="es-CO"/>
        </w:rPr>
        <w:t xml:space="preserve"> y </w:t>
      </w:r>
      <w:r>
        <w:rPr>
          <w:rFonts w:ascii="Arial" w:eastAsia="Arial" w:hAnsi="Arial" w:cs="Arial"/>
          <w:lang w:val="es-CO"/>
        </w:rPr>
        <w:t>los requerimientos de inercia son importantes. En este sentido</w:t>
      </w:r>
      <w:r w:rsidR="00322119">
        <w:rPr>
          <w:rFonts w:ascii="Arial" w:eastAsia="Arial" w:hAnsi="Arial" w:cs="Arial"/>
          <w:lang w:val="es-CO"/>
        </w:rPr>
        <w:t>,</w:t>
      </w:r>
      <w:r>
        <w:rPr>
          <w:rFonts w:ascii="Arial" w:eastAsia="Arial" w:hAnsi="Arial" w:cs="Arial"/>
          <w:lang w:val="es-CO"/>
        </w:rPr>
        <w:t xml:space="preserve"> sugerimos plantear un escenario</w:t>
      </w:r>
      <w:r w:rsidR="00322119">
        <w:rPr>
          <w:rFonts w:ascii="Arial" w:eastAsia="Arial" w:hAnsi="Arial" w:cs="Arial"/>
          <w:lang w:val="es-CO"/>
        </w:rPr>
        <w:t xml:space="preserve"> en el mediano y largo plazo, </w:t>
      </w:r>
      <w:r>
        <w:rPr>
          <w:rFonts w:ascii="Arial" w:eastAsia="Arial" w:hAnsi="Arial" w:cs="Arial"/>
          <w:lang w:val="es-CO"/>
        </w:rPr>
        <w:t xml:space="preserve">contemplando la </w:t>
      </w:r>
      <w:r>
        <w:rPr>
          <w:rFonts w:ascii="Arial" w:eastAsia="Arial" w:hAnsi="Arial" w:cs="Arial"/>
          <w:lang w:val="es-CO"/>
        </w:rPr>
        <w:lastRenderedPageBreak/>
        <w:t>máxima p</w:t>
      </w:r>
      <w:r w:rsidR="00322119">
        <w:rPr>
          <w:rFonts w:ascii="Arial" w:eastAsia="Arial" w:hAnsi="Arial" w:cs="Arial"/>
          <w:lang w:val="es-CO"/>
        </w:rPr>
        <w:t>articipación</w:t>
      </w:r>
      <w:r>
        <w:rPr>
          <w:rFonts w:ascii="Arial" w:eastAsia="Arial" w:hAnsi="Arial" w:cs="Arial"/>
          <w:lang w:val="es-CO"/>
        </w:rPr>
        <w:t xml:space="preserve"> de </w:t>
      </w:r>
      <w:r w:rsidR="00322119">
        <w:rPr>
          <w:rFonts w:ascii="Arial" w:eastAsia="Arial" w:hAnsi="Arial" w:cs="Arial"/>
          <w:lang w:val="es-CO"/>
        </w:rPr>
        <w:t xml:space="preserve">plantas eólicas y solares fotovoltaicas y un crecimiento de la demanda bajo, con </w:t>
      </w:r>
      <w:r w:rsidR="00662F4E">
        <w:rPr>
          <w:rFonts w:ascii="Arial" w:eastAsia="Arial" w:hAnsi="Arial" w:cs="Arial"/>
          <w:lang w:val="es-CO"/>
        </w:rPr>
        <w:t xml:space="preserve">la </w:t>
      </w:r>
      <w:r w:rsidR="00322119">
        <w:rPr>
          <w:rFonts w:ascii="Arial" w:eastAsia="Arial" w:hAnsi="Arial" w:cs="Arial"/>
          <w:lang w:val="es-CO"/>
        </w:rPr>
        <w:t>inclusión de recursos energéticos distribuidos.</w:t>
      </w:r>
      <w:r>
        <w:rPr>
          <w:rFonts w:ascii="Arial" w:eastAsia="Arial" w:hAnsi="Arial" w:cs="Arial"/>
          <w:lang w:val="es-CO"/>
        </w:rPr>
        <w:t xml:space="preserve">   </w:t>
      </w:r>
    </w:p>
    <w:p w14:paraId="79F4585F" w14:textId="2DEF3F81" w:rsidR="00322119" w:rsidRDefault="00322119" w:rsidP="00322119">
      <w:pPr>
        <w:pStyle w:val="Prrafodelista"/>
        <w:pBdr>
          <w:top w:val="nil"/>
          <w:left w:val="nil"/>
          <w:bottom w:val="nil"/>
          <w:right w:val="nil"/>
          <w:between w:val="nil"/>
        </w:pBdr>
        <w:spacing w:after="120"/>
        <w:jc w:val="both"/>
        <w:rPr>
          <w:rFonts w:ascii="Arial" w:eastAsia="Arial" w:hAnsi="Arial" w:cs="Arial"/>
          <w:lang w:val="es-CO"/>
        </w:rPr>
      </w:pPr>
    </w:p>
    <w:p w14:paraId="4A227B5D" w14:textId="2FE28668" w:rsidR="00662F4E" w:rsidRDefault="00662F4E" w:rsidP="00322119">
      <w:pPr>
        <w:pStyle w:val="Prrafodelista"/>
        <w:pBdr>
          <w:top w:val="nil"/>
          <w:left w:val="nil"/>
          <w:bottom w:val="nil"/>
          <w:right w:val="nil"/>
          <w:between w:val="nil"/>
        </w:pBdr>
        <w:spacing w:after="120"/>
        <w:jc w:val="both"/>
        <w:rPr>
          <w:rFonts w:ascii="Arial" w:eastAsia="Arial" w:hAnsi="Arial" w:cs="Arial"/>
          <w:lang w:val="es-CO"/>
        </w:rPr>
      </w:pPr>
      <w:r>
        <w:rPr>
          <w:rFonts w:ascii="Arial" w:eastAsia="Arial" w:hAnsi="Arial" w:cs="Arial"/>
          <w:lang w:val="es-CO"/>
        </w:rPr>
        <w:t>T</w:t>
      </w:r>
      <w:r w:rsidR="00322119">
        <w:rPr>
          <w:rFonts w:ascii="Arial" w:eastAsia="Arial" w:hAnsi="Arial" w:cs="Arial"/>
          <w:lang w:val="es-CO"/>
        </w:rPr>
        <w:t xml:space="preserve">ambién se debe evaluar un caso </w:t>
      </w:r>
      <w:r w:rsidR="0039483F">
        <w:rPr>
          <w:rFonts w:ascii="Arial" w:eastAsia="Arial" w:hAnsi="Arial" w:cs="Arial"/>
          <w:lang w:val="es-CO"/>
        </w:rPr>
        <w:t xml:space="preserve">en el que </w:t>
      </w:r>
      <w:r w:rsidR="00322119">
        <w:rPr>
          <w:rFonts w:ascii="Arial" w:eastAsia="Arial" w:hAnsi="Arial" w:cs="Arial"/>
          <w:lang w:val="es-CO"/>
        </w:rPr>
        <w:t>la expansión se haga exclusivamente con</w:t>
      </w:r>
      <w:r w:rsidR="0039483F">
        <w:rPr>
          <w:rFonts w:ascii="Arial" w:eastAsia="Arial" w:hAnsi="Arial" w:cs="Arial"/>
          <w:lang w:val="es-CO"/>
        </w:rPr>
        <w:t xml:space="preserve"> FNCER</w:t>
      </w:r>
      <w:r w:rsidR="00BD005D">
        <w:rPr>
          <w:rFonts w:ascii="Arial" w:eastAsia="Arial" w:hAnsi="Arial" w:cs="Arial"/>
          <w:lang w:val="es-CO"/>
        </w:rPr>
        <w:t xml:space="preserve"> variables</w:t>
      </w:r>
      <w:r w:rsidR="00322119">
        <w:rPr>
          <w:rFonts w:ascii="Arial" w:eastAsia="Arial" w:hAnsi="Arial" w:cs="Arial"/>
          <w:lang w:val="es-CO"/>
        </w:rPr>
        <w:t>, la demanda evolucione como l</w:t>
      </w:r>
      <w:r w:rsidR="00F00679">
        <w:rPr>
          <w:rFonts w:ascii="Arial" w:eastAsia="Arial" w:hAnsi="Arial" w:cs="Arial"/>
          <w:lang w:val="es-CO"/>
        </w:rPr>
        <w:t>o</w:t>
      </w:r>
      <w:r w:rsidR="00322119">
        <w:rPr>
          <w:rFonts w:ascii="Arial" w:eastAsia="Arial" w:hAnsi="Arial" w:cs="Arial"/>
          <w:lang w:val="es-CO"/>
        </w:rPr>
        <w:t xml:space="preserve"> prevé la Unidad en su escenario alto, no </w:t>
      </w:r>
      <w:r w:rsidR="00F00679">
        <w:rPr>
          <w:rFonts w:ascii="Arial" w:eastAsia="Arial" w:hAnsi="Arial" w:cs="Arial"/>
          <w:lang w:val="es-CO"/>
        </w:rPr>
        <w:t xml:space="preserve">entre en operación </w:t>
      </w:r>
      <w:r w:rsidR="00322119">
        <w:rPr>
          <w:rFonts w:ascii="Arial" w:eastAsia="Arial" w:hAnsi="Arial" w:cs="Arial"/>
          <w:lang w:val="es-CO"/>
        </w:rPr>
        <w:t>Ituango y no se contemple a los recursos energéticos distribuidos. Bajo este panorama</w:t>
      </w:r>
      <w:r w:rsidR="0039483F">
        <w:rPr>
          <w:rFonts w:ascii="Arial" w:eastAsia="Arial" w:hAnsi="Arial" w:cs="Arial"/>
          <w:lang w:val="es-CO"/>
        </w:rPr>
        <w:t>,</w:t>
      </w:r>
      <w:r w:rsidR="00322119">
        <w:rPr>
          <w:rFonts w:ascii="Arial" w:eastAsia="Arial" w:hAnsi="Arial" w:cs="Arial"/>
          <w:lang w:val="es-CO"/>
        </w:rPr>
        <w:t xml:space="preserve"> seguramente la participación de las plantas eólicas y solares fotovoltaicas sería alta</w:t>
      </w:r>
      <w:r>
        <w:rPr>
          <w:rFonts w:ascii="Arial" w:eastAsia="Arial" w:hAnsi="Arial" w:cs="Arial"/>
          <w:lang w:val="es-CO"/>
        </w:rPr>
        <w:t>, motivo por la cual se deben determinar los requerimientos de flexibilidad y reserva, asumiendo una correcta modelación.</w:t>
      </w:r>
    </w:p>
    <w:p w14:paraId="5FC1FF53" w14:textId="77777777" w:rsidR="00662F4E" w:rsidRDefault="00662F4E" w:rsidP="00322119">
      <w:pPr>
        <w:pStyle w:val="Prrafodelista"/>
        <w:pBdr>
          <w:top w:val="nil"/>
          <w:left w:val="nil"/>
          <w:bottom w:val="nil"/>
          <w:right w:val="nil"/>
          <w:between w:val="nil"/>
        </w:pBdr>
        <w:spacing w:after="120"/>
        <w:jc w:val="both"/>
        <w:rPr>
          <w:rFonts w:ascii="Arial" w:eastAsia="Arial" w:hAnsi="Arial" w:cs="Arial"/>
          <w:lang w:val="es-CO"/>
        </w:rPr>
      </w:pPr>
    </w:p>
    <w:p w14:paraId="4E640F9B" w14:textId="362C7019" w:rsidR="00322119" w:rsidRPr="00CC50D9" w:rsidRDefault="00662F4E" w:rsidP="00322119">
      <w:pPr>
        <w:pStyle w:val="Prrafodelista"/>
        <w:pBdr>
          <w:top w:val="nil"/>
          <w:left w:val="nil"/>
          <w:bottom w:val="nil"/>
          <w:right w:val="nil"/>
          <w:between w:val="nil"/>
        </w:pBdr>
        <w:spacing w:after="120"/>
        <w:jc w:val="both"/>
        <w:rPr>
          <w:rFonts w:ascii="Arial" w:eastAsia="Arial" w:hAnsi="Arial" w:cs="Arial"/>
          <w:lang w:val="es-CO"/>
        </w:rPr>
      </w:pPr>
      <w:r>
        <w:rPr>
          <w:rFonts w:ascii="Arial" w:eastAsia="Arial" w:hAnsi="Arial" w:cs="Arial"/>
          <w:lang w:val="es-CO"/>
        </w:rPr>
        <w:t xml:space="preserve">Finalmente, </w:t>
      </w:r>
      <w:r w:rsidR="0039483F">
        <w:rPr>
          <w:rFonts w:ascii="Arial" w:eastAsia="Arial" w:hAnsi="Arial" w:cs="Arial"/>
          <w:lang w:val="es-CO"/>
        </w:rPr>
        <w:t>reiteramos la solicitud hecha de</w:t>
      </w:r>
      <w:r>
        <w:rPr>
          <w:rFonts w:ascii="Arial" w:eastAsia="Arial" w:hAnsi="Arial" w:cs="Arial"/>
          <w:lang w:val="es-CO"/>
        </w:rPr>
        <w:t xml:space="preserve"> construir los escenarios de manera conjunta con la CREG, XM, la UPME y el CNO.</w:t>
      </w:r>
      <w:r w:rsidR="00322119">
        <w:rPr>
          <w:rFonts w:ascii="Arial" w:eastAsia="Arial" w:hAnsi="Arial" w:cs="Arial"/>
          <w:lang w:val="es-CO"/>
        </w:rPr>
        <w:t xml:space="preserve"> </w:t>
      </w:r>
    </w:p>
    <w:p w14:paraId="467FFD0D" w14:textId="77777777" w:rsidR="00BF6929" w:rsidRDefault="00BF6929" w:rsidP="00BF6929">
      <w:pPr>
        <w:pStyle w:val="Prrafodelista"/>
        <w:pBdr>
          <w:top w:val="nil"/>
          <w:left w:val="nil"/>
          <w:bottom w:val="nil"/>
          <w:right w:val="nil"/>
          <w:between w:val="nil"/>
        </w:pBdr>
        <w:spacing w:after="120"/>
        <w:jc w:val="both"/>
        <w:rPr>
          <w:rFonts w:ascii="Arial" w:eastAsia="Arial" w:hAnsi="Arial" w:cs="Arial"/>
          <w:lang w:val="es-CO"/>
        </w:rPr>
      </w:pPr>
    </w:p>
    <w:p w14:paraId="1A33B3D9" w14:textId="1EF24BD7" w:rsidR="001D405B" w:rsidRDefault="00662F4E" w:rsidP="001D405B">
      <w:pPr>
        <w:pStyle w:val="Prrafodelista"/>
        <w:numPr>
          <w:ilvl w:val="0"/>
          <w:numId w:val="11"/>
        </w:numPr>
        <w:pBdr>
          <w:top w:val="nil"/>
          <w:left w:val="nil"/>
          <w:bottom w:val="nil"/>
          <w:right w:val="nil"/>
          <w:between w:val="nil"/>
        </w:pBdr>
        <w:spacing w:after="120"/>
        <w:jc w:val="both"/>
        <w:rPr>
          <w:rFonts w:ascii="Arial" w:eastAsia="Arial" w:hAnsi="Arial" w:cs="Arial"/>
          <w:lang w:val="es-CO"/>
        </w:rPr>
      </w:pPr>
      <w:r>
        <w:rPr>
          <w:rFonts w:ascii="Arial" w:eastAsia="Arial" w:hAnsi="Arial" w:cs="Arial"/>
          <w:lang w:val="es-CO"/>
        </w:rPr>
        <w:t>La consultoría estableció, sin la modelación detallada del parque térmico, los requerimientos de reserva por error de pronóstico, pero no ha evaluado</w:t>
      </w:r>
      <w:r w:rsidR="005A6BD3">
        <w:rPr>
          <w:rFonts w:ascii="Arial" w:eastAsia="Arial" w:hAnsi="Arial" w:cs="Arial"/>
          <w:lang w:val="es-CO"/>
        </w:rPr>
        <w:t xml:space="preserve"> en detalle</w:t>
      </w:r>
      <w:r>
        <w:rPr>
          <w:rFonts w:ascii="Arial" w:eastAsia="Arial" w:hAnsi="Arial" w:cs="Arial"/>
          <w:lang w:val="es-CO"/>
        </w:rPr>
        <w:t xml:space="preserve"> las necesidades para regulación primaria y secundaria de frecuencia, ni ha dimensionado, como se dijo anteriormente, las necesidades de inercia en función de los porcentajes de penetración de </w:t>
      </w:r>
      <w:r w:rsidR="006135B2">
        <w:rPr>
          <w:rFonts w:ascii="Arial" w:eastAsia="Arial" w:hAnsi="Arial" w:cs="Arial"/>
          <w:lang w:val="es-CO"/>
        </w:rPr>
        <w:t xml:space="preserve">las </w:t>
      </w:r>
      <w:r w:rsidR="0039483F">
        <w:rPr>
          <w:rFonts w:ascii="Arial" w:eastAsia="Arial" w:hAnsi="Arial" w:cs="Arial"/>
          <w:lang w:val="es-CO"/>
        </w:rPr>
        <w:t>FNCER</w:t>
      </w:r>
      <w:r w:rsidR="008B76BA">
        <w:rPr>
          <w:rFonts w:ascii="Arial" w:eastAsia="Arial" w:hAnsi="Arial" w:cs="Arial"/>
          <w:lang w:val="es-CO"/>
        </w:rPr>
        <w:t xml:space="preserve"> variables</w:t>
      </w:r>
      <w:r w:rsidR="00F00679">
        <w:rPr>
          <w:rFonts w:ascii="Arial" w:eastAsia="Arial" w:hAnsi="Arial" w:cs="Arial"/>
          <w:lang w:val="es-CO"/>
        </w:rPr>
        <w:t xml:space="preserve">, </w:t>
      </w:r>
      <w:r w:rsidR="003A3575">
        <w:rPr>
          <w:rFonts w:ascii="Arial" w:eastAsia="Arial" w:hAnsi="Arial" w:cs="Arial"/>
          <w:lang w:val="es-CO"/>
        </w:rPr>
        <w:t xml:space="preserve">cálculos que </w:t>
      </w:r>
      <w:r w:rsidR="00F00679">
        <w:rPr>
          <w:rFonts w:ascii="Arial" w:eastAsia="Arial" w:hAnsi="Arial" w:cs="Arial"/>
          <w:lang w:val="es-CO"/>
        </w:rPr>
        <w:t>requieren</w:t>
      </w:r>
      <w:r w:rsidR="003A3575">
        <w:rPr>
          <w:rFonts w:ascii="Arial" w:eastAsia="Arial" w:hAnsi="Arial" w:cs="Arial"/>
          <w:lang w:val="es-CO"/>
        </w:rPr>
        <w:t xml:space="preserve"> de simulaciones eléctricas dinámicas. Es claro que las reservas operativas tienen diferentes naturalezas (reserva reguladora, reserva para contingencias, reservas para rampa y reserva para seguimiento a la demanda) y ninguna de ellas se ha estudiado</w:t>
      </w:r>
      <w:r w:rsidR="00797E41">
        <w:rPr>
          <w:rFonts w:ascii="Arial" w:eastAsia="Arial" w:hAnsi="Arial" w:cs="Arial"/>
          <w:lang w:val="es-CO"/>
        </w:rPr>
        <w:t xml:space="preserve"> detalladamente</w:t>
      </w:r>
      <w:r w:rsidR="003A3575">
        <w:rPr>
          <w:rFonts w:ascii="Arial" w:eastAsia="Arial" w:hAnsi="Arial" w:cs="Arial"/>
          <w:lang w:val="es-CO"/>
        </w:rPr>
        <w:t>.</w:t>
      </w:r>
    </w:p>
    <w:p w14:paraId="21002DC8" w14:textId="1EE91BEA" w:rsidR="00BD2DBE" w:rsidRDefault="00BD2DBE" w:rsidP="00BD2DBE">
      <w:pPr>
        <w:pStyle w:val="Prrafodelista"/>
        <w:pBdr>
          <w:top w:val="nil"/>
          <w:left w:val="nil"/>
          <w:bottom w:val="nil"/>
          <w:right w:val="nil"/>
          <w:between w:val="nil"/>
        </w:pBdr>
        <w:spacing w:after="120"/>
        <w:jc w:val="both"/>
        <w:rPr>
          <w:rFonts w:ascii="Arial" w:eastAsia="Arial" w:hAnsi="Arial" w:cs="Arial"/>
          <w:lang w:val="es-CO"/>
        </w:rPr>
      </w:pPr>
    </w:p>
    <w:p w14:paraId="6FE093B5" w14:textId="103A2BD6" w:rsidR="00BD2DBE" w:rsidRPr="00F00E08" w:rsidRDefault="005A6BD3" w:rsidP="005C36B8">
      <w:pPr>
        <w:pStyle w:val="Prrafodelista"/>
        <w:pBdr>
          <w:top w:val="nil"/>
          <w:left w:val="nil"/>
          <w:bottom w:val="nil"/>
          <w:right w:val="nil"/>
          <w:between w:val="nil"/>
        </w:pBdr>
        <w:spacing w:after="120"/>
        <w:jc w:val="both"/>
        <w:rPr>
          <w:rFonts w:ascii="Arial" w:eastAsia="Arial" w:hAnsi="Arial" w:cs="Arial"/>
          <w:lang w:val="es-CO"/>
        </w:rPr>
      </w:pPr>
      <w:r w:rsidRPr="00F00E08">
        <w:rPr>
          <w:rFonts w:ascii="Arial" w:eastAsia="Arial" w:hAnsi="Arial" w:cs="Arial"/>
          <w:lang w:val="es-CO"/>
        </w:rPr>
        <w:t xml:space="preserve">En el caso de los requerimientos de reserva para la regulación primaria de frecuencia, se entiende del documento que </w:t>
      </w:r>
      <w:r w:rsidR="00BD2DBE" w:rsidRPr="00F00E08">
        <w:rPr>
          <w:rFonts w:ascii="Arial" w:eastAsia="Arial" w:hAnsi="Arial" w:cs="Arial"/>
          <w:lang w:val="es-CO"/>
        </w:rPr>
        <w:t>se descontó el 3 % de la CEN para todas las unidades de generación</w:t>
      </w:r>
      <w:r w:rsidR="00562F7A">
        <w:rPr>
          <w:rFonts w:ascii="Arial" w:eastAsia="Arial" w:hAnsi="Arial" w:cs="Arial"/>
          <w:lang w:val="es-CO"/>
        </w:rPr>
        <w:t>,</w:t>
      </w:r>
      <w:r w:rsidR="00BD2DBE" w:rsidRPr="00F00E08">
        <w:rPr>
          <w:rFonts w:ascii="Arial" w:eastAsia="Arial" w:hAnsi="Arial" w:cs="Arial"/>
          <w:lang w:val="es-CO"/>
        </w:rPr>
        <w:t xml:space="preserve"> y dicha potencia agregada, en función de la matriz eléctrica bajo estudio, es la reserva para </w:t>
      </w:r>
      <w:r w:rsidRPr="00F00E08">
        <w:rPr>
          <w:rFonts w:ascii="Arial" w:eastAsia="Arial" w:hAnsi="Arial" w:cs="Arial"/>
          <w:lang w:val="es-CO"/>
        </w:rPr>
        <w:t xml:space="preserve">dicha instancia de regulación. ¿Es correcto nuestro entendimiento? Si es así, lo anterior quiere decir que la consultoría no </w:t>
      </w:r>
      <w:r w:rsidR="00BD2DBE" w:rsidRPr="00F00E08">
        <w:rPr>
          <w:rFonts w:ascii="Arial" w:eastAsia="Arial" w:hAnsi="Arial" w:cs="Arial"/>
          <w:lang w:val="es-CO"/>
        </w:rPr>
        <w:t>analizó este criterio</w:t>
      </w:r>
      <w:r w:rsidRPr="00F00E08">
        <w:rPr>
          <w:rFonts w:ascii="Arial" w:eastAsia="Arial" w:hAnsi="Arial" w:cs="Arial"/>
          <w:lang w:val="es-CO"/>
        </w:rPr>
        <w:t>, n</w:t>
      </w:r>
      <w:r w:rsidR="005C36B8" w:rsidRPr="00F00E08">
        <w:rPr>
          <w:rFonts w:ascii="Arial" w:eastAsia="Arial" w:hAnsi="Arial" w:cs="Arial"/>
          <w:lang w:val="es-CO"/>
        </w:rPr>
        <w:t>o</w:t>
      </w:r>
      <w:r w:rsidR="00BD2DBE" w:rsidRPr="00F00E08">
        <w:rPr>
          <w:rFonts w:ascii="Arial" w:eastAsia="Arial" w:hAnsi="Arial" w:cs="Arial"/>
          <w:lang w:val="es-CO"/>
        </w:rPr>
        <w:t xml:space="preserve"> lo validó con simulaciones eléctricas</w:t>
      </w:r>
      <w:r w:rsidR="005C36B8" w:rsidRPr="00F00E08">
        <w:rPr>
          <w:rFonts w:ascii="Arial" w:eastAsia="Arial" w:hAnsi="Arial" w:cs="Arial"/>
          <w:lang w:val="es-CO"/>
        </w:rPr>
        <w:t>, n</w:t>
      </w:r>
      <w:r w:rsidR="00F273C3" w:rsidRPr="00F00E08">
        <w:rPr>
          <w:rFonts w:ascii="Arial" w:eastAsia="Arial" w:hAnsi="Arial" w:cs="Arial"/>
          <w:lang w:val="es-CO"/>
        </w:rPr>
        <w:t>i</w:t>
      </w:r>
      <w:r w:rsidR="005C36B8" w:rsidRPr="00F00E08">
        <w:rPr>
          <w:rFonts w:ascii="Arial" w:eastAsia="Arial" w:hAnsi="Arial" w:cs="Arial"/>
          <w:lang w:val="es-CO"/>
        </w:rPr>
        <w:t xml:space="preserve"> discriminó su prestación según las limitaciones de las diferentes tecnologías de generación.</w:t>
      </w:r>
    </w:p>
    <w:p w14:paraId="00196311" w14:textId="68FA329A" w:rsidR="005C36B8" w:rsidRPr="00F00E08" w:rsidRDefault="005C36B8" w:rsidP="005C36B8">
      <w:pPr>
        <w:pStyle w:val="Prrafodelista"/>
        <w:pBdr>
          <w:top w:val="nil"/>
          <w:left w:val="nil"/>
          <w:bottom w:val="nil"/>
          <w:right w:val="nil"/>
          <w:between w:val="nil"/>
        </w:pBdr>
        <w:spacing w:after="120"/>
        <w:jc w:val="both"/>
        <w:rPr>
          <w:rFonts w:ascii="Arial" w:eastAsia="Arial" w:hAnsi="Arial" w:cs="Arial"/>
          <w:lang w:val="es-CO"/>
        </w:rPr>
      </w:pPr>
    </w:p>
    <w:p w14:paraId="725FD809" w14:textId="69C3B804" w:rsidR="00BD2DBE" w:rsidRPr="00F00E08" w:rsidRDefault="005C36B8" w:rsidP="00F273C3">
      <w:pPr>
        <w:pStyle w:val="Prrafodelista"/>
        <w:pBdr>
          <w:top w:val="nil"/>
          <w:left w:val="nil"/>
          <w:bottom w:val="nil"/>
          <w:right w:val="nil"/>
          <w:between w:val="nil"/>
        </w:pBdr>
        <w:spacing w:after="120"/>
        <w:jc w:val="both"/>
        <w:rPr>
          <w:rFonts w:ascii="Arial" w:eastAsia="Arial" w:hAnsi="Arial" w:cs="Arial"/>
          <w:lang w:val="es-CO"/>
        </w:rPr>
      </w:pPr>
      <w:r w:rsidRPr="00F00E08">
        <w:rPr>
          <w:rFonts w:ascii="Arial" w:eastAsia="Arial" w:hAnsi="Arial" w:cs="Arial"/>
          <w:lang w:val="es-CO"/>
        </w:rPr>
        <w:t>Respecto a los requerimientos de reserva para la regulación secundaria de frecuencia, l</w:t>
      </w:r>
      <w:r w:rsidR="00BD2DBE" w:rsidRPr="00F00E08">
        <w:rPr>
          <w:rFonts w:ascii="Arial" w:eastAsia="Arial" w:hAnsi="Arial" w:cs="Arial"/>
          <w:lang w:val="es-CO"/>
        </w:rPr>
        <w:t xml:space="preserve">a consultoría se limitó a </w:t>
      </w:r>
      <w:r w:rsidRPr="00F00E08">
        <w:rPr>
          <w:rFonts w:ascii="Arial" w:eastAsia="Arial" w:hAnsi="Arial" w:cs="Arial"/>
          <w:lang w:val="es-CO"/>
        </w:rPr>
        <w:t xml:space="preserve">identificar las plantas que prestan este servicio en la actualidad (sólo </w:t>
      </w:r>
      <w:r w:rsidR="00F273C3" w:rsidRPr="00F00E08">
        <w:rPr>
          <w:rFonts w:ascii="Arial" w:eastAsia="Arial" w:hAnsi="Arial" w:cs="Arial"/>
          <w:lang w:val="es-CO"/>
        </w:rPr>
        <w:t>centrales</w:t>
      </w:r>
      <w:r w:rsidRPr="00F00E08">
        <w:rPr>
          <w:rFonts w:ascii="Arial" w:eastAsia="Arial" w:hAnsi="Arial" w:cs="Arial"/>
          <w:lang w:val="es-CO"/>
        </w:rPr>
        <w:t xml:space="preserve"> hidroeléctricas) y restringió la asignación de reserva por variabilidad de las FNCER a dichas plantas</w:t>
      </w:r>
      <w:r w:rsidR="00BD2DBE" w:rsidRPr="00F00E08">
        <w:rPr>
          <w:rFonts w:ascii="Arial" w:eastAsia="Arial" w:hAnsi="Arial" w:cs="Arial"/>
          <w:lang w:val="es-CO"/>
        </w:rPr>
        <w:t>.</w:t>
      </w:r>
      <w:r w:rsidRPr="00F00E08">
        <w:rPr>
          <w:rFonts w:ascii="Arial" w:eastAsia="Arial" w:hAnsi="Arial" w:cs="Arial"/>
          <w:lang w:val="es-CO"/>
        </w:rPr>
        <w:t xml:space="preserve"> Es decir, se asume que es esta instancia de regulación, el AGC, que actúa en minutos, </w:t>
      </w:r>
      <w:r w:rsidR="00A45CA5">
        <w:rPr>
          <w:rFonts w:ascii="Arial" w:eastAsia="Arial" w:hAnsi="Arial" w:cs="Arial"/>
          <w:lang w:val="es-CO"/>
        </w:rPr>
        <w:t xml:space="preserve">la que </w:t>
      </w:r>
      <w:r w:rsidRPr="00F00E08">
        <w:rPr>
          <w:rFonts w:ascii="Arial" w:eastAsia="Arial" w:hAnsi="Arial" w:cs="Arial"/>
          <w:lang w:val="es-CO"/>
        </w:rPr>
        <w:t>va a gestionar la variabilidad de las plantas intermitentes. Lo anterior conceptualmente es incorrecto.</w:t>
      </w:r>
      <w:r w:rsidR="00F273C3" w:rsidRPr="00F00E08">
        <w:rPr>
          <w:rFonts w:ascii="Arial" w:eastAsia="Arial" w:hAnsi="Arial" w:cs="Arial"/>
          <w:lang w:val="es-CO"/>
        </w:rPr>
        <w:t xml:space="preserve"> </w:t>
      </w:r>
      <w:r w:rsidRPr="00F00E08">
        <w:rPr>
          <w:rFonts w:ascii="Arial" w:eastAsia="Arial" w:hAnsi="Arial" w:cs="Arial"/>
          <w:lang w:val="es-CO"/>
        </w:rPr>
        <w:t xml:space="preserve">Adicionalmente, </w:t>
      </w:r>
      <w:r w:rsidR="00BD2DBE" w:rsidRPr="00F00E08">
        <w:rPr>
          <w:rFonts w:ascii="Arial" w:eastAsia="Arial" w:hAnsi="Arial" w:cs="Arial"/>
          <w:lang w:val="es-CO"/>
        </w:rPr>
        <w:t>no se re</w:t>
      </w:r>
      <w:r w:rsidRPr="00F00E08">
        <w:rPr>
          <w:rFonts w:ascii="Arial" w:eastAsia="Arial" w:hAnsi="Arial" w:cs="Arial"/>
          <w:lang w:val="es-CO"/>
        </w:rPr>
        <w:t>evaluaron</w:t>
      </w:r>
      <w:r w:rsidR="00BD2DBE" w:rsidRPr="00F00E08">
        <w:rPr>
          <w:rFonts w:ascii="Arial" w:eastAsia="Arial" w:hAnsi="Arial" w:cs="Arial"/>
          <w:lang w:val="es-CO"/>
        </w:rPr>
        <w:t xml:space="preserve"> los criterios para prestar </w:t>
      </w:r>
      <w:r w:rsidRPr="00F00E08">
        <w:rPr>
          <w:rFonts w:ascii="Arial" w:eastAsia="Arial" w:hAnsi="Arial" w:cs="Arial"/>
          <w:lang w:val="es-CO"/>
        </w:rPr>
        <w:t>el servicio de AGC</w:t>
      </w:r>
      <w:r w:rsidR="00BD2DBE" w:rsidRPr="00F00E08">
        <w:rPr>
          <w:rFonts w:ascii="Arial" w:eastAsia="Arial" w:hAnsi="Arial" w:cs="Arial"/>
          <w:lang w:val="es-CO"/>
        </w:rPr>
        <w:t xml:space="preserve"> ni los requerimientos especiales en función de los porcentajes de penetración de las FNCER</w:t>
      </w:r>
      <w:r w:rsidR="00F273C3" w:rsidRPr="00F00E08">
        <w:rPr>
          <w:rFonts w:ascii="Arial" w:eastAsia="Arial" w:hAnsi="Arial" w:cs="Arial"/>
          <w:lang w:val="es-CO"/>
        </w:rPr>
        <w:t>. Tampoco se analizó si bajo restricciones de importación del área Caribe, y teniendo en cuenta que en dicha zona estarían ubicadas la mayoría de las plantas eólicas y solares fotovoltaicas a gran escala, técnicamente las plantas térmicas también p</w:t>
      </w:r>
      <w:r w:rsidR="00562F7A">
        <w:rPr>
          <w:rFonts w:ascii="Arial" w:eastAsia="Arial" w:hAnsi="Arial" w:cs="Arial"/>
          <w:lang w:val="es-CO"/>
        </w:rPr>
        <w:t>odrían</w:t>
      </w:r>
      <w:r w:rsidR="00F273C3" w:rsidRPr="00F00E08">
        <w:rPr>
          <w:rFonts w:ascii="Arial" w:eastAsia="Arial" w:hAnsi="Arial" w:cs="Arial"/>
          <w:lang w:val="es-CO"/>
        </w:rPr>
        <w:t xml:space="preserve"> prestar dicho servicio.</w:t>
      </w:r>
    </w:p>
    <w:p w14:paraId="50229583" w14:textId="77777777" w:rsidR="001D405B" w:rsidRPr="001D405B" w:rsidRDefault="001D405B" w:rsidP="001D405B">
      <w:pPr>
        <w:pStyle w:val="Prrafodelista"/>
        <w:pBdr>
          <w:top w:val="nil"/>
          <w:left w:val="nil"/>
          <w:bottom w:val="nil"/>
          <w:right w:val="nil"/>
          <w:between w:val="nil"/>
        </w:pBdr>
        <w:spacing w:after="120"/>
        <w:jc w:val="both"/>
        <w:rPr>
          <w:rFonts w:ascii="Arial" w:eastAsia="Arial" w:hAnsi="Arial" w:cs="Arial"/>
          <w:lang w:val="es-CO"/>
        </w:rPr>
      </w:pPr>
    </w:p>
    <w:p w14:paraId="165885E6" w14:textId="0BF65D10" w:rsidR="006135B2" w:rsidRDefault="006135B2" w:rsidP="006135B2">
      <w:pPr>
        <w:pStyle w:val="Prrafodelista"/>
        <w:numPr>
          <w:ilvl w:val="0"/>
          <w:numId w:val="11"/>
        </w:numPr>
        <w:pBdr>
          <w:top w:val="nil"/>
          <w:left w:val="nil"/>
          <w:bottom w:val="nil"/>
          <w:right w:val="nil"/>
          <w:between w:val="nil"/>
        </w:pBdr>
        <w:spacing w:after="120"/>
        <w:jc w:val="both"/>
        <w:rPr>
          <w:rFonts w:ascii="Arial" w:eastAsia="Arial" w:hAnsi="Arial" w:cs="Arial"/>
          <w:lang w:val="es-CO"/>
        </w:rPr>
      </w:pPr>
      <w:r>
        <w:rPr>
          <w:rFonts w:ascii="Arial" w:eastAsia="Arial" w:hAnsi="Arial" w:cs="Arial"/>
          <w:lang w:val="es-CO"/>
        </w:rPr>
        <w:lastRenderedPageBreak/>
        <w:t>Sugerimos incluir en el documento final el detalle del modelo de simulación de la operación con resolución horaria, utilizado por PSR. Ello es fundamental para comprender y entender mejor los resultados obtenidos por la consultoría.</w:t>
      </w:r>
    </w:p>
    <w:p w14:paraId="5D15986D" w14:textId="77777777" w:rsidR="006135B2" w:rsidRPr="006135B2" w:rsidRDefault="006135B2" w:rsidP="006135B2">
      <w:pPr>
        <w:pStyle w:val="Prrafodelista"/>
        <w:rPr>
          <w:rFonts w:ascii="Arial" w:eastAsia="Arial" w:hAnsi="Arial" w:cs="Arial"/>
          <w:lang w:val="es-CO"/>
        </w:rPr>
      </w:pPr>
    </w:p>
    <w:p w14:paraId="6EC88220" w14:textId="66ABFE5C" w:rsidR="006135B2" w:rsidRDefault="006135B2" w:rsidP="006135B2">
      <w:pPr>
        <w:pStyle w:val="Prrafodelista"/>
        <w:numPr>
          <w:ilvl w:val="0"/>
          <w:numId w:val="11"/>
        </w:numPr>
        <w:pBdr>
          <w:top w:val="nil"/>
          <w:left w:val="nil"/>
          <w:bottom w:val="nil"/>
          <w:right w:val="nil"/>
          <w:between w:val="nil"/>
        </w:pBdr>
        <w:spacing w:after="120"/>
        <w:jc w:val="both"/>
        <w:rPr>
          <w:rFonts w:ascii="Arial" w:eastAsia="Arial" w:hAnsi="Arial" w:cs="Arial"/>
          <w:lang w:val="es-CO"/>
        </w:rPr>
      </w:pPr>
      <w:r>
        <w:rPr>
          <w:rFonts w:ascii="Arial" w:eastAsia="Arial" w:hAnsi="Arial" w:cs="Arial"/>
          <w:lang w:val="es-CO"/>
        </w:rPr>
        <w:t xml:space="preserve">Recomendamos interactuar con la UPME para establecer los costos de las tecnologías intermitentes en el corto, mediano y largo plazo, utilizando </w:t>
      </w:r>
      <w:r w:rsidR="001D405B">
        <w:rPr>
          <w:rFonts w:ascii="Arial" w:eastAsia="Arial" w:hAnsi="Arial" w:cs="Arial"/>
          <w:lang w:val="es-CO"/>
        </w:rPr>
        <w:t xml:space="preserve">para ello </w:t>
      </w:r>
      <w:r>
        <w:rPr>
          <w:rFonts w:ascii="Arial" w:eastAsia="Arial" w:hAnsi="Arial" w:cs="Arial"/>
          <w:lang w:val="es-CO"/>
        </w:rPr>
        <w:t>el aplicativo GEOLC</w:t>
      </w:r>
      <w:r w:rsidR="008B76BA">
        <w:rPr>
          <w:rFonts w:ascii="Arial" w:eastAsia="Arial" w:hAnsi="Arial" w:cs="Arial"/>
          <w:lang w:val="es-CO"/>
        </w:rPr>
        <w:t>O</w:t>
      </w:r>
      <w:r>
        <w:rPr>
          <w:rFonts w:ascii="Arial" w:eastAsia="Arial" w:hAnsi="Arial" w:cs="Arial"/>
          <w:lang w:val="es-CO"/>
        </w:rPr>
        <w:t xml:space="preserve">E de la Unidad. </w:t>
      </w:r>
    </w:p>
    <w:p w14:paraId="7604B494" w14:textId="77777777" w:rsidR="001D405B" w:rsidRPr="001D405B" w:rsidRDefault="001D405B" w:rsidP="001D405B">
      <w:pPr>
        <w:pStyle w:val="Prrafodelista"/>
        <w:rPr>
          <w:rFonts w:ascii="Arial" w:eastAsia="Arial" w:hAnsi="Arial" w:cs="Arial"/>
          <w:lang w:val="es-CO"/>
        </w:rPr>
      </w:pPr>
    </w:p>
    <w:p w14:paraId="4CDCF12A" w14:textId="7B3A8A92" w:rsidR="006135B2" w:rsidRDefault="00DF2CB5" w:rsidP="00DF2CB5">
      <w:pPr>
        <w:pStyle w:val="Prrafodelista"/>
        <w:numPr>
          <w:ilvl w:val="0"/>
          <w:numId w:val="11"/>
        </w:numPr>
        <w:pBdr>
          <w:top w:val="nil"/>
          <w:left w:val="nil"/>
          <w:bottom w:val="nil"/>
          <w:right w:val="nil"/>
          <w:between w:val="nil"/>
        </w:pBdr>
        <w:spacing w:after="120"/>
        <w:jc w:val="both"/>
        <w:rPr>
          <w:rFonts w:ascii="Arial" w:eastAsia="Arial" w:hAnsi="Arial" w:cs="Arial"/>
          <w:lang w:val="es-CO"/>
        </w:rPr>
      </w:pPr>
      <w:r>
        <w:rPr>
          <w:rFonts w:ascii="Arial" w:eastAsia="Arial" w:hAnsi="Arial" w:cs="Arial"/>
          <w:lang w:val="es-CO"/>
        </w:rPr>
        <w:t>Si bien las restricciones de transporte se deben tener en cuenta al momento de establecer la flexibilidad de un SEP, la consultoría sólo se enfoca en la red de interconexión del área Caribe, definida por la UPME para conectar el potencial eólico y solar de la Guajira. Recomendamos nuevamente incluir en el modelo la red de transmisión y subtransmisión</w:t>
      </w:r>
      <w:r w:rsidR="00385D8B">
        <w:rPr>
          <w:rFonts w:ascii="Arial" w:eastAsia="Arial" w:hAnsi="Arial" w:cs="Arial"/>
          <w:lang w:val="es-CO"/>
        </w:rPr>
        <w:t xml:space="preserve"> durante los procesos de optimización (construcción de los escenarios de largo plazo y simulación detallada de la operación con resolución horaria)</w:t>
      </w:r>
      <w:r>
        <w:rPr>
          <w:rFonts w:ascii="Arial" w:eastAsia="Arial" w:hAnsi="Arial" w:cs="Arial"/>
          <w:lang w:val="es-CO"/>
        </w:rPr>
        <w:t>.</w:t>
      </w:r>
    </w:p>
    <w:p w14:paraId="031FCE1C" w14:textId="77777777" w:rsidR="00BD2DBE" w:rsidRPr="00BD2DBE" w:rsidRDefault="00BD2DBE" w:rsidP="00BD2DBE">
      <w:pPr>
        <w:pStyle w:val="Prrafodelista"/>
        <w:rPr>
          <w:rFonts w:ascii="Arial" w:eastAsia="Arial" w:hAnsi="Arial" w:cs="Arial"/>
          <w:lang w:val="es-CO"/>
        </w:rPr>
      </w:pPr>
    </w:p>
    <w:p w14:paraId="056A72B8" w14:textId="0E434C51" w:rsidR="00CC2F67" w:rsidRPr="00DF2CB5" w:rsidRDefault="00385D8B" w:rsidP="007423C1">
      <w:pPr>
        <w:pStyle w:val="Prrafodelista"/>
        <w:pBdr>
          <w:top w:val="nil"/>
          <w:left w:val="nil"/>
          <w:bottom w:val="nil"/>
          <w:right w:val="nil"/>
          <w:between w:val="nil"/>
        </w:pBdr>
        <w:spacing w:after="120"/>
        <w:jc w:val="both"/>
        <w:rPr>
          <w:rFonts w:ascii="Arial" w:eastAsia="Arial" w:hAnsi="Arial" w:cs="Arial"/>
          <w:lang w:val="es-CO"/>
        </w:rPr>
      </w:pPr>
      <w:r w:rsidRPr="00A45CA5">
        <w:rPr>
          <w:rFonts w:ascii="Arial" w:eastAsia="Arial" w:hAnsi="Arial" w:cs="Arial"/>
          <w:lang w:val="es-CO"/>
        </w:rPr>
        <w:t xml:space="preserve">Si bien el documento referencia la expansión de la red y el cálculo de los nuevos elementos para el control de tensión y soporte de potencia reactiva, </w:t>
      </w:r>
      <w:r w:rsidR="007423C1" w:rsidRPr="00A45CA5">
        <w:rPr>
          <w:rFonts w:ascii="Arial" w:eastAsia="Arial" w:hAnsi="Arial" w:cs="Arial"/>
          <w:lang w:val="es-CO"/>
        </w:rPr>
        <w:t>ello se hizo bajo un enfoque de plan</w:t>
      </w:r>
      <w:r w:rsidR="002F61D3" w:rsidRPr="00A45CA5">
        <w:rPr>
          <w:rFonts w:ascii="Arial" w:eastAsia="Arial" w:hAnsi="Arial" w:cs="Arial"/>
          <w:lang w:val="es-CO"/>
        </w:rPr>
        <w:t>ificación</w:t>
      </w:r>
      <w:r w:rsidR="007423C1" w:rsidRPr="00A45CA5">
        <w:rPr>
          <w:rFonts w:ascii="Arial" w:eastAsia="Arial" w:hAnsi="Arial" w:cs="Arial"/>
          <w:lang w:val="es-CO"/>
        </w:rPr>
        <w:t xml:space="preserve"> (no se </w:t>
      </w:r>
      <w:proofErr w:type="spellStart"/>
      <w:r w:rsidR="007423C1" w:rsidRPr="00A45CA5">
        <w:rPr>
          <w:rFonts w:ascii="Arial" w:eastAsia="Arial" w:hAnsi="Arial" w:cs="Arial"/>
          <w:lang w:val="es-CO"/>
        </w:rPr>
        <w:t>co-optimizó</w:t>
      </w:r>
      <w:proofErr w:type="spellEnd"/>
      <w:r w:rsidR="007423C1" w:rsidRPr="00A45CA5">
        <w:rPr>
          <w:rFonts w:ascii="Arial" w:eastAsia="Arial" w:hAnsi="Arial" w:cs="Arial"/>
          <w:lang w:val="es-CO"/>
        </w:rPr>
        <w:t xml:space="preserve"> para la construcción de las matrices ni para simular detalladamente la operación, como se mencionó anteriormente). Asimismo, los resultados mostrados durante el taller</w:t>
      </w:r>
      <w:r w:rsidR="002F61D3" w:rsidRPr="00A45CA5">
        <w:rPr>
          <w:rFonts w:ascii="Arial" w:eastAsia="Arial" w:hAnsi="Arial" w:cs="Arial"/>
          <w:lang w:val="es-CO"/>
        </w:rPr>
        <w:t xml:space="preserve"> </w:t>
      </w:r>
      <w:r w:rsidR="002F2C3F" w:rsidRPr="00A45CA5">
        <w:rPr>
          <w:rFonts w:ascii="Arial" w:eastAsia="Arial" w:hAnsi="Arial" w:cs="Arial"/>
          <w:lang w:val="es-CO"/>
        </w:rPr>
        <w:t>con</w:t>
      </w:r>
      <w:r w:rsidR="002F61D3" w:rsidRPr="00A45CA5">
        <w:rPr>
          <w:rFonts w:ascii="Arial" w:eastAsia="Arial" w:hAnsi="Arial" w:cs="Arial"/>
          <w:lang w:val="es-CO"/>
        </w:rPr>
        <w:t xml:space="preserve"> relación a las nuevas necesidades de red y </w:t>
      </w:r>
      <w:r w:rsidR="002F2C3F" w:rsidRPr="00A45CA5">
        <w:rPr>
          <w:rFonts w:ascii="Arial" w:eastAsia="Arial" w:hAnsi="Arial" w:cs="Arial"/>
          <w:lang w:val="es-CO"/>
        </w:rPr>
        <w:t>compensación</w:t>
      </w:r>
      <w:r w:rsidR="002F61D3" w:rsidRPr="00A45CA5">
        <w:rPr>
          <w:rFonts w:ascii="Arial" w:eastAsia="Arial" w:hAnsi="Arial" w:cs="Arial"/>
          <w:lang w:val="es-CO"/>
        </w:rPr>
        <w:t xml:space="preserve"> no son consecuentes con la realidad operativa actual y esperada. Por ejemplo, se ven congestiones en algunos enlaces de las áreas Nordeste, Oriental, Suroccidental y Antioquia</w:t>
      </w:r>
      <w:r w:rsidR="002F2C3F" w:rsidRPr="00A45CA5">
        <w:rPr>
          <w:rFonts w:ascii="Arial" w:eastAsia="Arial" w:hAnsi="Arial" w:cs="Arial"/>
          <w:lang w:val="es-CO"/>
        </w:rPr>
        <w:t>,</w:t>
      </w:r>
      <w:r w:rsidR="002F61D3" w:rsidRPr="00A45CA5">
        <w:rPr>
          <w:rFonts w:ascii="Arial" w:eastAsia="Arial" w:hAnsi="Arial" w:cs="Arial"/>
          <w:lang w:val="es-CO"/>
        </w:rPr>
        <w:t xml:space="preserve"> que no han sido identificadas por la UPME y XM</w:t>
      </w:r>
      <w:r w:rsidR="00452641" w:rsidRPr="00A45CA5">
        <w:rPr>
          <w:rFonts w:ascii="Arial" w:eastAsia="Arial" w:hAnsi="Arial" w:cs="Arial"/>
          <w:lang w:val="es-CO"/>
        </w:rPr>
        <w:t>. Adicionalmente</w:t>
      </w:r>
      <w:r w:rsidR="002F2C3F" w:rsidRPr="00A45CA5">
        <w:rPr>
          <w:rFonts w:ascii="Arial" w:eastAsia="Arial" w:hAnsi="Arial" w:cs="Arial"/>
          <w:lang w:val="es-CO"/>
        </w:rPr>
        <w:t>,</w:t>
      </w:r>
      <w:r w:rsidR="002F61D3" w:rsidRPr="00A45CA5">
        <w:rPr>
          <w:rFonts w:ascii="Arial" w:eastAsia="Arial" w:hAnsi="Arial" w:cs="Arial"/>
          <w:lang w:val="es-CO"/>
        </w:rPr>
        <w:t xml:space="preserve"> se observa un perfil de tensión opuesto al </w:t>
      </w:r>
      <w:r w:rsidR="002F2C3F" w:rsidRPr="00A45CA5">
        <w:rPr>
          <w:rFonts w:ascii="Arial" w:eastAsia="Arial" w:hAnsi="Arial" w:cs="Arial"/>
          <w:lang w:val="es-CO"/>
        </w:rPr>
        <w:t>calculado</w:t>
      </w:r>
      <w:r w:rsidR="002F61D3" w:rsidRPr="00A45CA5">
        <w:rPr>
          <w:rFonts w:ascii="Arial" w:eastAsia="Arial" w:hAnsi="Arial" w:cs="Arial"/>
          <w:lang w:val="es-CO"/>
        </w:rPr>
        <w:t xml:space="preserve"> por el operador y planeador del sistema (</w:t>
      </w:r>
      <w:r w:rsidR="00452641" w:rsidRPr="00A45CA5">
        <w:rPr>
          <w:rFonts w:ascii="Arial" w:eastAsia="Arial" w:hAnsi="Arial" w:cs="Arial"/>
          <w:lang w:val="es-CO"/>
        </w:rPr>
        <w:t xml:space="preserve">en GCM se observan bajas tensiones, lo cual es </w:t>
      </w:r>
      <w:r w:rsidR="00562F7A">
        <w:rPr>
          <w:rFonts w:ascii="Arial" w:eastAsia="Arial" w:hAnsi="Arial" w:cs="Arial"/>
          <w:lang w:val="es-CO"/>
        </w:rPr>
        <w:t>contrario</w:t>
      </w:r>
      <w:r w:rsidR="00452641" w:rsidRPr="00A45CA5">
        <w:rPr>
          <w:rFonts w:ascii="Arial" w:eastAsia="Arial" w:hAnsi="Arial" w:cs="Arial"/>
          <w:lang w:val="es-CO"/>
        </w:rPr>
        <w:t xml:space="preserve"> a lo que se espera con el desarrollo de la red a 500 kV. En el valle se prevén sobretensiones con la entrada del proyecto Alférez 500 kV y el consultor encontró bajas tensiones).</w:t>
      </w:r>
      <w:r w:rsidR="002F61D3" w:rsidRPr="00A45CA5">
        <w:rPr>
          <w:rFonts w:ascii="Arial" w:eastAsia="Arial" w:hAnsi="Arial" w:cs="Arial"/>
          <w:lang w:val="es-CO"/>
        </w:rPr>
        <w:t xml:space="preserve"> </w:t>
      </w:r>
      <w:r w:rsidR="007423C1" w:rsidRPr="00A45CA5">
        <w:rPr>
          <w:rFonts w:ascii="Arial" w:eastAsia="Arial" w:hAnsi="Arial" w:cs="Arial"/>
          <w:lang w:val="es-CO"/>
        </w:rPr>
        <w:t xml:space="preserve"> </w:t>
      </w:r>
    </w:p>
    <w:p w14:paraId="123AA494" w14:textId="77777777" w:rsidR="006135B2" w:rsidRDefault="006135B2" w:rsidP="003A3575">
      <w:pPr>
        <w:pStyle w:val="Prrafodelista"/>
        <w:pBdr>
          <w:top w:val="nil"/>
          <w:left w:val="nil"/>
          <w:bottom w:val="nil"/>
          <w:right w:val="nil"/>
          <w:between w:val="nil"/>
        </w:pBdr>
        <w:spacing w:after="120"/>
        <w:jc w:val="both"/>
        <w:rPr>
          <w:rFonts w:ascii="Arial" w:eastAsia="Arial" w:hAnsi="Arial" w:cs="Arial"/>
          <w:lang w:val="es-CO"/>
        </w:rPr>
      </w:pPr>
    </w:p>
    <w:p w14:paraId="05962CEF" w14:textId="416CE197" w:rsidR="00483684" w:rsidRDefault="003A3575" w:rsidP="00BF6929">
      <w:pPr>
        <w:pStyle w:val="Prrafodelista"/>
        <w:numPr>
          <w:ilvl w:val="0"/>
          <w:numId w:val="11"/>
        </w:numPr>
        <w:pBdr>
          <w:top w:val="nil"/>
          <w:left w:val="nil"/>
          <w:bottom w:val="nil"/>
          <w:right w:val="nil"/>
          <w:between w:val="nil"/>
        </w:pBdr>
        <w:spacing w:after="120"/>
        <w:jc w:val="both"/>
        <w:rPr>
          <w:rFonts w:ascii="Arial" w:eastAsia="Arial" w:hAnsi="Arial" w:cs="Arial"/>
          <w:lang w:val="es-CO"/>
        </w:rPr>
      </w:pPr>
      <w:r>
        <w:rPr>
          <w:rFonts w:ascii="Arial" w:eastAsia="Arial" w:hAnsi="Arial" w:cs="Arial"/>
          <w:lang w:val="es-CO"/>
        </w:rPr>
        <w:t xml:space="preserve">No se </w:t>
      </w:r>
      <w:r w:rsidR="00A45CA5">
        <w:rPr>
          <w:rFonts w:ascii="Arial" w:eastAsia="Arial" w:hAnsi="Arial" w:cs="Arial"/>
          <w:lang w:val="es-CO"/>
        </w:rPr>
        <w:t>analizan técnicamente o</w:t>
      </w:r>
      <w:r>
        <w:rPr>
          <w:rFonts w:ascii="Arial" w:eastAsia="Arial" w:hAnsi="Arial" w:cs="Arial"/>
          <w:lang w:val="es-CO"/>
        </w:rPr>
        <w:t>tros servicios complementarios, como la regulación de tensión y arranque autónomo, ni se proponen nuevos</w:t>
      </w:r>
      <w:r w:rsidR="00A45CA5">
        <w:rPr>
          <w:rFonts w:ascii="Arial" w:eastAsia="Arial" w:hAnsi="Arial" w:cs="Arial"/>
          <w:lang w:val="es-CO"/>
        </w:rPr>
        <w:t xml:space="preserve"> que estén asociados a la flexibilidad del SIN</w:t>
      </w:r>
      <w:r>
        <w:rPr>
          <w:rFonts w:ascii="Arial" w:eastAsia="Arial" w:hAnsi="Arial" w:cs="Arial"/>
          <w:lang w:val="es-CO"/>
        </w:rPr>
        <w:t>. Asimismo, no se sustenta</w:t>
      </w:r>
      <w:r w:rsidR="00A45CA5">
        <w:rPr>
          <w:rFonts w:ascii="Arial" w:eastAsia="Arial" w:hAnsi="Arial" w:cs="Arial"/>
          <w:lang w:val="es-CO"/>
        </w:rPr>
        <w:t xml:space="preserve"> detalladamente</w:t>
      </w:r>
      <w:r>
        <w:rPr>
          <w:rFonts w:ascii="Arial" w:eastAsia="Arial" w:hAnsi="Arial" w:cs="Arial"/>
          <w:lang w:val="es-CO"/>
        </w:rPr>
        <w:t xml:space="preserve"> el mecanismo para proveerlos</w:t>
      </w:r>
      <w:r w:rsidR="006135B2">
        <w:rPr>
          <w:rFonts w:ascii="Arial" w:eastAsia="Arial" w:hAnsi="Arial" w:cs="Arial"/>
          <w:lang w:val="es-CO"/>
        </w:rPr>
        <w:t xml:space="preserve"> y la mejor tecnología</w:t>
      </w:r>
      <w:r w:rsidR="009214F2">
        <w:rPr>
          <w:rFonts w:ascii="Arial" w:eastAsia="Arial" w:hAnsi="Arial" w:cs="Arial"/>
          <w:lang w:val="es-CO"/>
        </w:rPr>
        <w:t>. Surgen interrogantes como el</w:t>
      </w:r>
      <w:r>
        <w:rPr>
          <w:rFonts w:ascii="Arial" w:eastAsia="Arial" w:hAnsi="Arial" w:cs="Arial"/>
          <w:lang w:val="es-CO"/>
        </w:rPr>
        <w:t xml:space="preserve"> </w:t>
      </w:r>
      <w:r w:rsidR="006135B2">
        <w:rPr>
          <w:rFonts w:ascii="Arial" w:eastAsia="Arial" w:hAnsi="Arial" w:cs="Arial"/>
          <w:lang w:val="es-CO"/>
        </w:rPr>
        <w:t xml:space="preserve">mecanismo de </w:t>
      </w:r>
      <w:r>
        <w:rPr>
          <w:rFonts w:ascii="Arial" w:eastAsia="Arial" w:hAnsi="Arial" w:cs="Arial"/>
          <w:lang w:val="es-CO"/>
        </w:rPr>
        <w:t>mercado</w:t>
      </w:r>
      <w:r w:rsidR="006135B2">
        <w:rPr>
          <w:rFonts w:ascii="Arial" w:eastAsia="Arial" w:hAnsi="Arial" w:cs="Arial"/>
          <w:lang w:val="es-CO"/>
        </w:rPr>
        <w:t xml:space="preserve">, </w:t>
      </w:r>
      <w:r w:rsidR="009214F2">
        <w:rPr>
          <w:rFonts w:ascii="Arial" w:eastAsia="Arial" w:hAnsi="Arial" w:cs="Arial"/>
          <w:lang w:val="es-CO"/>
        </w:rPr>
        <w:t xml:space="preserve">el </w:t>
      </w:r>
      <w:r w:rsidR="006135B2">
        <w:rPr>
          <w:rFonts w:ascii="Arial" w:eastAsia="Arial" w:hAnsi="Arial" w:cs="Arial"/>
          <w:lang w:val="es-CO"/>
        </w:rPr>
        <w:t xml:space="preserve">rol de los elementos de almacenamiento electroquímico-BESS, implicaciones de la pérdida de regulación de los embalses y </w:t>
      </w:r>
      <w:r w:rsidR="00D043B5">
        <w:rPr>
          <w:rFonts w:ascii="Arial" w:eastAsia="Arial" w:hAnsi="Arial" w:cs="Arial"/>
          <w:lang w:val="es-CO"/>
        </w:rPr>
        <w:t>limitaciones</w:t>
      </w:r>
      <w:r w:rsidR="006135B2">
        <w:rPr>
          <w:rFonts w:ascii="Arial" w:eastAsia="Arial" w:hAnsi="Arial" w:cs="Arial"/>
          <w:lang w:val="es-CO"/>
        </w:rPr>
        <w:t xml:space="preserve"> a los aprovechamientos de caudal por restricciones ambientales, que ameriten de otras fuentes de flexibilidad, como las interconexiones internacionales</w:t>
      </w:r>
      <w:r w:rsidR="00D043B5">
        <w:rPr>
          <w:rFonts w:ascii="Arial" w:eastAsia="Arial" w:hAnsi="Arial" w:cs="Arial"/>
          <w:lang w:val="es-CO"/>
        </w:rPr>
        <w:t>,</w:t>
      </w:r>
      <w:r w:rsidR="00562F7A">
        <w:rPr>
          <w:rFonts w:ascii="Arial" w:eastAsia="Arial" w:hAnsi="Arial" w:cs="Arial"/>
          <w:lang w:val="es-CO"/>
        </w:rPr>
        <w:t xml:space="preserve"> la respuesta de la demanda,</w:t>
      </w:r>
      <w:r w:rsidR="006135B2">
        <w:rPr>
          <w:rFonts w:ascii="Arial" w:eastAsia="Arial" w:hAnsi="Arial" w:cs="Arial"/>
          <w:lang w:val="es-CO"/>
        </w:rPr>
        <w:t xml:space="preserve"> o inclusive la instalación de otras tecnologías como los CAES o el </w:t>
      </w:r>
      <w:proofErr w:type="spellStart"/>
      <w:r w:rsidR="006135B2">
        <w:rPr>
          <w:rFonts w:ascii="Arial" w:eastAsia="Arial" w:hAnsi="Arial" w:cs="Arial"/>
          <w:lang w:val="es-CO"/>
        </w:rPr>
        <w:t>Power</w:t>
      </w:r>
      <w:proofErr w:type="spellEnd"/>
      <w:r w:rsidR="006135B2">
        <w:rPr>
          <w:rFonts w:ascii="Arial" w:eastAsia="Arial" w:hAnsi="Arial" w:cs="Arial"/>
          <w:lang w:val="es-CO"/>
        </w:rPr>
        <w:t xml:space="preserve"> </w:t>
      </w:r>
      <w:proofErr w:type="spellStart"/>
      <w:r w:rsidR="006135B2">
        <w:rPr>
          <w:rFonts w:ascii="Arial" w:eastAsia="Arial" w:hAnsi="Arial" w:cs="Arial"/>
          <w:lang w:val="es-CO"/>
        </w:rPr>
        <w:t>To</w:t>
      </w:r>
      <w:proofErr w:type="spellEnd"/>
      <w:r w:rsidR="006135B2">
        <w:rPr>
          <w:rFonts w:ascii="Arial" w:eastAsia="Arial" w:hAnsi="Arial" w:cs="Arial"/>
          <w:lang w:val="es-CO"/>
        </w:rPr>
        <w:t xml:space="preserve"> Gas.</w:t>
      </w:r>
    </w:p>
    <w:p w14:paraId="6D466EEA" w14:textId="77777777" w:rsidR="00483684" w:rsidRPr="00483684" w:rsidRDefault="00483684" w:rsidP="00483684">
      <w:pPr>
        <w:pStyle w:val="Prrafodelista"/>
        <w:rPr>
          <w:rFonts w:ascii="Arial" w:eastAsia="Arial" w:hAnsi="Arial" w:cs="Arial"/>
          <w:lang w:val="es-CO"/>
        </w:rPr>
      </w:pPr>
    </w:p>
    <w:p w14:paraId="6169F4C9" w14:textId="3FEAAC39" w:rsidR="00DF2CB5" w:rsidRDefault="00483684" w:rsidP="00BF6929">
      <w:pPr>
        <w:pStyle w:val="Prrafodelista"/>
        <w:numPr>
          <w:ilvl w:val="0"/>
          <w:numId w:val="11"/>
        </w:numPr>
        <w:pBdr>
          <w:top w:val="nil"/>
          <w:left w:val="nil"/>
          <w:bottom w:val="nil"/>
          <w:right w:val="nil"/>
          <w:between w:val="nil"/>
        </w:pBdr>
        <w:spacing w:after="120"/>
        <w:jc w:val="both"/>
        <w:rPr>
          <w:rFonts w:ascii="Arial" w:eastAsia="Arial" w:hAnsi="Arial" w:cs="Arial"/>
          <w:lang w:val="es-CO"/>
        </w:rPr>
      </w:pPr>
      <w:r w:rsidRPr="00483684">
        <w:rPr>
          <w:rFonts w:ascii="Arial" w:eastAsia="Arial" w:hAnsi="Arial" w:cs="Arial"/>
          <w:lang w:val="es-CO"/>
        </w:rPr>
        <w:t>Todas las alternativas</w:t>
      </w:r>
      <w:r>
        <w:rPr>
          <w:rFonts w:ascii="Arial" w:eastAsia="Arial" w:hAnsi="Arial" w:cs="Arial"/>
          <w:lang w:val="es-CO"/>
        </w:rPr>
        <w:t xml:space="preserve"> para la asignación de los Servicios Complementarios</w:t>
      </w:r>
      <w:r w:rsidRPr="00483684">
        <w:rPr>
          <w:rFonts w:ascii="Arial" w:eastAsia="Arial" w:hAnsi="Arial" w:cs="Arial"/>
          <w:lang w:val="es-CO"/>
        </w:rPr>
        <w:t xml:space="preserve"> tienen en cuenta precios nodales o zonales (LMP). </w:t>
      </w:r>
      <w:r>
        <w:rPr>
          <w:rFonts w:ascii="Arial" w:eastAsia="Arial" w:hAnsi="Arial" w:cs="Arial"/>
          <w:lang w:val="es-CO"/>
        </w:rPr>
        <w:t>Sin embargo,</w:t>
      </w:r>
      <w:r w:rsidRPr="00483684">
        <w:rPr>
          <w:rFonts w:ascii="Arial" w:eastAsia="Arial" w:hAnsi="Arial" w:cs="Arial"/>
          <w:lang w:val="es-CO"/>
        </w:rPr>
        <w:t xml:space="preserve"> el estudio no sustenta ni muestra el comportamiento de los mecanismos de asignación de </w:t>
      </w:r>
      <w:r>
        <w:rPr>
          <w:rFonts w:ascii="Arial" w:eastAsia="Arial" w:hAnsi="Arial" w:cs="Arial"/>
          <w:lang w:val="es-CO"/>
        </w:rPr>
        <w:t>dichos</w:t>
      </w:r>
      <w:r w:rsidRPr="00483684">
        <w:rPr>
          <w:rFonts w:ascii="Arial" w:eastAsia="Arial" w:hAnsi="Arial" w:cs="Arial"/>
          <w:lang w:val="es-CO"/>
        </w:rPr>
        <w:t xml:space="preserve"> servicios bajo </w:t>
      </w:r>
      <w:r>
        <w:rPr>
          <w:rFonts w:ascii="Arial" w:eastAsia="Arial" w:hAnsi="Arial" w:cs="Arial"/>
          <w:lang w:val="es-CO"/>
        </w:rPr>
        <w:t xml:space="preserve">estos </w:t>
      </w:r>
      <w:r w:rsidRPr="00483684">
        <w:rPr>
          <w:rFonts w:ascii="Arial" w:eastAsia="Arial" w:hAnsi="Arial" w:cs="Arial"/>
          <w:lang w:val="es-CO"/>
        </w:rPr>
        <w:t xml:space="preserve">esquemas. Tampoco se observa la evolución de dichos precios en las simulaciones (costos marginales locales). </w:t>
      </w:r>
      <w:r>
        <w:rPr>
          <w:rFonts w:ascii="Arial" w:eastAsia="Arial" w:hAnsi="Arial" w:cs="Arial"/>
          <w:lang w:val="es-CO"/>
        </w:rPr>
        <w:t>Es decir, no es claro</w:t>
      </w:r>
      <w:r w:rsidRPr="00483684">
        <w:rPr>
          <w:rFonts w:ascii="Arial" w:eastAsia="Arial" w:hAnsi="Arial" w:cs="Arial"/>
          <w:lang w:val="es-CO"/>
        </w:rPr>
        <w:t xml:space="preserve"> bajo que soporte, diferente a los referentes internacionales, se cimienta esta recomendación</w:t>
      </w:r>
      <w:r>
        <w:rPr>
          <w:rFonts w:ascii="Arial" w:eastAsia="Arial" w:hAnsi="Arial" w:cs="Arial"/>
          <w:lang w:val="es-CO"/>
        </w:rPr>
        <w:t>.</w:t>
      </w:r>
      <w:r w:rsidR="006135B2">
        <w:rPr>
          <w:rFonts w:ascii="Arial" w:eastAsia="Arial" w:hAnsi="Arial" w:cs="Arial"/>
          <w:lang w:val="es-CO"/>
        </w:rPr>
        <w:t xml:space="preserve"> </w:t>
      </w:r>
    </w:p>
    <w:p w14:paraId="38E0A3AE" w14:textId="77777777" w:rsidR="00DF2CB5" w:rsidRPr="00DF2CB5" w:rsidRDefault="00DF2CB5" w:rsidP="00DF2CB5">
      <w:pPr>
        <w:pStyle w:val="Prrafodelista"/>
        <w:rPr>
          <w:rFonts w:ascii="Arial" w:eastAsia="Arial" w:hAnsi="Arial" w:cs="Arial"/>
          <w:lang w:val="es-CO"/>
        </w:rPr>
      </w:pPr>
    </w:p>
    <w:p w14:paraId="78FAE36C" w14:textId="1F1A9916" w:rsidR="007008FB" w:rsidRPr="00FD5677" w:rsidRDefault="00FD5677" w:rsidP="00BF6929">
      <w:pPr>
        <w:pStyle w:val="Prrafodelista"/>
        <w:numPr>
          <w:ilvl w:val="0"/>
          <w:numId w:val="11"/>
        </w:numPr>
        <w:pBdr>
          <w:top w:val="nil"/>
          <w:left w:val="nil"/>
          <w:bottom w:val="nil"/>
          <w:right w:val="nil"/>
          <w:between w:val="nil"/>
        </w:pBdr>
        <w:spacing w:after="120"/>
        <w:jc w:val="both"/>
        <w:rPr>
          <w:rFonts w:ascii="Arial" w:eastAsia="Arial" w:hAnsi="Arial" w:cs="Arial"/>
          <w:u w:val="single"/>
          <w:lang w:val="es-CO"/>
        </w:rPr>
      </w:pPr>
      <w:r>
        <w:rPr>
          <w:rFonts w:ascii="Arial" w:eastAsia="Arial" w:hAnsi="Arial" w:cs="Arial"/>
          <w:lang w:val="es-CO"/>
        </w:rPr>
        <w:t>Finalmente</w:t>
      </w:r>
      <w:r w:rsidRPr="00FD5677">
        <w:rPr>
          <w:rFonts w:ascii="Arial" w:eastAsia="Arial" w:hAnsi="Arial" w:cs="Arial"/>
          <w:lang w:val="es-CO"/>
        </w:rPr>
        <w:t xml:space="preserve"> </w:t>
      </w:r>
      <w:r w:rsidR="00DF2CB5" w:rsidRPr="00FD5677">
        <w:rPr>
          <w:rFonts w:ascii="Arial" w:eastAsia="Arial" w:hAnsi="Arial" w:cs="Arial"/>
          <w:lang w:val="es-CO"/>
        </w:rPr>
        <w:t xml:space="preserve">recomendamos </w:t>
      </w:r>
      <w:r w:rsidRPr="00FD5677">
        <w:rPr>
          <w:rFonts w:ascii="Arial" w:eastAsia="Arial" w:hAnsi="Arial" w:cs="Arial"/>
          <w:lang w:val="es-CO"/>
        </w:rPr>
        <w:t xml:space="preserve">ajustar toda la modelación, teniendo en cuenta </w:t>
      </w:r>
      <w:r w:rsidR="009214F2">
        <w:rPr>
          <w:rFonts w:ascii="Arial" w:eastAsia="Arial" w:hAnsi="Arial" w:cs="Arial"/>
          <w:lang w:val="es-CO"/>
        </w:rPr>
        <w:t>estas</w:t>
      </w:r>
      <w:r w:rsidRPr="00FD5677">
        <w:rPr>
          <w:rFonts w:ascii="Arial" w:eastAsia="Arial" w:hAnsi="Arial" w:cs="Arial"/>
          <w:lang w:val="es-CO"/>
        </w:rPr>
        <w:t xml:space="preserve"> observaciones. Asimismo, generar un espacio para la construcción de los escenarios y abordar </w:t>
      </w:r>
      <w:r>
        <w:rPr>
          <w:rFonts w:ascii="Arial" w:eastAsia="Arial" w:hAnsi="Arial" w:cs="Arial"/>
          <w:lang w:val="es-CO"/>
        </w:rPr>
        <w:t>los otros</w:t>
      </w:r>
      <w:r w:rsidRPr="00FD5677">
        <w:rPr>
          <w:rFonts w:ascii="Arial" w:eastAsia="Arial" w:hAnsi="Arial" w:cs="Arial"/>
          <w:lang w:val="es-CO"/>
        </w:rPr>
        <w:t xml:space="preserve"> servicios complementarios</w:t>
      </w:r>
      <w:r>
        <w:rPr>
          <w:rFonts w:ascii="Arial" w:eastAsia="Arial" w:hAnsi="Arial" w:cs="Arial"/>
          <w:lang w:val="es-CO"/>
        </w:rPr>
        <w:t>, inclusive pla</w:t>
      </w:r>
      <w:r w:rsidR="009214F2">
        <w:rPr>
          <w:rFonts w:ascii="Arial" w:eastAsia="Arial" w:hAnsi="Arial" w:cs="Arial"/>
          <w:lang w:val="es-CO"/>
        </w:rPr>
        <w:t>n</w:t>
      </w:r>
      <w:r>
        <w:rPr>
          <w:rFonts w:ascii="Arial" w:eastAsia="Arial" w:hAnsi="Arial" w:cs="Arial"/>
          <w:lang w:val="es-CO"/>
        </w:rPr>
        <w:t>teando nuevos</w:t>
      </w:r>
      <w:r w:rsidRPr="00FD5677">
        <w:rPr>
          <w:rFonts w:ascii="Arial" w:eastAsia="Arial" w:hAnsi="Arial" w:cs="Arial"/>
          <w:lang w:val="es-CO"/>
        </w:rPr>
        <w:t>.</w:t>
      </w:r>
    </w:p>
    <w:sectPr w:rsidR="007008FB" w:rsidRPr="00FD5677">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8647C" w14:textId="77777777" w:rsidR="00EE3E00" w:rsidRDefault="00EE3E00">
      <w:pPr>
        <w:spacing w:after="0" w:line="240" w:lineRule="auto"/>
      </w:pPr>
      <w:r>
        <w:separator/>
      </w:r>
    </w:p>
  </w:endnote>
  <w:endnote w:type="continuationSeparator" w:id="0">
    <w:p w14:paraId="72026F49" w14:textId="77777777" w:rsidR="00EE3E00" w:rsidRDefault="00EE3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EYInterstate Ligh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61C96" w14:textId="77777777" w:rsidR="00EE3E00" w:rsidRDefault="00EE3E00">
      <w:pPr>
        <w:spacing w:after="0" w:line="240" w:lineRule="auto"/>
      </w:pPr>
      <w:r>
        <w:separator/>
      </w:r>
    </w:p>
  </w:footnote>
  <w:footnote w:type="continuationSeparator" w:id="0">
    <w:p w14:paraId="2FF9BAA3" w14:textId="77777777" w:rsidR="00EE3E00" w:rsidRDefault="00EE3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3A2BB" w14:textId="77777777" w:rsidR="006C4F7E" w:rsidRDefault="006C4F7E">
    <w:pPr>
      <w:pStyle w:val="Encabezado"/>
    </w:pPr>
    <w:r w:rsidRPr="00A024E8">
      <w:rPr>
        <w:b/>
        <w:noProof/>
        <w:sz w:val="40"/>
        <w:lang w:val="es-CO"/>
      </w:rPr>
      <w:drawing>
        <wp:anchor distT="0" distB="0" distL="114300" distR="114300" simplePos="0" relativeHeight="251659264" behindDoc="0" locked="0" layoutInCell="1" allowOverlap="1" wp14:anchorId="3032C724" wp14:editId="270E8A4B">
          <wp:simplePos x="0" y="0"/>
          <wp:positionH relativeFrom="column">
            <wp:posOffset>1977390</wp:posOffset>
          </wp:positionH>
          <wp:positionV relativeFrom="paragraph">
            <wp:posOffset>-249555</wp:posOffset>
          </wp:positionV>
          <wp:extent cx="1624965" cy="628650"/>
          <wp:effectExtent l="0" t="0" r="0" b="0"/>
          <wp:wrapSquare wrapText="bothSides"/>
          <wp:docPr id="4" name="Imagen 4" descr="cid:image002.jpg@01D3D593.164EA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D593.164EAD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2496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407C"/>
    <w:multiLevelType w:val="hybridMultilevel"/>
    <w:tmpl w:val="163C42F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20165A"/>
    <w:multiLevelType w:val="multilevel"/>
    <w:tmpl w:val="711A4C04"/>
    <w:lvl w:ilvl="0">
      <w:start w:val="1"/>
      <w:numFmt w:val="bullet"/>
      <w:lvlText w:val="►"/>
      <w:lvlJc w:val="left"/>
      <w:pPr>
        <w:ind w:left="720" w:hanging="360"/>
      </w:pPr>
      <w:rPr>
        <w:rFonts w:ascii="Arial" w:eastAsia="Arial" w:hAnsi="Arial" w:cs="Arial"/>
        <w:color w:val="FFE600"/>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8A50D4"/>
    <w:multiLevelType w:val="multilevel"/>
    <w:tmpl w:val="31ECB0A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27A357B2"/>
    <w:multiLevelType w:val="multilevel"/>
    <w:tmpl w:val="31DE67AC"/>
    <w:lvl w:ilvl="0">
      <w:start w:val="1"/>
      <w:numFmt w:val="bullet"/>
      <w:lvlText w:val="►"/>
      <w:lvlJc w:val="left"/>
      <w:pPr>
        <w:ind w:left="720" w:hanging="360"/>
      </w:pPr>
      <w:rPr>
        <w:rFonts w:ascii="Arial" w:eastAsia="Arial" w:hAnsi="Arial" w:cs="Arial"/>
        <w:color w:val="FFE600"/>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805FA6"/>
    <w:multiLevelType w:val="hybridMultilevel"/>
    <w:tmpl w:val="F8940586"/>
    <w:lvl w:ilvl="0" w:tplc="2ED40920">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784F4D"/>
    <w:multiLevelType w:val="multilevel"/>
    <w:tmpl w:val="08A4E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63A6D1A"/>
    <w:multiLevelType w:val="multilevel"/>
    <w:tmpl w:val="BE58A69C"/>
    <w:lvl w:ilvl="0">
      <w:start w:val="1"/>
      <w:numFmt w:val="bullet"/>
      <w:lvlText w:val="►"/>
      <w:lvlJc w:val="left"/>
      <w:pPr>
        <w:ind w:left="720" w:hanging="360"/>
      </w:pPr>
      <w:rPr>
        <w:rFonts w:ascii="Arial" w:eastAsia="Arial" w:hAnsi="Arial" w:cs="Arial"/>
        <w:color w:val="FFE600"/>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8D0C5C"/>
    <w:multiLevelType w:val="multilevel"/>
    <w:tmpl w:val="D2E05C22"/>
    <w:lvl w:ilvl="0">
      <w:start w:val="1"/>
      <w:numFmt w:val="decimal"/>
      <w:lvlText w:val="%1."/>
      <w:lvlJc w:val="left"/>
      <w:pPr>
        <w:ind w:left="720" w:hanging="360"/>
      </w:pPr>
    </w:lvl>
    <w:lvl w:ilvl="1">
      <w:start w:val="1"/>
      <w:numFmt w:val="decimal"/>
      <w:lvlText w:val="%1.%2"/>
      <w:lvlJc w:val="left"/>
      <w:pPr>
        <w:ind w:left="1855"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8" w15:restartNumberingAfterBreak="0">
    <w:nsid w:val="54D94281"/>
    <w:multiLevelType w:val="multilevel"/>
    <w:tmpl w:val="056C56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9CE09F4"/>
    <w:multiLevelType w:val="multilevel"/>
    <w:tmpl w:val="E90064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D357A09"/>
    <w:multiLevelType w:val="multilevel"/>
    <w:tmpl w:val="0FAA49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10"/>
  </w:num>
  <w:num w:numId="3">
    <w:abstractNumId w:val="2"/>
  </w:num>
  <w:num w:numId="4">
    <w:abstractNumId w:val="6"/>
  </w:num>
  <w:num w:numId="5">
    <w:abstractNumId w:val="5"/>
  </w:num>
  <w:num w:numId="6">
    <w:abstractNumId w:val="8"/>
  </w:num>
  <w:num w:numId="7">
    <w:abstractNumId w:val="9"/>
  </w:num>
  <w:num w:numId="8">
    <w:abstractNumId w:val="7"/>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E7B"/>
    <w:rsid w:val="00023489"/>
    <w:rsid w:val="00035A71"/>
    <w:rsid w:val="00041D3B"/>
    <w:rsid w:val="00060FDA"/>
    <w:rsid w:val="000647F2"/>
    <w:rsid w:val="00065472"/>
    <w:rsid w:val="00094FAB"/>
    <w:rsid w:val="00095784"/>
    <w:rsid w:val="000C09EC"/>
    <w:rsid w:val="0012308B"/>
    <w:rsid w:val="001355EE"/>
    <w:rsid w:val="001467DE"/>
    <w:rsid w:val="00177DA7"/>
    <w:rsid w:val="001943F9"/>
    <w:rsid w:val="001A6E1D"/>
    <w:rsid w:val="001B2325"/>
    <w:rsid w:val="001C5921"/>
    <w:rsid w:val="001D0C66"/>
    <w:rsid w:val="001D405B"/>
    <w:rsid w:val="001D6B1A"/>
    <w:rsid w:val="00201C3E"/>
    <w:rsid w:val="00233F90"/>
    <w:rsid w:val="00237160"/>
    <w:rsid w:val="00241884"/>
    <w:rsid w:val="00255627"/>
    <w:rsid w:val="00275938"/>
    <w:rsid w:val="002F2C3F"/>
    <w:rsid w:val="002F61D3"/>
    <w:rsid w:val="0030277D"/>
    <w:rsid w:val="00305E31"/>
    <w:rsid w:val="00312F17"/>
    <w:rsid w:val="00322119"/>
    <w:rsid w:val="003233AB"/>
    <w:rsid w:val="0036612F"/>
    <w:rsid w:val="00385D8B"/>
    <w:rsid w:val="0039483F"/>
    <w:rsid w:val="003A34D5"/>
    <w:rsid w:val="003A3575"/>
    <w:rsid w:val="003A45B1"/>
    <w:rsid w:val="00412C50"/>
    <w:rsid w:val="00441949"/>
    <w:rsid w:val="00452641"/>
    <w:rsid w:val="00470972"/>
    <w:rsid w:val="00482A18"/>
    <w:rsid w:val="00483684"/>
    <w:rsid w:val="004A0F80"/>
    <w:rsid w:val="004A12C5"/>
    <w:rsid w:val="004D0E2B"/>
    <w:rsid w:val="005412F8"/>
    <w:rsid w:val="00562F7A"/>
    <w:rsid w:val="00564679"/>
    <w:rsid w:val="00566510"/>
    <w:rsid w:val="00570D03"/>
    <w:rsid w:val="00573681"/>
    <w:rsid w:val="00580FC8"/>
    <w:rsid w:val="005A699F"/>
    <w:rsid w:val="005A6BD3"/>
    <w:rsid w:val="005C36B8"/>
    <w:rsid w:val="005C3FEC"/>
    <w:rsid w:val="005E3FB1"/>
    <w:rsid w:val="005F0A22"/>
    <w:rsid w:val="005F7CF0"/>
    <w:rsid w:val="006135B2"/>
    <w:rsid w:val="00616935"/>
    <w:rsid w:val="00657106"/>
    <w:rsid w:val="006576A9"/>
    <w:rsid w:val="00662F4E"/>
    <w:rsid w:val="006727DB"/>
    <w:rsid w:val="006A2426"/>
    <w:rsid w:val="006B64B4"/>
    <w:rsid w:val="006C45DC"/>
    <w:rsid w:val="006C4F7E"/>
    <w:rsid w:val="006C6A7C"/>
    <w:rsid w:val="006C7C22"/>
    <w:rsid w:val="006D076A"/>
    <w:rsid w:val="006E21F7"/>
    <w:rsid w:val="006E27AB"/>
    <w:rsid w:val="006F1BB7"/>
    <w:rsid w:val="007008FB"/>
    <w:rsid w:val="0071184E"/>
    <w:rsid w:val="00711F90"/>
    <w:rsid w:val="00727878"/>
    <w:rsid w:val="0073480E"/>
    <w:rsid w:val="00736DCE"/>
    <w:rsid w:val="007423C1"/>
    <w:rsid w:val="0074246D"/>
    <w:rsid w:val="00797E41"/>
    <w:rsid w:val="00797EFC"/>
    <w:rsid w:val="007A39A2"/>
    <w:rsid w:val="007A49E3"/>
    <w:rsid w:val="007E3FD7"/>
    <w:rsid w:val="007F4D9B"/>
    <w:rsid w:val="0081343C"/>
    <w:rsid w:val="008254F5"/>
    <w:rsid w:val="00826770"/>
    <w:rsid w:val="00897584"/>
    <w:rsid w:val="008A49C1"/>
    <w:rsid w:val="008A4EAB"/>
    <w:rsid w:val="008B76BA"/>
    <w:rsid w:val="008F0807"/>
    <w:rsid w:val="009214F2"/>
    <w:rsid w:val="00942C0E"/>
    <w:rsid w:val="009560A4"/>
    <w:rsid w:val="00964049"/>
    <w:rsid w:val="0097168B"/>
    <w:rsid w:val="00982B24"/>
    <w:rsid w:val="00982BBC"/>
    <w:rsid w:val="009C4F06"/>
    <w:rsid w:val="009D10C3"/>
    <w:rsid w:val="009E3DE7"/>
    <w:rsid w:val="009E5FE2"/>
    <w:rsid w:val="00A34D1D"/>
    <w:rsid w:val="00A45CA5"/>
    <w:rsid w:val="00A648DC"/>
    <w:rsid w:val="00A6617B"/>
    <w:rsid w:val="00A73278"/>
    <w:rsid w:val="00A942F3"/>
    <w:rsid w:val="00AA71F1"/>
    <w:rsid w:val="00AC30B8"/>
    <w:rsid w:val="00AF76EC"/>
    <w:rsid w:val="00B3270D"/>
    <w:rsid w:val="00B636B3"/>
    <w:rsid w:val="00B75A30"/>
    <w:rsid w:val="00B83A66"/>
    <w:rsid w:val="00B870E4"/>
    <w:rsid w:val="00BA7907"/>
    <w:rsid w:val="00BB535C"/>
    <w:rsid w:val="00BB7687"/>
    <w:rsid w:val="00BD005D"/>
    <w:rsid w:val="00BD2DBE"/>
    <w:rsid w:val="00BE0018"/>
    <w:rsid w:val="00BE1486"/>
    <w:rsid w:val="00BE311E"/>
    <w:rsid w:val="00BF6929"/>
    <w:rsid w:val="00C26536"/>
    <w:rsid w:val="00C4298E"/>
    <w:rsid w:val="00C60DC9"/>
    <w:rsid w:val="00C6361F"/>
    <w:rsid w:val="00C92695"/>
    <w:rsid w:val="00CC2F67"/>
    <w:rsid w:val="00CC50D9"/>
    <w:rsid w:val="00CD77A9"/>
    <w:rsid w:val="00CE2759"/>
    <w:rsid w:val="00D02483"/>
    <w:rsid w:val="00D043B5"/>
    <w:rsid w:val="00D41D6C"/>
    <w:rsid w:val="00D46517"/>
    <w:rsid w:val="00D51A43"/>
    <w:rsid w:val="00D62493"/>
    <w:rsid w:val="00D81B65"/>
    <w:rsid w:val="00DA0609"/>
    <w:rsid w:val="00DA5FBE"/>
    <w:rsid w:val="00DC1FEB"/>
    <w:rsid w:val="00DD629D"/>
    <w:rsid w:val="00DE67CE"/>
    <w:rsid w:val="00DF2CB5"/>
    <w:rsid w:val="00DF463F"/>
    <w:rsid w:val="00DF772D"/>
    <w:rsid w:val="00E02DB8"/>
    <w:rsid w:val="00E41C36"/>
    <w:rsid w:val="00E547DA"/>
    <w:rsid w:val="00E63E63"/>
    <w:rsid w:val="00E83D78"/>
    <w:rsid w:val="00E90E7B"/>
    <w:rsid w:val="00EA1D5A"/>
    <w:rsid w:val="00EC495C"/>
    <w:rsid w:val="00EE3E00"/>
    <w:rsid w:val="00EF1620"/>
    <w:rsid w:val="00EF4C6A"/>
    <w:rsid w:val="00F00679"/>
    <w:rsid w:val="00F00E08"/>
    <w:rsid w:val="00F04175"/>
    <w:rsid w:val="00F273C3"/>
    <w:rsid w:val="00F53F17"/>
    <w:rsid w:val="00F56D07"/>
    <w:rsid w:val="00F62AD5"/>
    <w:rsid w:val="00F64352"/>
    <w:rsid w:val="00F776DE"/>
    <w:rsid w:val="00F920BD"/>
    <w:rsid w:val="00FB3E31"/>
    <w:rsid w:val="00FD5677"/>
    <w:rsid w:val="00FF70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6924"/>
  <w15:docId w15:val="{B255576C-3251-4FC8-A60A-DF89E7E4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pBdr>
        <w:bottom w:val="single" w:sz="8" w:space="1" w:color="FFE600"/>
      </w:pBdr>
      <w:tabs>
        <w:tab w:val="left" w:pos="426"/>
      </w:tabs>
      <w:spacing w:before="240" w:after="240" w:line="240" w:lineRule="auto"/>
      <w:contextualSpacing/>
      <w:outlineLvl w:val="0"/>
    </w:pPr>
    <w:rPr>
      <w:rFonts w:ascii="Arial" w:eastAsia="Arial" w:hAnsi="Arial" w:cs="Arial"/>
      <w:b/>
      <w:sz w:val="36"/>
      <w:szCs w:val="36"/>
    </w:rPr>
  </w:style>
  <w:style w:type="paragraph" w:styleId="Ttulo2">
    <w:name w:val="heading 2"/>
    <w:basedOn w:val="Normal"/>
    <w:next w:val="Normal"/>
    <w:pPr>
      <w:keepNext/>
      <w:keepLines/>
      <w:spacing w:before="200" w:after="240" w:line="240" w:lineRule="auto"/>
      <w:outlineLvl w:val="1"/>
    </w:pPr>
    <w:rPr>
      <w:rFonts w:ascii="Arial" w:eastAsia="Arial" w:hAnsi="Arial" w:cs="Arial"/>
      <w:b/>
      <w:sz w:val="32"/>
      <w:szCs w:val="32"/>
    </w:rPr>
  </w:style>
  <w:style w:type="paragraph" w:styleId="Ttulo3">
    <w:name w:val="heading 3"/>
    <w:basedOn w:val="Normal"/>
    <w:next w:val="Normal"/>
    <w:pPr>
      <w:pBdr>
        <w:bottom w:val="single" w:sz="18" w:space="1" w:color="F0F0F0"/>
      </w:pBdr>
      <w:spacing w:before="120" w:after="120" w:line="240" w:lineRule="auto"/>
      <w:outlineLvl w:val="2"/>
    </w:pPr>
    <w:rPr>
      <w:rFonts w:ascii="Arial" w:eastAsia="Arial" w:hAnsi="Arial" w:cs="Arial"/>
      <w:b/>
      <w:sz w:val="28"/>
      <w:szCs w:val="28"/>
    </w:rPr>
  </w:style>
  <w:style w:type="paragraph" w:styleId="Ttulo4">
    <w:name w:val="heading 4"/>
    <w:basedOn w:val="Normal"/>
    <w:next w:val="Normal"/>
    <w:pPr>
      <w:pBdr>
        <w:bottom w:val="none" w:sz="0" w:space="0" w:color="000000"/>
      </w:pBdr>
      <w:spacing w:before="240" w:after="240" w:line="240" w:lineRule="auto"/>
      <w:outlineLvl w:val="3"/>
    </w:pPr>
    <w:rPr>
      <w:rFonts w:ascii="Arial" w:eastAsia="Arial" w:hAnsi="Arial" w:cs="Arial"/>
      <w:b/>
      <w:sz w:val="24"/>
      <w:szCs w:val="24"/>
    </w:rPr>
  </w:style>
  <w:style w:type="paragraph" w:styleId="Ttulo5">
    <w:name w:val="heading 5"/>
    <w:basedOn w:val="Normal"/>
    <w:next w:val="Normal"/>
    <w:pPr>
      <w:keepNext/>
      <w:keepLines/>
      <w:spacing w:before="40" w:after="0"/>
      <w:outlineLvl w:val="4"/>
    </w:pPr>
    <w:rPr>
      <w:color w:val="5F5E61"/>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0" w:after="0" w:line="240" w:lineRule="auto"/>
      <w:ind w:left="1440" w:hanging="1080"/>
    </w:pPr>
    <w:rPr>
      <w:rFonts w:ascii="EYInterstate Light" w:eastAsia="EYInterstate Light" w:hAnsi="EYInterstate Light" w:cs="EYInterstate Light"/>
      <w:b/>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1B2325"/>
    <w:pPr>
      <w:ind w:left="720"/>
      <w:contextualSpacing/>
    </w:pPr>
  </w:style>
  <w:style w:type="paragraph" w:styleId="Encabezado">
    <w:name w:val="header"/>
    <w:basedOn w:val="Normal"/>
    <w:link w:val="EncabezadoCar"/>
    <w:uiPriority w:val="99"/>
    <w:unhideWhenUsed/>
    <w:rsid w:val="003233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33AB"/>
  </w:style>
  <w:style w:type="paragraph" w:styleId="Piedepgina">
    <w:name w:val="footer"/>
    <w:basedOn w:val="Normal"/>
    <w:link w:val="PiedepginaCar"/>
    <w:uiPriority w:val="99"/>
    <w:unhideWhenUsed/>
    <w:rsid w:val="003233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33AB"/>
  </w:style>
  <w:style w:type="character" w:styleId="Refdecomentario">
    <w:name w:val="annotation reference"/>
    <w:basedOn w:val="Fuentedeprrafopredeter"/>
    <w:uiPriority w:val="99"/>
    <w:semiHidden/>
    <w:unhideWhenUsed/>
    <w:rsid w:val="008A4EAB"/>
    <w:rPr>
      <w:sz w:val="16"/>
      <w:szCs w:val="16"/>
    </w:rPr>
  </w:style>
  <w:style w:type="paragraph" w:styleId="Textocomentario">
    <w:name w:val="annotation text"/>
    <w:basedOn w:val="Normal"/>
    <w:link w:val="TextocomentarioCar"/>
    <w:uiPriority w:val="99"/>
    <w:semiHidden/>
    <w:unhideWhenUsed/>
    <w:rsid w:val="008A4E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4EAB"/>
    <w:rPr>
      <w:sz w:val="20"/>
      <w:szCs w:val="20"/>
    </w:rPr>
  </w:style>
  <w:style w:type="paragraph" w:styleId="Asuntodelcomentario">
    <w:name w:val="annotation subject"/>
    <w:basedOn w:val="Textocomentario"/>
    <w:next w:val="Textocomentario"/>
    <w:link w:val="AsuntodelcomentarioCar"/>
    <w:uiPriority w:val="99"/>
    <w:semiHidden/>
    <w:unhideWhenUsed/>
    <w:rsid w:val="008A4EAB"/>
    <w:rPr>
      <w:b/>
      <w:bCs/>
    </w:rPr>
  </w:style>
  <w:style w:type="character" w:customStyle="1" w:styleId="AsuntodelcomentarioCar">
    <w:name w:val="Asunto del comentario Car"/>
    <w:basedOn w:val="TextocomentarioCar"/>
    <w:link w:val="Asuntodelcomentario"/>
    <w:uiPriority w:val="99"/>
    <w:semiHidden/>
    <w:rsid w:val="008A4EAB"/>
    <w:rPr>
      <w:b/>
      <w:bCs/>
      <w:sz w:val="20"/>
      <w:szCs w:val="20"/>
    </w:rPr>
  </w:style>
  <w:style w:type="paragraph" w:styleId="Textodeglobo">
    <w:name w:val="Balloon Text"/>
    <w:basedOn w:val="Normal"/>
    <w:link w:val="TextodegloboCar"/>
    <w:uiPriority w:val="99"/>
    <w:semiHidden/>
    <w:unhideWhenUsed/>
    <w:rsid w:val="008A4E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4EAB"/>
    <w:rPr>
      <w:rFonts w:ascii="Segoe UI" w:hAnsi="Segoe UI" w:cs="Segoe UI"/>
      <w:sz w:val="18"/>
      <w:szCs w:val="18"/>
    </w:rPr>
  </w:style>
  <w:style w:type="paragraph" w:styleId="Textonotapie">
    <w:name w:val="footnote text"/>
    <w:basedOn w:val="Normal"/>
    <w:link w:val="TextonotapieCar"/>
    <w:uiPriority w:val="99"/>
    <w:semiHidden/>
    <w:unhideWhenUsed/>
    <w:rsid w:val="005F0A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0A22"/>
    <w:rPr>
      <w:sz w:val="20"/>
      <w:szCs w:val="20"/>
    </w:rPr>
  </w:style>
  <w:style w:type="character" w:styleId="Refdenotaalpie">
    <w:name w:val="footnote reference"/>
    <w:basedOn w:val="Fuentedeprrafopredeter"/>
    <w:uiPriority w:val="99"/>
    <w:semiHidden/>
    <w:unhideWhenUsed/>
    <w:rsid w:val="005F0A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jpg@01D3D593.164EAD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A1EF7-E527-4347-B98B-36256FDF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10904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CARO</dc:creator>
  <cp:lastModifiedBy>Alberto Olarte</cp:lastModifiedBy>
  <cp:revision>2</cp:revision>
  <dcterms:created xsi:type="dcterms:W3CDTF">2018-11-08T12:49:00Z</dcterms:created>
  <dcterms:modified xsi:type="dcterms:W3CDTF">2018-11-08T12:49:00Z</dcterms:modified>
</cp:coreProperties>
</file>