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BC" w:rsidRPr="00EF0A59" w:rsidRDefault="008D3ABC" w:rsidP="00EF35FA">
      <w:pPr>
        <w:jc w:val="both"/>
        <w:outlineLvl w:val="0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 xml:space="preserve">Bogotá D. C., </w:t>
      </w:r>
      <w:r w:rsidR="00D118FA">
        <w:rPr>
          <w:rFonts w:ascii="Verdana" w:hAnsi="Verdana"/>
          <w:lang w:val="es-ES"/>
        </w:rPr>
        <w:t xml:space="preserve">09 de noviembre </w:t>
      </w:r>
      <w:r w:rsidR="00EF35FA" w:rsidRPr="00EF0A59">
        <w:rPr>
          <w:rFonts w:ascii="Verdana" w:hAnsi="Verdana"/>
          <w:lang w:val="es-ES"/>
        </w:rPr>
        <w:t>de 2017</w:t>
      </w:r>
    </w:p>
    <w:p w:rsidR="008A1437" w:rsidRPr="00EF0A59" w:rsidRDefault="008A1437" w:rsidP="008D3ABC">
      <w:pPr>
        <w:jc w:val="both"/>
        <w:outlineLvl w:val="0"/>
        <w:rPr>
          <w:rFonts w:ascii="Verdana" w:hAnsi="Verdana"/>
          <w:lang w:val="es-ES"/>
        </w:rPr>
      </w:pPr>
    </w:p>
    <w:p w:rsidR="00D11DDD" w:rsidRPr="00A073A1" w:rsidRDefault="00D11DDD" w:rsidP="00D11DDD">
      <w:pPr>
        <w:rPr>
          <w:rFonts w:ascii="Verdana" w:hAnsi="Verdana" w:cs="Arial"/>
          <w:sz w:val="22"/>
          <w:szCs w:val="22"/>
          <w:lang w:val="es-ES_tradnl"/>
        </w:rPr>
      </w:pPr>
      <w:r w:rsidRPr="00A073A1">
        <w:rPr>
          <w:rFonts w:ascii="Verdana" w:hAnsi="Verdana" w:cs="Arial"/>
          <w:sz w:val="22"/>
          <w:szCs w:val="22"/>
          <w:lang w:val="es-ES_tradnl"/>
        </w:rPr>
        <w:t>Doctor</w:t>
      </w:r>
    </w:p>
    <w:p w:rsidR="00D11DDD" w:rsidRPr="00A073A1" w:rsidRDefault="00D11DDD" w:rsidP="00D11DDD">
      <w:pPr>
        <w:rPr>
          <w:rFonts w:ascii="Verdana" w:hAnsi="Verdana" w:cs="Arial"/>
          <w:b/>
          <w:color w:val="000000"/>
          <w:sz w:val="22"/>
          <w:szCs w:val="22"/>
          <w:lang w:val="es-ES_tradnl"/>
        </w:rPr>
      </w:pPr>
      <w:r>
        <w:rPr>
          <w:rFonts w:ascii="Verdana" w:hAnsi="Verdana" w:cs="Arial"/>
          <w:b/>
          <w:color w:val="000000"/>
          <w:sz w:val="22"/>
          <w:szCs w:val="22"/>
          <w:lang w:val="es-ES_tradnl"/>
        </w:rPr>
        <w:t>Alonso Mayelo Cardona</w:t>
      </w:r>
    </w:p>
    <w:p w:rsidR="00D11DDD" w:rsidRPr="00A073A1" w:rsidRDefault="00D11DDD" w:rsidP="00D11DDD">
      <w:pPr>
        <w:rPr>
          <w:rFonts w:ascii="Verdana" w:hAnsi="Verdana" w:cs="Arial"/>
          <w:color w:val="000000"/>
          <w:sz w:val="22"/>
          <w:szCs w:val="22"/>
          <w:lang w:val="es-ES_tradnl"/>
        </w:rPr>
      </w:pPr>
      <w:r>
        <w:rPr>
          <w:rFonts w:ascii="Verdana" w:hAnsi="Verdana" w:cs="Arial"/>
          <w:color w:val="000000"/>
          <w:sz w:val="22"/>
          <w:szCs w:val="22"/>
          <w:lang w:val="es-ES_tradnl"/>
        </w:rPr>
        <w:t>Viceministro (E)</w:t>
      </w:r>
      <w:r w:rsidRPr="00A073A1">
        <w:rPr>
          <w:rFonts w:ascii="Verdana" w:hAnsi="Verdana" w:cs="Arial"/>
          <w:color w:val="000000"/>
          <w:sz w:val="22"/>
          <w:szCs w:val="22"/>
          <w:lang w:val="es-ES_tradnl"/>
        </w:rPr>
        <w:t xml:space="preserve"> de Energía </w:t>
      </w:r>
    </w:p>
    <w:p w:rsidR="00D11DDD" w:rsidRPr="00D11DDD" w:rsidRDefault="00D11DDD" w:rsidP="00D11DDD">
      <w:pPr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color w:val="000000"/>
          <w:sz w:val="22"/>
          <w:szCs w:val="22"/>
          <w:lang w:val="es-ES_tradnl"/>
        </w:rPr>
        <w:t>Ministerio de Minas y Energía-MME</w:t>
      </w:r>
    </w:p>
    <w:p w:rsidR="00D11DDD" w:rsidRPr="00D11DDD" w:rsidRDefault="00D11DDD" w:rsidP="005E553B">
      <w:pPr>
        <w:jc w:val="both"/>
        <w:outlineLvl w:val="0"/>
        <w:rPr>
          <w:rFonts w:ascii="Verdana" w:hAnsi="Verdana"/>
          <w:lang w:val="es-ES_tradnl"/>
        </w:rPr>
      </w:pPr>
    </w:p>
    <w:p w:rsidR="005E553B" w:rsidRPr="00EF0A59" w:rsidRDefault="005E553B" w:rsidP="005E553B">
      <w:pPr>
        <w:jc w:val="both"/>
        <w:outlineLvl w:val="0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>Doctor</w:t>
      </w:r>
    </w:p>
    <w:p w:rsidR="005E553B" w:rsidRPr="00EF0A59" w:rsidRDefault="005E553B" w:rsidP="005E553B">
      <w:pPr>
        <w:jc w:val="both"/>
        <w:outlineLvl w:val="0"/>
        <w:rPr>
          <w:rFonts w:ascii="Verdana" w:hAnsi="Verdana"/>
          <w:b/>
          <w:lang w:val="es-ES"/>
        </w:rPr>
      </w:pPr>
      <w:r w:rsidRPr="00EF0A59">
        <w:rPr>
          <w:rFonts w:ascii="Verdana" w:hAnsi="Verdana"/>
          <w:b/>
          <w:lang w:val="es-ES"/>
        </w:rPr>
        <w:t>German Castro Ferreira</w:t>
      </w:r>
    </w:p>
    <w:p w:rsidR="005E553B" w:rsidRPr="00EF0A59" w:rsidRDefault="005E553B" w:rsidP="005E553B">
      <w:pPr>
        <w:jc w:val="both"/>
        <w:outlineLvl w:val="0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>Director Ejecutivo</w:t>
      </w:r>
    </w:p>
    <w:p w:rsidR="005E553B" w:rsidRPr="00EF0A59" w:rsidRDefault="005E553B" w:rsidP="005E553B">
      <w:pPr>
        <w:jc w:val="both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>Comisión de Regulación de Energía y Gas</w:t>
      </w:r>
      <w:r w:rsidR="00D118FA">
        <w:rPr>
          <w:rFonts w:ascii="Verdana" w:hAnsi="Verdana"/>
          <w:lang w:val="es-ES"/>
        </w:rPr>
        <w:t>-CREG</w:t>
      </w:r>
    </w:p>
    <w:p w:rsidR="00006C64" w:rsidRDefault="00006C64" w:rsidP="005E553B">
      <w:pPr>
        <w:ind w:right="-1"/>
        <w:jc w:val="both"/>
        <w:rPr>
          <w:rFonts w:ascii="Verdana" w:hAnsi="Verdana"/>
          <w:lang w:val="es-ES"/>
        </w:rPr>
      </w:pPr>
    </w:p>
    <w:p w:rsidR="00401494" w:rsidRPr="00210E1E" w:rsidRDefault="00401494" w:rsidP="00401494">
      <w:pPr>
        <w:jc w:val="both"/>
        <w:outlineLvl w:val="0"/>
        <w:rPr>
          <w:rFonts w:ascii="Verdana" w:hAnsi="Verdana"/>
          <w:lang w:val="es-ES"/>
        </w:rPr>
      </w:pPr>
      <w:r w:rsidRPr="00210E1E">
        <w:rPr>
          <w:rFonts w:ascii="Verdana" w:hAnsi="Verdana"/>
          <w:lang w:val="es-ES"/>
        </w:rPr>
        <w:t>Doctor</w:t>
      </w:r>
    </w:p>
    <w:p w:rsidR="00401494" w:rsidRPr="00210E1E" w:rsidRDefault="00401494" w:rsidP="00401494">
      <w:pPr>
        <w:jc w:val="both"/>
        <w:outlineLvl w:val="0"/>
        <w:rPr>
          <w:rFonts w:ascii="Verdana" w:hAnsi="Verdana"/>
          <w:b/>
          <w:lang w:val="es-ES"/>
        </w:rPr>
      </w:pPr>
      <w:r w:rsidRPr="00210E1E">
        <w:rPr>
          <w:rFonts w:ascii="Verdana" w:hAnsi="Verdana"/>
          <w:b/>
          <w:lang w:val="es-ES"/>
        </w:rPr>
        <w:t>Ricardo Humberto Ramírez Carrero</w:t>
      </w:r>
    </w:p>
    <w:p w:rsidR="00401494" w:rsidRPr="00210E1E" w:rsidRDefault="00401494" w:rsidP="00401494">
      <w:pPr>
        <w:jc w:val="both"/>
        <w:outlineLvl w:val="0"/>
        <w:rPr>
          <w:rFonts w:ascii="Verdana" w:hAnsi="Verdana"/>
          <w:lang w:val="es-ES"/>
        </w:rPr>
      </w:pPr>
      <w:r w:rsidRPr="00210E1E">
        <w:rPr>
          <w:rFonts w:ascii="Verdana" w:hAnsi="Verdana"/>
          <w:lang w:val="es-ES"/>
        </w:rPr>
        <w:t>Director General (E)</w:t>
      </w:r>
    </w:p>
    <w:p w:rsidR="00401494" w:rsidRPr="00210E1E" w:rsidRDefault="00401494" w:rsidP="00401494">
      <w:pPr>
        <w:jc w:val="both"/>
        <w:rPr>
          <w:rFonts w:ascii="Verdana" w:hAnsi="Verdana"/>
          <w:lang w:val="es-ES"/>
        </w:rPr>
      </w:pPr>
      <w:r w:rsidRPr="00210E1E">
        <w:rPr>
          <w:rFonts w:ascii="Verdana" w:hAnsi="Verdana"/>
          <w:lang w:val="es-ES"/>
        </w:rPr>
        <w:t>Unidad de Planeación Minero Energética-UPME</w:t>
      </w:r>
    </w:p>
    <w:p w:rsidR="0097358D" w:rsidRPr="00EF0A59" w:rsidRDefault="0097358D" w:rsidP="00D11DDD">
      <w:pPr>
        <w:jc w:val="both"/>
        <w:rPr>
          <w:rFonts w:ascii="Verdana" w:hAnsi="Verdana"/>
        </w:rPr>
      </w:pPr>
    </w:p>
    <w:p w:rsidR="00465392" w:rsidRDefault="00465392" w:rsidP="008A1437">
      <w:pPr>
        <w:ind w:left="1416" w:hanging="1416"/>
        <w:jc w:val="both"/>
        <w:rPr>
          <w:rFonts w:ascii="Verdana" w:hAnsi="Verdana"/>
        </w:rPr>
      </w:pPr>
    </w:p>
    <w:p w:rsidR="00DB1401" w:rsidRPr="00EF0A59" w:rsidRDefault="00604CB0" w:rsidP="008A1437">
      <w:pPr>
        <w:ind w:left="1416" w:hanging="1416"/>
        <w:jc w:val="both"/>
        <w:rPr>
          <w:rFonts w:ascii="Verdana" w:hAnsi="Verdana"/>
        </w:rPr>
      </w:pPr>
      <w:r w:rsidRPr="00EF0A59">
        <w:rPr>
          <w:rFonts w:ascii="Verdana" w:hAnsi="Verdana"/>
        </w:rPr>
        <w:t xml:space="preserve">Asunto: </w:t>
      </w:r>
      <w:r w:rsidR="008A1437" w:rsidRPr="00EF0A59">
        <w:rPr>
          <w:rFonts w:ascii="Verdana" w:hAnsi="Verdana"/>
        </w:rPr>
        <w:tab/>
      </w:r>
      <w:r w:rsidR="00CC4772">
        <w:rPr>
          <w:rFonts w:ascii="Verdana" w:hAnsi="Verdana"/>
        </w:rPr>
        <w:t xml:space="preserve">Situación esperada del Sistema Interconectado Nacional-SIN </w:t>
      </w:r>
      <w:r w:rsidR="00006C64">
        <w:rPr>
          <w:rFonts w:ascii="Verdana" w:hAnsi="Verdana"/>
        </w:rPr>
        <w:t>para el año 2018.</w:t>
      </w:r>
    </w:p>
    <w:p w:rsidR="00C16543" w:rsidRPr="00EF0A59" w:rsidRDefault="009E5631" w:rsidP="00566423">
      <w:pPr>
        <w:jc w:val="both"/>
        <w:rPr>
          <w:rFonts w:ascii="Verdana" w:hAnsi="Verdana"/>
        </w:rPr>
      </w:pPr>
      <w:r w:rsidRPr="00EF0A59">
        <w:rPr>
          <w:rFonts w:ascii="Verdana" w:hAnsi="Verdana"/>
        </w:rPr>
        <w:t xml:space="preserve">  </w:t>
      </w:r>
    </w:p>
    <w:p w:rsidR="00465392" w:rsidRDefault="00465392" w:rsidP="00566423">
      <w:pPr>
        <w:jc w:val="both"/>
        <w:rPr>
          <w:rFonts w:ascii="Verdana" w:hAnsi="Verdana"/>
        </w:rPr>
      </w:pPr>
    </w:p>
    <w:p w:rsidR="00566423" w:rsidRPr="00EF0A59" w:rsidRDefault="00D118FA" w:rsidP="00566423">
      <w:pPr>
        <w:jc w:val="both"/>
        <w:rPr>
          <w:rFonts w:ascii="Verdana" w:hAnsi="Verdana"/>
        </w:rPr>
      </w:pPr>
      <w:r>
        <w:rPr>
          <w:rFonts w:ascii="Verdana" w:hAnsi="Verdana"/>
        </w:rPr>
        <w:t>Respetados</w:t>
      </w:r>
      <w:r w:rsidR="00566423" w:rsidRPr="00EF0A59">
        <w:rPr>
          <w:rFonts w:ascii="Verdana" w:hAnsi="Verdana"/>
        </w:rPr>
        <w:t>:</w:t>
      </w:r>
    </w:p>
    <w:p w:rsidR="0097358D" w:rsidRPr="00EF0A59" w:rsidRDefault="0097358D" w:rsidP="008A1437">
      <w:pPr>
        <w:jc w:val="both"/>
        <w:rPr>
          <w:rFonts w:ascii="Verdana" w:hAnsi="Verdana"/>
        </w:rPr>
      </w:pPr>
    </w:p>
    <w:p w:rsidR="00D118FA" w:rsidRDefault="0086393A" w:rsidP="00D118FA">
      <w:pPr>
        <w:jc w:val="both"/>
        <w:rPr>
          <w:rFonts w:ascii="Verdana" w:hAnsi="Verdana"/>
        </w:rPr>
      </w:pPr>
      <w:r w:rsidRPr="00EF0A59">
        <w:rPr>
          <w:rFonts w:ascii="Verdana" w:hAnsi="Verdana"/>
        </w:rPr>
        <w:t>El Consejo Nacional de Operación</w:t>
      </w:r>
      <w:r w:rsidR="00D118FA">
        <w:rPr>
          <w:rFonts w:ascii="Verdana" w:hAnsi="Verdana"/>
        </w:rPr>
        <w:t>-CNO</w:t>
      </w:r>
      <w:r w:rsidR="00E70698" w:rsidRPr="00EF0A59">
        <w:rPr>
          <w:rFonts w:ascii="Verdana" w:hAnsi="Verdana"/>
        </w:rPr>
        <w:t xml:space="preserve"> </w:t>
      </w:r>
      <w:r w:rsidR="0026014B" w:rsidRPr="00EF0A59">
        <w:rPr>
          <w:rFonts w:ascii="Verdana" w:hAnsi="Verdana"/>
        </w:rPr>
        <w:t xml:space="preserve">en ejercicio de las funciones que la Ley 143 de 1994 le ha asignado, de acordar los aspectos técnicos para garantizar que la operación integrada del </w:t>
      </w:r>
      <w:r w:rsidR="004367DF" w:rsidRPr="00EF0A59">
        <w:rPr>
          <w:rFonts w:ascii="Verdana" w:hAnsi="Verdana"/>
        </w:rPr>
        <w:t xml:space="preserve">Sistema Interconectado Nacional-SIN </w:t>
      </w:r>
      <w:r w:rsidR="0026014B" w:rsidRPr="00EF0A59">
        <w:rPr>
          <w:rFonts w:ascii="Verdana" w:hAnsi="Verdana"/>
        </w:rPr>
        <w:t>sea segura</w:t>
      </w:r>
      <w:r w:rsidR="00705D40" w:rsidRPr="00EF0A59">
        <w:rPr>
          <w:rFonts w:ascii="Verdana" w:hAnsi="Verdana"/>
        </w:rPr>
        <w:t>,</w:t>
      </w:r>
      <w:r w:rsidR="0026014B" w:rsidRPr="00EF0A59">
        <w:rPr>
          <w:rFonts w:ascii="Verdana" w:hAnsi="Verdana"/>
        </w:rPr>
        <w:t xml:space="preserve"> confiable y económica</w:t>
      </w:r>
      <w:r w:rsidR="003A098A">
        <w:rPr>
          <w:rFonts w:ascii="Verdana" w:hAnsi="Verdana"/>
        </w:rPr>
        <w:t xml:space="preserve">, manifiesta una vez más su </w:t>
      </w:r>
      <w:r w:rsidR="00D118FA">
        <w:rPr>
          <w:rFonts w:ascii="Verdana" w:hAnsi="Verdana"/>
        </w:rPr>
        <w:t xml:space="preserve">preocupación por </w:t>
      </w:r>
      <w:r w:rsidR="00355685">
        <w:rPr>
          <w:rFonts w:ascii="Verdana" w:hAnsi="Verdana"/>
        </w:rPr>
        <w:t xml:space="preserve">la situación </w:t>
      </w:r>
      <w:r w:rsidR="00CD1123">
        <w:rPr>
          <w:rFonts w:ascii="Verdana" w:hAnsi="Verdana"/>
        </w:rPr>
        <w:t xml:space="preserve">descrita en el </w:t>
      </w:r>
      <w:r w:rsidR="00853D9D">
        <w:rPr>
          <w:rFonts w:ascii="Verdana" w:hAnsi="Verdana"/>
        </w:rPr>
        <w:t xml:space="preserve">tercer </w:t>
      </w:r>
      <w:r w:rsidR="00D118FA">
        <w:rPr>
          <w:rFonts w:ascii="Verdana" w:hAnsi="Verdana"/>
        </w:rPr>
        <w:t xml:space="preserve">Informe de Planeamiento Operativo </w:t>
      </w:r>
      <w:r w:rsidR="00853D9D">
        <w:rPr>
          <w:rFonts w:ascii="Verdana" w:hAnsi="Verdana"/>
        </w:rPr>
        <w:t xml:space="preserve">Eléctrico </w:t>
      </w:r>
      <w:r w:rsidR="00D118FA">
        <w:rPr>
          <w:rFonts w:ascii="Verdana" w:hAnsi="Verdana"/>
        </w:rPr>
        <w:t xml:space="preserve">de Mediano Plazo elaborado por </w:t>
      </w:r>
      <w:r w:rsidR="00853D9D">
        <w:rPr>
          <w:rFonts w:ascii="Verdana" w:hAnsi="Verdana"/>
        </w:rPr>
        <w:t>XM</w:t>
      </w:r>
      <w:r w:rsidR="003A098A">
        <w:rPr>
          <w:rFonts w:ascii="Verdana" w:hAnsi="Verdana"/>
        </w:rPr>
        <w:t xml:space="preserve"> y socializado </w:t>
      </w:r>
      <w:r w:rsidR="00D118FA">
        <w:rPr>
          <w:rFonts w:ascii="Verdana" w:hAnsi="Verdana"/>
        </w:rPr>
        <w:t>en el Comité de Operación del CNO.</w:t>
      </w:r>
    </w:p>
    <w:p w:rsidR="00D118FA" w:rsidRDefault="00D118FA" w:rsidP="00D118FA">
      <w:pPr>
        <w:jc w:val="both"/>
        <w:rPr>
          <w:rFonts w:ascii="Verdana" w:hAnsi="Verdana"/>
        </w:rPr>
      </w:pPr>
    </w:p>
    <w:p w:rsidR="00853D9D" w:rsidRDefault="00D118FA" w:rsidP="006B4AC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En dicho informe se identifican las condiciones </w:t>
      </w:r>
      <w:r w:rsidR="0055768E">
        <w:rPr>
          <w:rFonts w:ascii="Verdana" w:hAnsi="Verdana"/>
        </w:rPr>
        <w:t>previstas</w:t>
      </w:r>
      <w:r>
        <w:rPr>
          <w:rFonts w:ascii="Verdana" w:hAnsi="Verdana"/>
        </w:rPr>
        <w:t xml:space="preserve"> para el </w:t>
      </w:r>
      <w:r w:rsidR="0055768E">
        <w:rPr>
          <w:rFonts w:ascii="Verdana" w:hAnsi="Verdana"/>
        </w:rPr>
        <w:t>SIN</w:t>
      </w:r>
      <w:r>
        <w:rPr>
          <w:rFonts w:ascii="Verdana" w:hAnsi="Verdana"/>
        </w:rPr>
        <w:t xml:space="preserve"> en el </w:t>
      </w:r>
      <w:r w:rsidR="007442C6">
        <w:rPr>
          <w:rFonts w:ascii="Verdana" w:hAnsi="Verdana"/>
        </w:rPr>
        <w:t xml:space="preserve">2018 </w:t>
      </w:r>
      <w:r>
        <w:rPr>
          <w:rFonts w:ascii="Verdana" w:hAnsi="Verdana"/>
        </w:rPr>
        <w:t xml:space="preserve">para cada una </w:t>
      </w:r>
      <w:r w:rsidR="0055768E">
        <w:rPr>
          <w:rFonts w:ascii="Verdana" w:hAnsi="Verdana"/>
        </w:rPr>
        <w:t>de las áreas y sub-áreas</w:t>
      </w:r>
      <w:r w:rsidR="00355685">
        <w:rPr>
          <w:rFonts w:ascii="Verdana" w:hAnsi="Verdana"/>
        </w:rPr>
        <w:t>,</w:t>
      </w:r>
      <w:r w:rsidR="0046539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contemplando dos escenarios topológicos, </w:t>
      </w:r>
      <w:r w:rsidR="0055768E">
        <w:rPr>
          <w:rFonts w:ascii="Verdana" w:hAnsi="Verdana"/>
        </w:rPr>
        <w:t>sistema actual</w:t>
      </w:r>
      <w:r>
        <w:rPr>
          <w:rFonts w:ascii="Verdana" w:hAnsi="Verdana"/>
        </w:rPr>
        <w:t xml:space="preserve"> y </w:t>
      </w:r>
      <w:r w:rsidR="0055768E">
        <w:rPr>
          <w:rFonts w:ascii="Verdana" w:hAnsi="Verdana"/>
        </w:rPr>
        <w:t>esperado</w:t>
      </w:r>
      <w:r w:rsidR="00C36901">
        <w:rPr>
          <w:rFonts w:ascii="Verdana" w:hAnsi="Verdana"/>
        </w:rPr>
        <w:t xml:space="preserve"> con la </w:t>
      </w:r>
      <w:r>
        <w:rPr>
          <w:rFonts w:ascii="Verdana" w:hAnsi="Verdana"/>
        </w:rPr>
        <w:t>entrada de proyectos en el horizonte de análisis</w:t>
      </w:r>
      <w:r w:rsidR="00853D9D" w:rsidRPr="00853D9D">
        <w:rPr>
          <w:rFonts w:ascii="Verdana" w:hAnsi="Verdana"/>
        </w:rPr>
        <w:t xml:space="preserve"> </w:t>
      </w:r>
      <w:r w:rsidR="00853D9D">
        <w:rPr>
          <w:rFonts w:ascii="Verdana" w:hAnsi="Verdana"/>
        </w:rPr>
        <w:t xml:space="preserve">y considerando un crecimiento medio de demanda pronosticado por la </w:t>
      </w:r>
      <w:r w:rsidR="00853D9D" w:rsidRPr="007E4FCD">
        <w:rPr>
          <w:rFonts w:ascii="Verdana" w:hAnsi="Verdana"/>
        </w:rPr>
        <w:t xml:space="preserve">UPME </w:t>
      </w:r>
      <w:r w:rsidR="00853D9D">
        <w:rPr>
          <w:rFonts w:ascii="Verdana" w:hAnsi="Verdana"/>
        </w:rPr>
        <w:t>en la</w:t>
      </w:r>
      <w:r w:rsidR="00853D9D" w:rsidRPr="007E4FCD">
        <w:rPr>
          <w:rFonts w:ascii="Verdana" w:hAnsi="Verdana"/>
        </w:rPr>
        <w:t xml:space="preserve"> revisión </w:t>
      </w:r>
      <w:r w:rsidR="00853D9D">
        <w:rPr>
          <w:rFonts w:ascii="Verdana" w:hAnsi="Verdana"/>
        </w:rPr>
        <w:t>de</w:t>
      </w:r>
      <w:r w:rsidR="00853D9D" w:rsidRPr="007E4FCD">
        <w:rPr>
          <w:rFonts w:ascii="Verdana" w:hAnsi="Verdana"/>
        </w:rPr>
        <w:t xml:space="preserve"> febrero 2017</w:t>
      </w:r>
      <w:r w:rsidR="00853D9D">
        <w:rPr>
          <w:rFonts w:ascii="Verdana" w:hAnsi="Verdana"/>
        </w:rPr>
        <w:t>, el cual fue revisado por los Operadores de Red</w:t>
      </w:r>
      <w:r w:rsidR="00230E1F">
        <w:rPr>
          <w:rFonts w:ascii="Verdana" w:hAnsi="Verdana"/>
        </w:rPr>
        <w:t xml:space="preserve"> y presentado en el Comité de Distribución </w:t>
      </w:r>
      <w:r w:rsidR="002B661E">
        <w:rPr>
          <w:rFonts w:ascii="Verdana" w:hAnsi="Verdana"/>
        </w:rPr>
        <w:t>174 realizado el 25 de julio de 2017</w:t>
      </w:r>
      <w:r>
        <w:rPr>
          <w:rFonts w:ascii="Verdana" w:hAnsi="Verdana"/>
        </w:rPr>
        <w:t>.</w:t>
      </w:r>
      <w:r w:rsidR="003B4F87">
        <w:rPr>
          <w:rFonts w:ascii="Verdana" w:hAnsi="Verdana"/>
        </w:rPr>
        <w:t xml:space="preserve"> </w:t>
      </w:r>
      <w:r w:rsidR="00892049">
        <w:rPr>
          <w:rFonts w:ascii="Verdana" w:hAnsi="Verdana"/>
        </w:rPr>
        <w:t>El</w:t>
      </w:r>
      <w:r w:rsidR="00457AA5">
        <w:rPr>
          <w:rFonts w:ascii="Verdana" w:hAnsi="Verdana"/>
        </w:rPr>
        <w:t xml:space="preserve"> </w:t>
      </w:r>
      <w:r w:rsidR="007442C6">
        <w:rPr>
          <w:rFonts w:ascii="Verdana" w:hAnsi="Verdana"/>
        </w:rPr>
        <w:t>panorama encontrado</w:t>
      </w:r>
      <w:r w:rsidR="00892049">
        <w:rPr>
          <w:rFonts w:ascii="Verdana" w:hAnsi="Verdana"/>
        </w:rPr>
        <w:t xml:space="preserve"> </w:t>
      </w:r>
      <w:r w:rsidR="007442C6">
        <w:rPr>
          <w:rFonts w:ascii="Verdana" w:hAnsi="Verdana"/>
        </w:rPr>
        <w:t xml:space="preserve">(adjunto a la </w:t>
      </w:r>
      <w:r w:rsidR="007442C6">
        <w:rPr>
          <w:rFonts w:ascii="Verdana" w:hAnsi="Verdana"/>
        </w:rPr>
        <w:lastRenderedPageBreak/>
        <w:t xml:space="preserve">presente comunicación) </w:t>
      </w:r>
      <w:r w:rsidR="00892049">
        <w:rPr>
          <w:rFonts w:ascii="Verdana" w:hAnsi="Verdana"/>
        </w:rPr>
        <w:t xml:space="preserve">evidencia </w:t>
      </w:r>
      <w:r w:rsidR="0055768E">
        <w:rPr>
          <w:rFonts w:ascii="Verdana" w:hAnsi="Verdana"/>
        </w:rPr>
        <w:t>situaciones</w:t>
      </w:r>
      <w:r w:rsidR="00892049">
        <w:rPr>
          <w:rFonts w:ascii="Verdana" w:hAnsi="Verdana"/>
        </w:rPr>
        <w:t xml:space="preserve"> críticas para algunas sub-áreas del SIN, particularmente en </w:t>
      </w:r>
      <w:r w:rsidR="00416706">
        <w:rPr>
          <w:rFonts w:ascii="Verdana" w:hAnsi="Verdana"/>
        </w:rPr>
        <w:t>la zona</w:t>
      </w:r>
      <w:r w:rsidR="00892049">
        <w:rPr>
          <w:rFonts w:ascii="Verdana" w:hAnsi="Verdana"/>
        </w:rPr>
        <w:t xml:space="preserve"> Caribe.</w:t>
      </w:r>
      <w:r w:rsidR="00E033E1">
        <w:rPr>
          <w:rFonts w:ascii="Verdana" w:hAnsi="Verdana"/>
        </w:rPr>
        <w:t xml:space="preserve"> </w:t>
      </w:r>
      <w:r w:rsidR="00853D9D">
        <w:rPr>
          <w:rFonts w:ascii="Verdana" w:hAnsi="Verdana"/>
        </w:rPr>
        <w:t xml:space="preserve">Además, la situación </w:t>
      </w:r>
      <w:r w:rsidR="00016D82">
        <w:rPr>
          <w:rFonts w:ascii="Verdana" w:hAnsi="Verdana"/>
        </w:rPr>
        <w:t>es preocupante</w:t>
      </w:r>
      <w:r w:rsidR="00853D9D">
        <w:rPr>
          <w:rFonts w:ascii="Verdana" w:hAnsi="Verdana"/>
        </w:rPr>
        <w:t xml:space="preserve"> teniendo en cuenta </w:t>
      </w:r>
      <w:r w:rsidR="003B1337">
        <w:rPr>
          <w:rFonts w:ascii="Verdana" w:hAnsi="Verdana"/>
        </w:rPr>
        <w:t xml:space="preserve">la dificultad actual para la entrada oportuna de </w:t>
      </w:r>
      <w:r w:rsidR="00853D9D">
        <w:rPr>
          <w:rFonts w:ascii="Verdana" w:hAnsi="Verdana"/>
        </w:rPr>
        <w:t>los proyectos de expansión</w:t>
      </w:r>
      <w:r w:rsidR="00465392">
        <w:rPr>
          <w:rFonts w:ascii="Verdana" w:hAnsi="Verdana"/>
        </w:rPr>
        <w:t>,</w:t>
      </w:r>
      <w:r w:rsidR="00016D82">
        <w:rPr>
          <w:rFonts w:ascii="Verdana" w:hAnsi="Verdana"/>
        </w:rPr>
        <w:t xml:space="preserve"> definidos para mejorar estas condiciones</w:t>
      </w:r>
      <w:r w:rsidR="00853D9D">
        <w:rPr>
          <w:rFonts w:ascii="Verdana" w:hAnsi="Verdana"/>
        </w:rPr>
        <w:t>.</w:t>
      </w:r>
      <w:r w:rsidR="00416706">
        <w:rPr>
          <w:rFonts w:ascii="Verdana" w:hAnsi="Verdana"/>
        </w:rPr>
        <w:t xml:space="preserve"> En otras palabras, </w:t>
      </w:r>
      <w:r w:rsidR="007D3DEE">
        <w:rPr>
          <w:rFonts w:ascii="Verdana" w:hAnsi="Verdana"/>
        </w:rPr>
        <w:t xml:space="preserve">se identifican para el año 2018 </w:t>
      </w:r>
      <w:r w:rsidR="0055768E">
        <w:rPr>
          <w:rFonts w:ascii="Verdana" w:hAnsi="Verdana"/>
        </w:rPr>
        <w:t>riesgos operativos</w:t>
      </w:r>
      <w:r w:rsidR="007D3DEE">
        <w:rPr>
          <w:rFonts w:ascii="Verdana" w:hAnsi="Verdana"/>
        </w:rPr>
        <w:t>, donde mu</w:t>
      </w:r>
      <w:r w:rsidR="0055768E">
        <w:rPr>
          <w:rFonts w:ascii="Verdana" w:hAnsi="Verdana"/>
        </w:rPr>
        <w:t>chas de las medidas</w:t>
      </w:r>
      <w:r w:rsidR="007D3DEE">
        <w:rPr>
          <w:rFonts w:ascii="Verdana" w:hAnsi="Verdana"/>
        </w:rPr>
        <w:t xml:space="preserve"> </w:t>
      </w:r>
      <w:r w:rsidR="007442C6">
        <w:rPr>
          <w:rFonts w:ascii="Verdana" w:hAnsi="Verdana"/>
        </w:rPr>
        <w:t>tomadas p</w:t>
      </w:r>
      <w:r w:rsidR="00D11DDD">
        <w:rPr>
          <w:rFonts w:ascii="Verdana" w:hAnsi="Verdana"/>
        </w:rPr>
        <w:t>o</w:t>
      </w:r>
      <w:r w:rsidR="007442C6">
        <w:rPr>
          <w:rFonts w:ascii="Verdana" w:hAnsi="Verdana"/>
        </w:rPr>
        <w:t>r</w:t>
      </w:r>
      <w:r w:rsidR="007D3DEE">
        <w:rPr>
          <w:rFonts w:ascii="Verdana" w:hAnsi="Verdana"/>
        </w:rPr>
        <w:t xml:space="preserve"> </w:t>
      </w:r>
      <w:r w:rsidR="00853D9D">
        <w:rPr>
          <w:rFonts w:ascii="Verdana" w:hAnsi="Verdana"/>
        </w:rPr>
        <w:t>XM</w:t>
      </w:r>
      <w:r w:rsidR="007D3DEE">
        <w:rPr>
          <w:rFonts w:ascii="Verdana" w:hAnsi="Verdana"/>
        </w:rPr>
        <w:t xml:space="preserve"> y algunos Operadores de Red, ya no son suficientes para garant</w:t>
      </w:r>
      <w:r w:rsidR="009B0DAA">
        <w:rPr>
          <w:rFonts w:ascii="Verdana" w:hAnsi="Verdana"/>
        </w:rPr>
        <w:t xml:space="preserve">izar la atención de la demanda, dado que </w:t>
      </w:r>
      <w:r w:rsidR="007D3DEE">
        <w:rPr>
          <w:rFonts w:ascii="Verdana" w:hAnsi="Verdana"/>
        </w:rPr>
        <w:t>se observa la violación de los criterios de seguridad, es decir, sobrecargas o bajas tensiones en co</w:t>
      </w:r>
      <w:r w:rsidR="009B0DAA">
        <w:rPr>
          <w:rFonts w:ascii="Verdana" w:hAnsi="Verdana"/>
        </w:rPr>
        <w:t>ndiciones normales de operación (</w:t>
      </w:r>
      <w:r w:rsidR="00C62FAC">
        <w:rPr>
          <w:rFonts w:ascii="Verdana" w:hAnsi="Verdana"/>
        </w:rPr>
        <w:t xml:space="preserve">situación que se torna más crítica ante las </w:t>
      </w:r>
      <w:r w:rsidR="00C62FAC">
        <w:rPr>
          <w:rFonts w:ascii="Verdana" w:hAnsi="Verdana"/>
        </w:rPr>
        <w:t>indisponibilidades programadas como mantenimientos</w:t>
      </w:r>
      <w:r w:rsidR="009B0DAA">
        <w:rPr>
          <w:rFonts w:ascii="Verdana" w:hAnsi="Verdana"/>
        </w:rPr>
        <w:t>)</w:t>
      </w:r>
      <w:r w:rsidR="007D3DEE">
        <w:rPr>
          <w:rFonts w:ascii="Verdana" w:hAnsi="Verdana"/>
        </w:rPr>
        <w:t>.</w:t>
      </w:r>
      <w:r w:rsidR="00853D9D">
        <w:rPr>
          <w:rFonts w:ascii="Verdana" w:hAnsi="Verdana"/>
        </w:rPr>
        <w:t xml:space="preserve"> </w:t>
      </w:r>
      <w:r w:rsidR="00457AA5">
        <w:rPr>
          <w:rFonts w:ascii="Verdana" w:hAnsi="Verdana"/>
        </w:rPr>
        <w:t>En este sentido</w:t>
      </w:r>
      <w:r w:rsidR="00BD6300">
        <w:rPr>
          <w:rFonts w:ascii="Verdana" w:hAnsi="Verdana"/>
        </w:rPr>
        <w:t xml:space="preserve"> </w:t>
      </w:r>
      <w:r w:rsidR="007442C6">
        <w:rPr>
          <w:rFonts w:ascii="Verdana" w:hAnsi="Verdana"/>
        </w:rPr>
        <w:t xml:space="preserve">el Consejo considera </w:t>
      </w:r>
      <w:r w:rsidR="00BD6300">
        <w:rPr>
          <w:rFonts w:ascii="Verdana" w:hAnsi="Verdana"/>
        </w:rPr>
        <w:t xml:space="preserve">que se deben acometer todas las acciones </w:t>
      </w:r>
      <w:r w:rsidR="00D11DDD">
        <w:rPr>
          <w:rFonts w:ascii="Verdana" w:hAnsi="Verdana"/>
        </w:rPr>
        <w:t>que faciliten y aseguren la entrada en operación de los proyectos de expansión.</w:t>
      </w:r>
      <w:bookmarkStart w:id="0" w:name="_GoBack"/>
      <w:bookmarkEnd w:id="0"/>
    </w:p>
    <w:p w:rsidR="00853D9D" w:rsidRDefault="00853D9D" w:rsidP="006B4ACC">
      <w:pPr>
        <w:jc w:val="both"/>
        <w:rPr>
          <w:rFonts w:ascii="Verdana" w:hAnsi="Verdana"/>
        </w:rPr>
      </w:pPr>
    </w:p>
    <w:p w:rsidR="005A4D63" w:rsidRDefault="00991950" w:rsidP="006B4ACC">
      <w:pPr>
        <w:jc w:val="both"/>
        <w:rPr>
          <w:rFonts w:ascii="Verdana" w:hAnsi="Verdana"/>
        </w:rPr>
      </w:pPr>
      <w:r>
        <w:rPr>
          <w:rFonts w:ascii="Verdana" w:hAnsi="Verdana"/>
        </w:rPr>
        <w:t>Por otro lado</w:t>
      </w:r>
      <w:r w:rsidR="00201301">
        <w:rPr>
          <w:rFonts w:ascii="Verdana" w:hAnsi="Verdana"/>
        </w:rPr>
        <w:t xml:space="preserve">, en aquellas áreas donde </w:t>
      </w:r>
      <w:r w:rsidR="0046227C">
        <w:rPr>
          <w:rFonts w:ascii="Verdana" w:hAnsi="Verdana"/>
        </w:rPr>
        <w:t>existe</w:t>
      </w:r>
      <w:r w:rsidR="00457AA5">
        <w:rPr>
          <w:rFonts w:ascii="Verdana" w:hAnsi="Verdana"/>
        </w:rPr>
        <w:t xml:space="preserve"> una alta probabilidad</w:t>
      </w:r>
      <w:r w:rsidR="00201301">
        <w:rPr>
          <w:rFonts w:ascii="Verdana" w:hAnsi="Verdana"/>
        </w:rPr>
        <w:t xml:space="preserve"> de </w:t>
      </w:r>
      <w:r w:rsidR="00457AA5">
        <w:rPr>
          <w:rFonts w:ascii="Verdana" w:hAnsi="Verdana"/>
        </w:rPr>
        <w:t>in</w:t>
      </w:r>
      <w:r w:rsidR="00201301">
        <w:rPr>
          <w:rFonts w:ascii="Verdana" w:hAnsi="Verdana"/>
        </w:rPr>
        <w:t>cumplir con la fecha inic</w:t>
      </w:r>
      <w:r w:rsidR="0046227C">
        <w:rPr>
          <w:rFonts w:ascii="Verdana" w:hAnsi="Verdana"/>
        </w:rPr>
        <w:t xml:space="preserve">ialmente establecida para </w:t>
      </w:r>
      <w:r w:rsidR="005A4D63">
        <w:rPr>
          <w:rFonts w:ascii="Verdana" w:hAnsi="Verdana"/>
        </w:rPr>
        <w:t xml:space="preserve">la </w:t>
      </w:r>
      <w:r w:rsidR="0046227C">
        <w:rPr>
          <w:rFonts w:ascii="Verdana" w:hAnsi="Verdana"/>
        </w:rPr>
        <w:t>entrada</w:t>
      </w:r>
      <w:r w:rsidR="00201301">
        <w:rPr>
          <w:rFonts w:ascii="Verdana" w:hAnsi="Verdana"/>
        </w:rPr>
        <w:t xml:space="preserve"> en servicio</w:t>
      </w:r>
      <w:r w:rsidR="0046227C">
        <w:rPr>
          <w:rFonts w:ascii="Verdana" w:hAnsi="Verdana"/>
        </w:rPr>
        <w:t xml:space="preserve"> de dichas obras</w:t>
      </w:r>
      <w:r w:rsidR="00201301">
        <w:rPr>
          <w:rFonts w:ascii="Verdana" w:hAnsi="Verdana"/>
        </w:rPr>
        <w:t>,</w:t>
      </w:r>
      <w:r w:rsidR="0046227C">
        <w:rPr>
          <w:rFonts w:ascii="Verdana" w:hAnsi="Verdana"/>
        </w:rPr>
        <w:t xml:space="preserve"> se </w:t>
      </w:r>
      <w:r w:rsidR="007442C6">
        <w:rPr>
          <w:rFonts w:ascii="Verdana" w:hAnsi="Verdana"/>
        </w:rPr>
        <w:t>recomienda</w:t>
      </w:r>
      <w:r w:rsidR="0046227C">
        <w:rPr>
          <w:rFonts w:ascii="Verdana" w:hAnsi="Verdana"/>
        </w:rPr>
        <w:t xml:space="preserve"> a la UPME, la CREG y el MME </w:t>
      </w:r>
      <w:r w:rsidR="007442C6">
        <w:rPr>
          <w:rFonts w:ascii="Verdana" w:hAnsi="Verdana"/>
        </w:rPr>
        <w:t>evaluar</w:t>
      </w:r>
      <w:r w:rsidR="00465392">
        <w:rPr>
          <w:rFonts w:ascii="Verdana" w:hAnsi="Verdana"/>
        </w:rPr>
        <w:t xml:space="preserve"> la </w:t>
      </w:r>
      <w:r w:rsidR="0046227C">
        <w:rPr>
          <w:rFonts w:ascii="Verdana" w:hAnsi="Verdana"/>
        </w:rPr>
        <w:t>aplica</w:t>
      </w:r>
      <w:r w:rsidR="00465392">
        <w:rPr>
          <w:rFonts w:ascii="Verdana" w:hAnsi="Verdana"/>
        </w:rPr>
        <w:t xml:space="preserve">ción de </w:t>
      </w:r>
      <w:r w:rsidR="0046227C">
        <w:rPr>
          <w:rFonts w:ascii="Verdana" w:hAnsi="Verdana"/>
        </w:rPr>
        <w:t>la Resolución CREG 093 de 2014, por la cual “</w:t>
      </w:r>
      <w:r w:rsidR="0046227C" w:rsidRPr="0046227C">
        <w:rPr>
          <w:rFonts w:ascii="Verdana" w:hAnsi="Verdana"/>
          <w:i/>
        </w:rPr>
        <w:t>se establecen los procedimientos para la ejecución de proyectos urgentes en el Sistema de Transmisión Nacional o en los sistemas de Transmisión Regional</w:t>
      </w:r>
      <w:r w:rsidR="0046227C">
        <w:rPr>
          <w:rFonts w:ascii="Verdana" w:hAnsi="Verdana"/>
        </w:rPr>
        <w:t xml:space="preserve">”. En el caso particular de la sub-área Atlántico, por ejemplo, desde el año 2015 la UPME y </w:t>
      </w:r>
      <w:r w:rsidR="00465392">
        <w:rPr>
          <w:rFonts w:ascii="Verdana" w:hAnsi="Verdana"/>
        </w:rPr>
        <w:t>XM</w:t>
      </w:r>
      <w:r w:rsidR="005A4D63">
        <w:rPr>
          <w:rFonts w:ascii="Verdana" w:hAnsi="Verdana"/>
        </w:rPr>
        <w:t xml:space="preserve"> han establecido como medida de mitigación y complementaria a la expansión, la conexión de dos elementos almacenadores de energía tipo BESS</w:t>
      </w:r>
      <w:r w:rsidR="005A4D63">
        <w:rPr>
          <w:rStyle w:val="Refdenotaalpie"/>
          <w:rFonts w:ascii="Verdana" w:hAnsi="Verdana"/>
        </w:rPr>
        <w:footnoteReference w:id="1"/>
      </w:r>
      <w:r w:rsidR="005A4D63">
        <w:rPr>
          <w:rFonts w:ascii="Verdana" w:hAnsi="Verdana"/>
        </w:rPr>
        <w:t>, los cuales bajo la política operativa propuesta</w:t>
      </w:r>
      <w:r w:rsidR="00457AA5">
        <w:rPr>
          <w:rStyle w:val="Refdenotaalpie"/>
          <w:rFonts w:ascii="Verdana" w:hAnsi="Verdana"/>
        </w:rPr>
        <w:footnoteReference w:id="2"/>
      </w:r>
      <w:r w:rsidR="005A4D63">
        <w:rPr>
          <w:rFonts w:ascii="Verdana" w:hAnsi="Verdana"/>
        </w:rPr>
        <w:t xml:space="preserve"> (</w:t>
      </w:r>
      <w:r w:rsidR="00457AA5">
        <w:rPr>
          <w:rFonts w:ascii="Verdana" w:hAnsi="Verdana"/>
        </w:rPr>
        <w:t>descarga</w:t>
      </w:r>
      <w:r w:rsidR="005A4D63">
        <w:rPr>
          <w:rFonts w:ascii="Verdana" w:hAnsi="Verdana"/>
        </w:rPr>
        <w:t xml:space="preserve"> ante contingencia), disminuyen los riesgos de desatención de demanda. </w:t>
      </w:r>
    </w:p>
    <w:p w:rsidR="005A4D63" w:rsidRDefault="005A4D63" w:rsidP="006B4ACC">
      <w:pPr>
        <w:jc w:val="both"/>
        <w:rPr>
          <w:rFonts w:ascii="Verdana" w:hAnsi="Verdana"/>
        </w:rPr>
      </w:pPr>
    </w:p>
    <w:p w:rsidR="003B4F87" w:rsidRDefault="005A4D63" w:rsidP="006B4ACC">
      <w:pPr>
        <w:jc w:val="both"/>
        <w:rPr>
          <w:rFonts w:ascii="Verdana" w:hAnsi="Verdana"/>
        </w:rPr>
      </w:pPr>
      <w:r>
        <w:rPr>
          <w:rFonts w:ascii="Verdana" w:hAnsi="Verdana"/>
        </w:rPr>
        <w:t>Este enfoque es extensivo a todas las sub-áreas del SIN</w:t>
      </w:r>
      <w:r w:rsidR="00457AA5">
        <w:rPr>
          <w:rFonts w:ascii="Verdana" w:hAnsi="Verdana"/>
        </w:rPr>
        <w:t xml:space="preserve"> y debe ser aplicado para aquellas alternativas de mitigación que se puedan im</w:t>
      </w:r>
      <w:r w:rsidR="003B4F87">
        <w:rPr>
          <w:rFonts w:ascii="Verdana" w:hAnsi="Verdana"/>
        </w:rPr>
        <w:t xml:space="preserve">plementar en el corto plazo, sin incurrir en los tiempos de ejecución de </w:t>
      </w:r>
      <w:r w:rsidR="0055768E">
        <w:rPr>
          <w:rFonts w:ascii="Verdana" w:hAnsi="Verdana"/>
        </w:rPr>
        <w:t xml:space="preserve">las </w:t>
      </w:r>
      <w:r w:rsidR="003B4F87">
        <w:rPr>
          <w:rFonts w:ascii="Verdana" w:hAnsi="Verdana"/>
        </w:rPr>
        <w:t>obras de expansión convencionales.</w:t>
      </w:r>
      <w:r w:rsidR="00465392">
        <w:rPr>
          <w:rFonts w:ascii="Verdana" w:hAnsi="Verdana"/>
        </w:rPr>
        <w:t xml:space="preserve"> Destaca el antecedente de la subestación Nueva Esperanza y redes asociadas. En el año 2013 por el atraso de dicha expansión, se adelantaron algunos proyectos de mediano y largo plazo, como fue la instalación de dos elementos de compensación dinámica, SVC Tunal y STATCOM Bacatá, al igual que varios bancos de condensadores en el área </w:t>
      </w:r>
      <w:r w:rsidR="00465392">
        <w:rPr>
          <w:rFonts w:ascii="Verdana" w:hAnsi="Verdana"/>
        </w:rPr>
        <w:lastRenderedPageBreak/>
        <w:t>Oriental (Bogotá y Meta) y la conexión del segundo transformador Bacatá 500/110 kV-450 MVA.</w:t>
      </w:r>
    </w:p>
    <w:p w:rsidR="003B4F87" w:rsidRDefault="003B4F87" w:rsidP="006B4ACC">
      <w:pPr>
        <w:jc w:val="both"/>
        <w:rPr>
          <w:rFonts w:ascii="Verdana" w:hAnsi="Verdana"/>
        </w:rPr>
      </w:pPr>
    </w:p>
    <w:p w:rsidR="00BD6300" w:rsidRDefault="003B4F87" w:rsidP="006B4AC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Quedamos atentos a cualquier </w:t>
      </w:r>
      <w:r w:rsidR="007442C6">
        <w:rPr>
          <w:rFonts w:ascii="Verdana" w:hAnsi="Verdana"/>
        </w:rPr>
        <w:t>ampliación de la información</w:t>
      </w:r>
      <w:r>
        <w:rPr>
          <w:rFonts w:ascii="Verdana" w:hAnsi="Verdana"/>
        </w:rPr>
        <w:t xml:space="preserve"> que se requiera.</w:t>
      </w:r>
      <w:r w:rsidR="00457AA5">
        <w:rPr>
          <w:rFonts w:ascii="Verdana" w:hAnsi="Verdana"/>
        </w:rPr>
        <w:t xml:space="preserve">  </w:t>
      </w:r>
      <w:r w:rsidR="005A4D63">
        <w:rPr>
          <w:rFonts w:ascii="Verdana" w:hAnsi="Verdana"/>
        </w:rPr>
        <w:t xml:space="preserve">    </w:t>
      </w:r>
    </w:p>
    <w:p w:rsidR="00BD6300" w:rsidRDefault="00BD6300" w:rsidP="006B4ACC">
      <w:pPr>
        <w:jc w:val="both"/>
        <w:rPr>
          <w:rFonts w:ascii="Verdana" w:hAnsi="Verdana"/>
        </w:rPr>
      </w:pPr>
    </w:p>
    <w:p w:rsidR="0097358D" w:rsidRDefault="008D3ABC" w:rsidP="003B4F87">
      <w:pPr>
        <w:jc w:val="both"/>
        <w:rPr>
          <w:rFonts w:ascii="Verdana" w:hAnsi="Verdana" w:cs="Arial"/>
          <w:lang w:val="es-ES"/>
        </w:rPr>
      </w:pPr>
      <w:r w:rsidRPr="00EF0A59">
        <w:rPr>
          <w:rFonts w:ascii="Verdana" w:hAnsi="Verdana" w:cs="Arial"/>
          <w:lang w:val="es-ES"/>
        </w:rPr>
        <w:t>Cordialmente,</w:t>
      </w:r>
    </w:p>
    <w:p w:rsidR="003B4F87" w:rsidRPr="003B4F87" w:rsidRDefault="003B4F87" w:rsidP="003B4F87">
      <w:pPr>
        <w:jc w:val="both"/>
        <w:rPr>
          <w:rFonts w:ascii="Verdana" w:hAnsi="Verdana" w:cs="Arial"/>
          <w:lang w:val="es-ES"/>
        </w:rPr>
      </w:pPr>
    </w:p>
    <w:p w:rsidR="008A5B1B" w:rsidRPr="00EF0A59" w:rsidRDefault="008A5B1B" w:rsidP="005D7719">
      <w:pPr>
        <w:jc w:val="both"/>
        <w:outlineLvl w:val="0"/>
        <w:rPr>
          <w:rFonts w:ascii="Verdana" w:hAnsi="Verdana" w:cs="Arial"/>
          <w:b/>
          <w:lang w:val="es-ES"/>
        </w:rPr>
      </w:pPr>
    </w:p>
    <w:p w:rsidR="008D3ABC" w:rsidRPr="00EF0A59" w:rsidRDefault="008D3ABC" w:rsidP="005D7719">
      <w:pPr>
        <w:jc w:val="both"/>
        <w:outlineLvl w:val="0"/>
        <w:rPr>
          <w:rFonts w:ascii="Verdana" w:hAnsi="Verdana" w:cs="Arial"/>
          <w:b/>
          <w:lang w:val="es-ES"/>
        </w:rPr>
      </w:pPr>
      <w:r w:rsidRPr="00EF0A59">
        <w:rPr>
          <w:rFonts w:ascii="Verdana" w:hAnsi="Verdana" w:cs="Arial"/>
          <w:b/>
          <w:lang w:val="es-ES"/>
        </w:rPr>
        <w:t>ALBERTO OLARTE AGUIRRE</w:t>
      </w:r>
    </w:p>
    <w:p w:rsidR="004218BA" w:rsidRPr="00212575" w:rsidRDefault="008D3ABC" w:rsidP="00D95A3B">
      <w:pPr>
        <w:jc w:val="both"/>
        <w:outlineLvl w:val="0"/>
        <w:rPr>
          <w:rFonts w:ascii="Verdana" w:hAnsi="Verdana"/>
          <w:spacing w:val="-20"/>
          <w:lang w:val="es-ES"/>
        </w:rPr>
      </w:pPr>
      <w:r w:rsidRPr="00EF0A59">
        <w:rPr>
          <w:rFonts w:ascii="Verdana" w:hAnsi="Verdana"/>
          <w:spacing w:val="-20"/>
          <w:lang w:val="es-ES"/>
        </w:rPr>
        <w:t xml:space="preserve">Secretario </w:t>
      </w:r>
      <w:r w:rsidR="00AD0500" w:rsidRPr="00EF0A59">
        <w:rPr>
          <w:rFonts w:ascii="Verdana" w:hAnsi="Verdana"/>
          <w:spacing w:val="-20"/>
          <w:lang w:val="es-ES"/>
        </w:rPr>
        <w:t>Técnico</w:t>
      </w:r>
    </w:p>
    <w:p w:rsidR="00853D9D" w:rsidRDefault="003B4F87" w:rsidP="00D95A3B">
      <w:pPr>
        <w:jc w:val="both"/>
        <w:outlineLvl w:val="0"/>
        <w:rPr>
          <w:rFonts w:ascii="Verdana" w:hAnsi="Verdana" w:cstheme="minorBidi"/>
          <w:bCs/>
          <w:sz w:val="20"/>
          <w:szCs w:val="20"/>
        </w:rPr>
        <w:sectPr w:rsidR="00853D9D" w:rsidSect="004454E2">
          <w:headerReference w:type="default" r:id="rId8"/>
          <w:footerReference w:type="default" r:id="rId9"/>
          <w:pgSz w:w="12242" w:h="15842" w:code="1"/>
          <w:pgMar w:top="851" w:right="1327" w:bottom="1134" w:left="1701" w:header="851" w:footer="851" w:gutter="0"/>
          <w:cols w:space="708"/>
          <w:docGrid w:linePitch="360"/>
        </w:sectPr>
      </w:pPr>
      <w:r>
        <w:rPr>
          <w:rFonts w:ascii="Verdana" w:hAnsi="Verdana" w:cstheme="minorBidi"/>
          <w:bCs/>
          <w:sz w:val="20"/>
          <w:szCs w:val="20"/>
        </w:rPr>
        <w:t>Se anexa</w:t>
      </w:r>
      <w:r w:rsidRPr="003B4F87">
        <w:rPr>
          <w:rFonts w:ascii="Verdana" w:hAnsi="Verdana" w:cstheme="minorBidi"/>
          <w:bCs/>
          <w:sz w:val="20"/>
          <w:szCs w:val="20"/>
        </w:rPr>
        <w:t xml:space="preserve"> lo anunciado</w:t>
      </w:r>
    </w:p>
    <w:p w:rsidR="00853D9D" w:rsidRDefault="00853D9D" w:rsidP="00853D9D">
      <w:pPr>
        <w:jc w:val="center"/>
        <w:outlineLvl w:val="0"/>
        <w:rPr>
          <w:rFonts w:ascii="Verdana" w:hAnsi="Verdana" w:cstheme="minorBidi"/>
          <w:b/>
          <w:bCs/>
          <w:szCs w:val="20"/>
        </w:rPr>
      </w:pPr>
      <w:r w:rsidRPr="00C65C3A">
        <w:rPr>
          <w:rFonts w:ascii="Verdana" w:hAnsi="Verdana" w:cstheme="minorBidi"/>
          <w:b/>
          <w:bCs/>
          <w:szCs w:val="20"/>
        </w:rPr>
        <w:lastRenderedPageBreak/>
        <w:t>ANEXO</w:t>
      </w:r>
    </w:p>
    <w:p w:rsidR="00853D9D" w:rsidRDefault="008605F8" w:rsidP="00853D9D">
      <w:pPr>
        <w:jc w:val="center"/>
        <w:outlineLvl w:val="0"/>
        <w:rPr>
          <w:rFonts w:ascii="Verdana" w:hAnsi="Verdana" w:cstheme="minorBidi"/>
          <w:b/>
          <w:bCs/>
          <w:szCs w:val="20"/>
        </w:rPr>
      </w:pPr>
      <w:r>
        <w:rPr>
          <w:rFonts w:ascii="Verdana" w:hAnsi="Verdana" w:cstheme="minorBidi"/>
          <w:b/>
          <w:bCs/>
          <w:szCs w:val="20"/>
        </w:rPr>
        <w:t>Situaciones</w:t>
      </w:r>
      <w:r w:rsidR="00853D9D">
        <w:rPr>
          <w:rFonts w:ascii="Verdana" w:hAnsi="Verdana" w:cstheme="minorBidi"/>
          <w:b/>
          <w:bCs/>
          <w:szCs w:val="20"/>
        </w:rPr>
        <w:t xml:space="preserve"> críticas años 2017-2018 y proyectos de expansión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56"/>
        <w:gridCol w:w="4470"/>
        <w:gridCol w:w="2526"/>
        <w:gridCol w:w="1995"/>
      </w:tblGrid>
      <w:tr w:rsidR="008D633A" w:rsidRPr="005C2979" w:rsidTr="00230E1F">
        <w:trPr>
          <w:cantSplit/>
          <w:trHeight w:val="584"/>
          <w:tblHeader/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5C2979" w:rsidRDefault="00654686" w:rsidP="00230E1F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Cs w:val="20"/>
              </w:rPr>
            </w:pPr>
            <w:r>
              <w:rPr>
                <w:rFonts w:ascii="Verdana" w:hAnsi="Verdana" w:cstheme="minorBidi"/>
                <w:b/>
                <w:bCs/>
                <w:szCs w:val="20"/>
              </w:rPr>
              <w:t>Condición</w:t>
            </w:r>
            <w:r w:rsidRPr="005C2979">
              <w:rPr>
                <w:rFonts w:ascii="Verdana" w:hAnsi="Verdana" w:cstheme="minorBidi"/>
                <w:b/>
                <w:bCs/>
                <w:szCs w:val="20"/>
              </w:rPr>
              <w:t xml:space="preserve"> 2017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5C2979" w:rsidRDefault="00654686" w:rsidP="00230E1F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Cs w:val="20"/>
              </w:rPr>
            </w:pPr>
            <w:r>
              <w:rPr>
                <w:rFonts w:ascii="Verdana" w:hAnsi="Verdana" w:cstheme="minorBidi"/>
                <w:b/>
                <w:bCs/>
                <w:szCs w:val="20"/>
              </w:rPr>
              <w:t>Condición</w:t>
            </w:r>
            <w:r w:rsidRPr="005C2979">
              <w:rPr>
                <w:rFonts w:ascii="Verdana" w:hAnsi="Verdana" w:cstheme="minorBidi"/>
                <w:b/>
                <w:bCs/>
                <w:szCs w:val="20"/>
              </w:rPr>
              <w:t xml:space="preserve"> 2018 sin proyectos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5C2979" w:rsidRDefault="00654686" w:rsidP="00230E1F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Cs w:val="20"/>
              </w:rPr>
            </w:pPr>
            <w:r w:rsidRPr="005C2979">
              <w:rPr>
                <w:rFonts w:ascii="Verdana" w:hAnsi="Verdana" w:cstheme="minorBidi"/>
                <w:b/>
                <w:bCs/>
                <w:szCs w:val="20"/>
              </w:rPr>
              <w:t>Proyecto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5C2979" w:rsidRDefault="00654686" w:rsidP="00230E1F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Cs w:val="20"/>
              </w:rPr>
            </w:pPr>
            <w:r w:rsidRPr="005C2979">
              <w:rPr>
                <w:rFonts w:ascii="Verdana" w:hAnsi="Verdana" w:cstheme="minorBidi"/>
                <w:b/>
                <w:bCs/>
                <w:szCs w:val="20"/>
              </w:rPr>
              <w:t>Promotor</w:t>
            </w:r>
          </w:p>
        </w:tc>
      </w:tr>
      <w:tr w:rsidR="008D633A" w:rsidRPr="005C2979" w:rsidTr="00230E1F">
        <w:trPr>
          <w:cantSplit/>
          <w:trHeight w:val="584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C05A18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Congestiones en la red de 110 kV</w:t>
            </w:r>
            <w:r w:rsidR="00465392">
              <w:rPr>
                <w:rFonts w:ascii="Verdana" w:hAnsi="Verdana" w:cstheme="minorBidi"/>
                <w:bCs/>
                <w:sz w:val="22"/>
                <w:szCs w:val="22"/>
              </w:rPr>
              <w:t xml:space="preserve"> de la sub-área Córdoba-</w:t>
            </w: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Sucre que no pueden ser cubiertas mediante generación de seguridad, por lo que no se cumplen los criterios de confiabilidad y seguridad exigidos por la reglamentación.</w:t>
            </w:r>
          </w:p>
          <w:p w:rsidR="00654686" w:rsidRPr="00230E1F" w:rsidRDefault="00654686" w:rsidP="00772116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Existen riesgos de desatención de demanda ante contingencias sencillas por actua</w:t>
            </w:r>
            <w:r w:rsidR="00465392">
              <w:rPr>
                <w:rFonts w:ascii="Verdana" w:hAnsi="Verdana" w:cstheme="minorBidi"/>
                <w:bCs/>
                <w:sz w:val="22"/>
                <w:szCs w:val="22"/>
              </w:rPr>
              <w:t xml:space="preserve">ción de Esquemas Suplementarios, ESPS, </w:t>
            </w: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implementados para disminuir el impacto de las restricciones.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Se evidencian sobrecargas y bajas tensiones en estado normal de operación, lo que podría implicar programar demanda no atendida en condiciones normales.</w:t>
            </w:r>
          </w:p>
          <w:p w:rsidR="00654686" w:rsidRPr="00230E1F" w:rsidRDefault="00654686" w:rsidP="00143A6D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 xml:space="preserve">El deslastre de carga de los ESPS ya no es suficiente para evitar desatención de demanda descontrolada, por lo que es necesario ajustarlos con mayor deslastre de </w:t>
            </w:r>
            <w:r w:rsidR="00231EC0">
              <w:rPr>
                <w:rFonts w:ascii="Verdana" w:hAnsi="Verdana" w:cstheme="minorBidi"/>
                <w:bCs/>
                <w:sz w:val="22"/>
                <w:szCs w:val="22"/>
              </w:rPr>
              <w:t>demanda</w:t>
            </w: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 xml:space="preserve"> para que sean efectivos y evitar eventos en cascada y colapsos descontrolados.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UPME STR 03-2015 Nueva Montería 110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FEO</w:t>
            </w:r>
            <w:r w:rsidR="00230E1F">
              <w:rPr>
                <w:rFonts w:ascii="Verdana" w:hAnsi="Verdana" w:cstheme="minorBidi"/>
                <w:bCs/>
                <w:sz w:val="22"/>
                <w:szCs w:val="22"/>
              </w:rPr>
              <w:t>*</w:t>
            </w: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: noviembre de 2017.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EPSA</w:t>
            </w:r>
          </w:p>
        </w:tc>
      </w:tr>
      <w:tr w:rsidR="008D633A" w:rsidRPr="005C2979" w:rsidTr="00230E1F">
        <w:trPr>
          <w:cantSplit/>
          <w:trHeight w:val="58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230E1F" w:rsidRDefault="00654686" w:rsidP="004C574B">
            <w:pPr>
              <w:ind w:left="360"/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230E1F" w:rsidRDefault="00654686" w:rsidP="004C574B">
            <w:pPr>
              <w:ind w:left="360"/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7665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UPME 07-2013 Montería 230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FEO: agosto de 2018.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proofErr w:type="spellStart"/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Intercolombia</w:t>
            </w:r>
            <w:proofErr w:type="spellEnd"/>
          </w:p>
        </w:tc>
      </w:tr>
      <w:tr w:rsidR="008D633A" w:rsidRPr="005C2979" w:rsidTr="00230E1F">
        <w:trPr>
          <w:cantSplit/>
          <w:trHeight w:val="58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230E1F" w:rsidRDefault="00654686" w:rsidP="004C574B">
            <w:pPr>
              <w:ind w:left="360"/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230E1F" w:rsidRDefault="00654686" w:rsidP="004C574B">
            <w:pPr>
              <w:ind w:left="360"/>
              <w:jc w:val="both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Normali</w:t>
            </w:r>
            <w:r w:rsidR="00231EC0">
              <w:rPr>
                <w:rFonts w:ascii="Verdana" w:hAnsi="Verdana" w:cstheme="minorBidi"/>
                <w:bCs/>
                <w:sz w:val="22"/>
                <w:szCs w:val="22"/>
              </w:rPr>
              <w:t>zación segundo circuito Chinú-</w:t>
            </w: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Boston 110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FEO: Sin fecha definida.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2"/>
              </w:rPr>
              <w:t>Electricaribe</w:t>
            </w:r>
          </w:p>
        </w:tc>
      </w:tr>
      <w:tr w:rsidR="00654686" w:rsidRPr="005C2979" w:rsidTr="00230E1F">
        <w:trPr>
          <w:cantSplit/>
          <w:trHeight w:val="584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54686" w:rsidRPr="00230E1F" w:rsidRDefault="00654686" w:rsidP="00772116">
            <w:pPr>
              <w:ind w:left="113" w:right="113"/>
              <w:jc w:val="both"/>
              <w:outlineLvl w:val="0"/>
              <w:rPr>
                <w:rFonts w:ascii="Verdana" w:hAnsi="Verdana" w:cstheme="minorBidi"/>
                <w:bCs/>
                <w:sz w:val="22"/>
              </w:rPr>
            </w:pPr>
            <w:r w:rsidRPr="00230E1F">
              <w:rPr>
                <w:rFonts w:ascii="Verdana" w:hAnsi="Verdana" w:cstheme="minorBidi"/>
                <w:bCs/>
                <w:sz w:val="22"/>
              </w:rPr>
              <w:t xml:space="preserve">Sobrecarga en estado normal de operación del transformador </w:t>
            </w:r>
            <w:proofErr w:type="spellStart"/>
            <w:r w:rsidRPr="00230E1F">
              <w:rPr>
                <w:rFonts w:ascii="Verdana" w:hAnsi="Verdana" w:cstheme="minorBidi"/>
                <w:bCs/>
                <w:sz w:val="22"/>
              </w:rPr>
              <w:t>Urrá</w:t>
            </w:r>
            <w:proofErr w:type="spellEnd"/>
            <w:r w:rsidRPr="00230E1F">
              <w:rPr>
                <w:rFonts w:ascii="Verdana" w:hAnsi="Verdana" w:cstheme="minorBidi"/>
                <w:bCs/>
                <w:sz w:val="22"/>
              </w:rPr>
              <w:t xml:space="preserve"> 230/110 kV por limitación de capacidad al 80%, lo que ha llevado a disminuir la confiabilidad de la red al tener que realizar a</w:t>
            </w:r>
            <w:r w:rsidR="00231EC0">
              <w:rPr>
                <w:rFonts w:ascii="Verdana" w:hAnsi="Verdana" w:cstheme="minorBidi"/>
                <w:bCs/>
                <w:sz w:val="22"/>
              </w:rPr>
              <w:t>pertura del circuito Rio Sinú-</w:t>
            </w:r>
            <w:r w:rsidRPr="00230E1F">
              <w:rPr>
                <w:rFonts w:ascii="Verdana" w:hAnsi="Verdana" w:cstheme="minorBidi"/>
                <w:bCs/>
                <w:sz w:val="22"/>
              </w:rPr>
              <w:t>Montería 110 kV</w:t>
            </w:r>
            <w:r w:rsidR="00231EC0">
              <w:rPr>
                <w:rFonts w:ascii="Verdana" w:hAnsi="Verdana" w:cstheme="minorBidi"/>
                <w:bCs/>
                <w:sz w:val="22"/>
              </w:rPr>
              <w:t>,</w:t>
            </w:r>
            <w:r w:rsidRPr="00230E1F">
              <w:rPr>
                <w:rFonts w:ascii="Verdana" w:hAnsi="Verdana" w:cstheme="minorBidi"/>
                <w:bCs/>
                <w:sz w:val="22"/>
              </w:rPr>
              <w:t xml:space="preserve"> y en los casos en que esta acción operativa no es suficiente, es necesario programar demanda no atendida.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633A" w:rsidRDefault="00654686" w:rsidP="008D633A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 w:val="22"/>
              </w:rPr>
            </w:pPr>
            <w:r w:rsidRPr="00230E1F">
              <w:rPr>
                <w:rFonts w:ascii="Verdana" w:hAnsi="Verdana" w:cstheme="minorBidi"/>
                <w:bCs/>
                <w:sz w:val="22"/>
              </w:rPr>
              <w:t>Normalización del tr</w:t>
            </w:r>
            <w:r w:rsidR="008D633A">
              <w:rPr>
                <w:rFonts w:ascii="Verdana" w:hAnsi="Verdana" w:cstheme="minorBidi"/>
                <w:bCs/>
                <w:sz w:val="22"/>
              </w:rPr>
              <w:t xml:space="preserve">ansformador de </w:t>
            </w:r>
            <w:proofErr w:type="spellStart"/>
            <w:r w:rsidR="008D633A">
              <w:rPr>
                <w:rFonts w:ascii="Verdana" w:hAnsi="Verdana" w:cstheme="minorBidi"/>
                <w:bCs/>
                <w:sz w:val="22"/>
              </w:rPr>
              <w:t>Urrá</w:t>
            </w:r>
            <w:proofErr w:type="spellEnd"/>
            <w:r w:rsidR="008D633A">
              <w:rPr>
                <w:rFonts w:ascii="Verdana" w:hAnsi="Verdana" w:cstheme="minorBidi"/>
                <w:bCs/>
                <w:sz w:val="22"/>
              </w:rPr>
              <w:t xml:space="preserve"> 230/115 kV.</w:t>
            </w:r>
          </w:p>
          <w:p w:rsidR="00654686" w:rsidRPr="00230E1F" w:rsidRDefault="00654686" w:rsidP="008D633A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</w:rPr>
              <w:t>FEO: sin fecha definida.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54686" w:rsidRPr="00230E1F" w:rsidRDefault="00654686" w:rsidP="008D633A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proofErr w:type="spellStart"/>
            <w:r w:rsidRPr="00230E1F">
              <w:rPr>
                <w:rFonts w:ascii="Verdana" w:hAnsi="Verdana" w:cstheme="minorBidi"/>
                <w:bCs/>
                <w:sz w:val="22"/>
              </w:rPr>
              <w:t>Urrá</w:t>
            </w:r>
            <w:proofErr w:type="spellEnd"/>
            <w:r w:rsidR="00231EC0">
              <w:rPr>
                <w:rFonts w:ascii="Verdana" w:hAnsi="Verdana" w:cstheme="minorBidi"/>
                <w:bCs/>
                <w:sz w:val="22"/>
              </w:rPr>
              <w:t>-Electricaribe</w:t>
            </w:r>
          </w:p>
        </w:tc>
      </w:tr>
      <w:tr w:rsidR="008D633A" w:rsidRPr="005C2979" w:rsidTr="00230E1F">
        <w:trPr>
          <w:cantSplit/>
          <w:trHeight w:val="5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54686" w:rsidRPr="00230E1F" w:rsidRDefault="00654686" w:rsidP="00732257">
            <w:pPr>
              <w:ind w:left="113" w:right="113"/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lastRenderedPageBreak/>
              <w:t>Congestiones en la red de 66 kV de Bolívar que no pueden ser cubiertas mediante generación de seguridad</w:t>
            </w:r>
            <w:r w:rsidRPr="00230E1F">
              <w:rPr>
                <w:rFonts w:ascii="Verdana" w:hAnsi="Verdana" w:cstheme="minorBidi"/>
                <w:bCs/>
                <w:sz w:val="22"/>
              </w:rPr>
              <w:t>, por lo que no se cumplen los criterios de confiabilidad y seguridad exigidos por la reglamentación.</w:t>
            </w:r>
          </w:p>
          <w:p w:rsidR="00654686" w:rsidRPr="00230E1F" w:rsidRDefault="00654686" w:rsidP="00732257">
            <w:pPr>
              <w:ind w:left="113" w:right="113"/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Existen riesgos de desatención de demanda ante contingencias sencillas por actuación de ESPS implementados para disminuir el impacto de las restricciones.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4686" w:rsidRPr="00230E1F" w:rsidRDefault="00654686" w:rsidP="00143A6D">
            <w:pPr>
              <w:ind w:left="113" w:right="113"/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</w:rPr>
              <w:t xml:space="preserve">El deslastre de carga de los ESPS ya no es suficiente para evitar desatención de demanda descontrolada, por lo que es necesario ajustarlos con mayor deslastre de </w:t>
            </w:r>
            <w:r w:rsidR="00231EC0">
              <w:rPr>
                <w:rFonts w:ascii="Verdana" w:hAnsi="Verdana" w:cstheme="minorBidi"/>
                <w:bCs/>
                <w:sz w:val="22"/>
              </w:rPr>
              <w:t>demanda</w:t>
            </w:r>
            <w:r w:rsidRPr="00230E1F">
              <w:rPr>
                <w:rFonts w:ascii="Verdana" w:hAnsi="Verdana" w:cstheme="minorBidi"/>
                <w:bCs/>
                <w:sz w:val="22"/>
              </w:rPr>
              <w:t xml:space="preserve"> para que sean efectivos y evitar eventos en cascada y colapsos descontrolados.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54686" w:rsidRPr="00230E1F" w:rsidRDefault="00654686" w:rsidP="008D633A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 w:val="22"/>
              </w:rPr>
            </w:pPr>
            <w:r w:rsidRPr="00230E1F">
              <w:rPr>
                <w:rFonts w:ascii="Verdana" w:hAnsi="Verdana" w:cstheme="minorBidi"/>
                <w:bCs/>
                <w:sz w:val="22"/>
              </w:rPr>
              <w:t>La Marina 66 kV y obras asociadas.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54686" w:rsidRPr="00230E1F" w:rsidRDefault="00717665" w:rsidP="008D633A">
            <w:pPr>
              <w:ind w:right="113"/>
              <w:jc w:val="center"/>
              <w:outlineLvl w:val="0"/>
              <w:rPr>
                <w:rFonts w:ascii="Verdana" w:hAnsi="Verdana" w:cstheme="minorBidi"/>
                <w:bCs/>
                <w:sz w:val="22"/>
              </w:rPr>
            </w:pPr>
            <w:r w:rsidRPr="00230E1F">
              <w:rPr>
                <w:rFonts w:ascii="Verdana" w:hAnsi="Verdana" w:cstheme="minorBidi"/>
                <w:bCs/>
                <w:sz w:val="22"/>
              </w:rPr>
              <w:t>Sin convocatoria.</w:t>
            </w:r>
          </w:p>
        </w:tc>
      </w:tr>
      <w:tr w:rsidR="008D633A" w:rsidRPr="005C2979" w:rsidTr="00230E1F">
        <w:trPr>
          <w:cantSplit/>
          <w:trHeight w:val="584"/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Agotamiento en transformación de Valledupar 220/34.5/13.8 kV que no pueden ser cubiertas mediante generación de seguridad</w:t>
            </w:r>
            <w:r w:rsidRPr="00230E1F">
              <w:rPr>
                <w:rFonts w:ascii="Verdana" w:hAnsi="Verdana" w:cstheme="minorBidi"/>
                <w:bCs/>
                <w:sz w:val="22"/>
              </w:rPr>
              <w:t>, por lo que no se cumplen los criterios de confiabilidad y seguridad exigidos por la reglamentación.</w:t>
            </w:r>
          </w:p>
          <w:p w:rsidR="00654686" w:rsidRPr="00230E1F" w:rsidRDefault="00654686" w:rsidP="00732257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Para esta restricción no existen ESPS implementados, por lo que ante contingencias sencillas en transformación se desatendería toda la demanda alimentada por la transformación de Valledupar 220/34.5 kV.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281F7F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 xml:space="preserve">Se evidencian sobrecargas </w:t>
            </w:r>
            <w:r w:rsidRPr="00230E1F">
              <w:rPr>
                <w:rFonts w:ascii="Verdana" w:hAnsi="Verdana" w:cstheme="minorBidi"/>
                <w:bCs/>
                <w:sz w:val="22"/>
              </w:rPr>
              <w:t>en estado normal de operación en la transformación de Valledupar 220/34.5 kV, lo que podría implicar programar demanda no atendida en condiciones normales.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UPME STR 04 - 2017 Tercer Transf</w:t>
            </w:r>
            <w:r w:rsidR="008D633A">
              <w:rPr>
                <w:rFonts w:ascii="Verdana" w:hAnsi="Verdana" w:cstheme="minorBidi"/>
                <w:bCs/>
                <w:sz w:val="22"/>
                <w:szCs w:val="20"/>
              </w:rPr>
              <w:t>ormador Valledupar 220/34.5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FEO: marzo de 2019.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INCER S.A.S</w:t>
            </w:r>
          </w:p>
        </w:tc>
      </w:tr>
      <w:tr w:rsidR="008D633A" w:rsidRPr="005C2979" w:rsidTr="00230E1F">
        <w:trPr>
          <w:cantSplit/>
          <w:trHeight w:val="584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7A3F90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lastRenderedPageBreak/>
              <w:t xml:space="preserve">Congestiones en la red </w:t>
            </w:r>
            <w:r w:rsidR="00231EC0">
              <w:rPr>
                <w:rFonts w:ascii="Verdana" w:hAnsi="Verdana" w:cstheme="minorBidi"/>
                <w:bCs/>
                <w:sz w:val="22"/>
                <w:szCs w:val="20"/>
              </w:rPr>
              <w:t>de 110 kV de Guajira-Cesar-</w:t>
            </w: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Magdalena (GCM) que no pueden ser cubiertas mediante generación de seguridad</w:t>
            </w:r>
            <w:r w:rsidRPr="00230E1F">
              <w:rPr>
                <w:rFonts w:ascii="Verdana" w:hAnsi="Verdana" w:cstheme="minorBidi"/>
                <w:bCs/>
                <w:sz w:val="22"/>
              </w:rPr>
              <w:t xml:space="preserve">, por lo que no se cumplen los criterios de confiabilidad y seguridad exigidos por la reglamentación. </w:t>
            </w: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Existen riesgos de desatención de demanda ante contingencias sencillas por actuación de ESPS implementados para disminuir el impacto de las restricciones.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 xml:space="preserve">UPME </w:t>
            </w:r>
            <w:r w:rsidR="008D633A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>STR 07-2014 Rio Córdoba 110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>FEO: diciembre de 2017.</w:t>
            </w:r>
          </w:p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 xml:space="preserve">UPME </w:t>
            </w:r>
            <w:r w:rsidR="008D633A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>STN 06-2014 Rio Córdoba 220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>FEO: diciembre de 2017.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EEB</w:t>
            </w:r>
          </w:p>
        </w:tc>
      </w:tr>
      <w:tr w:rsidR="00654686" w:rsidRPr="00365E87" w:rsidTr="00230E1F">
        <w:tblPrEx>
          <w:jc w:val="left"/>
        </w:tblPrEx>
        <w:trPr>
          <w:cantSplit/>
          <w:trHeight w:val="584"/>
        </w:trPr>
        <w:tc>
          <w:tcPr>
            <w:tcW w:w="0" w:type="auto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Congestiones en la red de 110 kV de Atlántico que no pueden ser cubiertas mediante generación de seguridad</w:t>
            </w:r>
            <w:r w:rsidRPr="00230E1F">
              <w:rPr>
                <w:rFonts w:ascii="Verdana" w:hAnsi="Verdana" w:cstheme="minorBidi"/>
                <w:bCs/>
                <w:sz w:val="22"/>
              </w:rPr>
              <w:t>, por lo que no se cumplen los criterios de confiabilidad y seguridad exigidos por la reglamentación.</w:t>
            </w:r>
          </w:p>
          <w:p w:rsidR="00654686" w:rsidRPr="00230E1F" w:rsidRDefault="00654686" w:rsidP="007A3F90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Existen riesgos de desatención de demanda ante contingencias sencillas por actuación de ESPS implementados para disminuir el impacto de las restricciones. Sin embargo, el crecimiento de la demanda y la no entrada de proyectos de expansión</w:t>
            </w:r>
            <w:r w:rsidR="00231EC0">
              <w:rPr>
                <w:rFonts w:ascii="Verdana" w:hAnsi="Verdana" w:cstheme="minorBidi"/>
                <w:bCs/>
                <w:sz w:val="22"/>
                <w:szCs w:val="20"/>
              </w:rPr>
              <w:t>,</w:t>
            </w: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 xml:space="preserve"> ha hecho que estos ESPS se agoten y sea necesario programar generación de seguridad para lograr efectividad de los ESPS.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>UP</w:t>
            </w:r>
            <w:r w:rsidR="008D633A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>ME STR 16-2015 Caracolí 110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it-IT"/>
              </w:rPr>
              <w:t>FEO: junio de 2018.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EPSA</w:t>
            </w:r>
          </w:p>
        </w:tc>
      </w:tr>
      <w:tr w:rsidR="008D633A" w:rsidRPr="00365E87" w:rsidTr="00230E1F">
        <w:tblPrEx>
          <w:jc w:val="left"/>
        </w:tblPrEx>
        <w:trPr>
          <w:cantSplit/>
          <w:trHeight w:val="584"/>
        </w:trPr>
        <w:tc>
          <w:tcPr>
            <w:tcW w:w="0" w:type="auto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Congestiones y bajas tensiones en la red de 115 kV de la sub-área Santander ante contingencias sencillas, que no pueden ser cubiertas mediante generación de seguridad</w:t>
            </w:r>
            <w:r w:rsidRPr="00230E1F">
              <w:rPr>
                <w:rFonts w:ascii="Verdana" w:hAnsi="Verdana" w:cstheme="minorBidi"/>
                <w:bCs/>
                <w:sz w:val="22"/>
              </w:rPr>
              <w:t xml:space="preserve">, por lo que no se cumplen los </w:t>
            </w:r>
            <w:r w:rsidRPr="00230E1F">
              <w:rPr>
                <w:rFonts w:ascii="Verdana" w:hAnsi="Verdana" w:cstheme="minorBidi"/>
                <w:bCs/>
                <w:sz w:val="22"/>
              </w:rPr>
              <w:lastRenderedPageBreak/>
              <w:t>criterios de confiabilidad y seguridad exigidos por la reglamentación.</w:t>
            </w:r>
          </w:p>
          <w:p w:rsidR="00654686" w:rsidRPr="00230E1F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Existen riesgos de desatención de demanda ante contingencias sencillas por actuación de ESPS implementados para disminuir el impacto de las restricciones.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</w:rPr>
              <w:lastRenderedPageBreak/>
              <w:t xml:space="preserve">El deslastre de carga de los ESPS ya no es suficiente para evitar desatención de demanda descontrolada, por lo que es necesario ajustarlos con mayor deslastre de </w:t>
            </w:r>
            <w:r w:rsidR="00231EC0">
              <w:rPr>
                <w:rFonts w:ascii="Verdana" w:hAnsi="Verdana" w:cstheme="minorBidi"/>
                <w:bCs/>
                <w:sz w:val="22"/>
              </w:rPr>
              <w:t>demanda</w:t>
            </w:r>
            <w:r w:rsidRPr="00230E1F">
              <w:rPr>
                <w:rFonts w:ascii="Verdana" w:hAnsi="Verdana" w:cstheme="minorBidi"/>
                <w:bCs/>
                <w:sz w:val="22"/>
              </w:rPr>
              <w:t xml:space="preserve"> para que sean efectivos y </w:t>
            </w:r>
            <w:r w:rsidRPr="00230E1F">
              <w:rPr>
                <w:rFonts w:ascii="Verdana" w:hAnsi="Verdana" w:cstheme="minorBidi"/>
                <w:bCs/>
                <w:sz w:val="22"/>
              </w:rPr>
              <w:lastRenderedPageBreak/>
              <w:t>evitar eventos en cascada y colapsos descontrolados.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lastRenderedPageBreak/>
              <w:t>Segundo transf</w:t>
            </w:r>
            <w:r w:rsidR="008D633A">
              <w:rPr>
                <w:rFonts w:ascii="Verdana" w:hAnsi="Verdana" w:cstheme="minorBidi"/>
                <w:bCs/>
                <w:sz w:val="22"/>
                <w:szCs w:val="20"/>
              </w:rPr>
              <w:t>ormador Bucaramanga 230/115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FEO: diciembre de 2017.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ESSA</w:t>
            </w:r>
          </w:p>
        </w:tc>
      </w:tr>
      <w:tr w:rsidR="008D633A" w:rsidRPr="00365E87" w:rsidTr="00230E1F">
        <w:tblPrEx>
          <w:jc w:val="left"/>
        </w:tblPrEx>
        <w:trPr>
          <w:cantSplit/>
          <w:trHeight w:val="58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365E87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365E87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Palenque</w:t>
            </w:r>
          </w:p>
          <w:p w:rsidR="008D633A" w:rsidRDefault="008D633A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>
              <w:rPr>
                <w:rFonts w:ascii="Verdana" w:hAnsi="Verdana" w:cstheme="minorBidi"/>
                <w:bCs/>
                <w:sz w:val="22"/>
                <w:szCs w:val="20"/>
              </w:rPr>
              <w:t>230/115 kV STR.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FEO: noviembre de 2017.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ESSA</w:t>
            </w:r>
          </w:p>
        </w:tc>
      </w:tr>
      <w:tr w:rsidR="008D633A" w:rsidRPr="00365E87" w:rsidTr="00230E1F">
        <w:tblPrEx>
          <w:jc w:val="left"/>
        </w:tblPrEx>
        <w:trPr>
          <w:cantSplit/>
          <w:trHeight w:val="58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365E87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54686" w:rsidRPr="00365E87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UPME 05-2015 Palenque 230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FEO: noviembre de 2018.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 xml:space="preserve">Desarrollo eléctrico </w:t>
            </w:r>
            <w:proofErr w:type="spellStart"/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Suria</w:t>
            </w:r>
            <w:proofErr w:type="spellEnd"/>
          </w:p>
        </w:tc>
      </w:tr>
      <w:tr w:rsidR="008D633A" w:rsidRPr="00365E87" w:rsidTr="00230E1F">
        <w:tblPrEx>
          <w:jc w:val="left"/>
        </w:tblPrEx>
        <w:trPr>
          <w:cantSplit/>
          <w:trHeight w:val="584"/>
        </w:trPr>
        <w:tc>
          <w:tcPr>
            <w:tcW w:w="0" w:type="auto"/>
            <w:vMerge/>
            <w:shd w:val="clear" w:color="auto" w:fill="auto"/>
            <w:vAlign w:val="center"/>
          </w:tcPr>
          <w:p w:rsidR="00654686" w:rsidRPr="00365E87" w:rsidRDefault="00654686" w:rsidP="003B1337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54686" w:rsidRPr="00365E87" w:rsidRDefault="00654686" w:rsidP="003B1337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 xml:space="preserve">Tercer y cuarto transformador Barranca </w:t>
            </w:r>
            <w:r w:rsidR="00231EC0">
              <w:rPr>
                <w:rFonts w:ascii="Verdana" w:hAnsi="Verdana" w:cstheme="minorBidi"/>
                <w:bCs/>
                <w:sz w:val="22"/>
                <w:szCs w:val="20"/>
              </w:rPr>
              <w:t>230/115 kV-</w:t>
            </w:r>
            <w:r w:rsidR="008D633A">
              <w:rPr>
                <w:rFonts w:ascii="Verdana" w:hAnsi="Verdana" w:cstheme="minorBidi"/>
                <w:bCs/>
                <w:sz w:val="22"/>
                <w:szCs w:val="20"/>
              </w:rPr>
              <w:t>90 MVA.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FEO: diciembre de 2019.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ESSA</w:t>
            </w:r>
          </w:p>
        </w:tc>
      </w:tr>
      <w:tr w:rsidR="008D633A" w:rsidRPr="00365E87" w:rsidTr="00230E1F">
        <w:tblPrEx>
          <w:jc w:val="left"/>
        </w:tblPrEx>
        <w:trPr>
          <w:cantSplit/>
          <w:trHeight w:val="584"/>
        </w:trPr>
        <w:tc>
          <w:tcPr>
            <w:tcW w:w="0" w:type="auto"/>
            <w:gridSpan w:val="2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4686" w:rsidRPr="00230E1F" w:rsidRDefault="00654686" w:rsidP="003B1337">
            <w:pPr>
              <w:jc w:val="both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Existen riesgos de colapso total de las sub-áreas Caquetá y Putumayo ante contingencia del transformador de Altamira 230/115 kV, ya que no existe generación de seguridad para cubrir esta restricción.</w:t>
            </w:r>
          </w:p>
          <w:p w:rsidR="00654686" w:rsidRPr="00365E87" w:rsidRDefault="00654686" w:rsidP="003B1337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lastRenderedPageBreak/>
              <w:t>Para esta restricción no existen ESPS implementados que disminuyan el impacto de la contingencia sencilla en transformación.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lastRenderedPageBreak/>
              <w:t>Normalización subestación Mocoa.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FEO: no definida.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</w:p>
        </w:tc>
      </w:tr>
      <w:tr w:rsidR="00654686" w:rsidRPr="00365E87" w:rsidTr="00230E1F">
        <w:tblPrEx>
          <w:jc w:val="left"/>
        </w:tblPrEx>
        <w:trPr>
          <w:cantSplit/>
          <w:trHeight w:val="584"/>
        </w:trPr>
        <w:tc>
          <w:tcPr>
            <w:tcW w:w="0" w:type="auto"/>
            <w:gridSpan w:val="2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54686" w:rsidRDefault="00654686" w:rsidP="004C574B">
            <w:pPr>
              <w:jc w:val="both"/>
              <w:outlineLvl w:val="0"/>
              <w:rPr>
                <w:rFonts w:ascii="Verdana" w:hAnsi="Verdana" w:cstheme="minorBidi"/>
                <w:bCs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633A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  <w:lang w:val="pt-BR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pt-BR"/>
              </w:rPr>
              <w:t>UPME STR 05 - 2017 Segundo Tra</w:t>
            </w:r>
            <w:r w:rsidR="008D633A">
              <w:rPr>
                <w:rFonts w:ascii="Verdana" w:hAnsi="Verdana" w:cstheme="minorBidi"/>
                <w:bCs/>
                <w:sz w:val="22"/>
                <w:szCs w:val="20"/>
                <w:lang w:val="pt-BR"/>
              </w:rPr>
              <w:t>nsformador Altamira 230/115 kV.</w:t>
            </w:r>
          </w:p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  <w:lang w:val="pt-BR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  <w:lang w:val="pt-BR"/>
              </w:rPr>
              <w:t xml:space="preserve">FEO: </w:t>
            </w:r>
            <w:proofErr w:type="spellStart"/>
            <w:r w:rsidRPr="00230E1F">
              <w:rPr>
                <w:rFonts w:ascii="Verdana" w:hAnsi="Verdana" w:cstheme="minorBidi"/>
                <w:bCs/>
                <w:sz w:val="22"/>
                <w:szCs w:val="20"/>
                <w:lang w:val="pt-BR"/>
              </w:rPr>
              <w:t>marzo</w:t>
            </w:r>
            <w:proofErr w:type="spellEnd"/>
            <w:r w:rsidRPr="00230E1F">
              <w:rPr>
                <w:rFonts w:ascii="Verdana" w:hAnsi="Verdana" w:cstheme="minorBidi"/>
                <w:bCs/>
                <w:sz w:val="22"/>
                <w:szCs w:val="20"/>
                <w:lang w:val="pt-BR"/>
              </w:rPr>
              <w:t xml:space="preserve"> de 2019.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54686" w:rsidRPr="00230E1F" w:rsidRDefault="00654686" w:rsidP="008D633A">
            <w:pPr>
              <w:jc w:val="center"/>
              <w:outlineLvl w:val="0"/>
              <w:rPr>
                <w:rFonts w:ascii="Verdana" w:hAnsi="Verdana" w:cstheme="minorBidi"/>
                <w:bCs/>
                <w:sz w:val="22"/>
                <w:szCs w:val="20"/>
              </w:rPr>
            </w:pPr>
            <w:r w:rsidRPr="00230E1F">
              <w:rPr>
                <w:rFonts w:ascii="Verdana" w:hAnsi="Verdana" w:cstheme="minorBidi"/>
                <w:bCs/>
                <w:sz w:val="22"/>
                <w:szCs w:val="20"/>
              </w:rPr>
              <w:t>EEB</w:t>
            </w:r>
          </w:p>
        </w:tc>
      </w:tr>
    </w:tbl>
    <w:p w:rsidR="00230E1F" w:rsidRDefault="00230E1F" w:rsidP="00D95A3B">
      <w:pPr>
        <w:jc w:val="both"/>
        <w:outlineLvl w:val="0"/>
        <w:rPr>
          <w:rFonts w:ascii="Verdana" w:hAnsi="Verdana" w:cstheme="minorBidi"/>
          <w:bCs/>
          <w:sz w:val="22"/>
          <w:szCs w:val="18"/>
        </w:rPr>
      </w:pPr>
      <w:r>
        <w:rPr>
          <w:rFonts w:ascii="Verdana" w:hAnsi="Verdana" w:cstheme="minorBidi"/>
          <w:bCs/>
          <w:sz w:val="22"/>
          <w:szCs w:val="22"/>
        </w:rPr>
        <w:t xml:space="preserve">* </w:t>
      </w:r>
      <w:r w:rsidR="008D633A">
        <w:rPr>
          <w:rFonts w:ascii="Verdana" w:hAnsi="Verdana" w:cstheme="minorBidi"/>
          <w:bCs/>
          <w:sz w:val="22"/>
          <w:szCs w:val="22"/>
        </w:rPr>
        <w:t xml:space="preserve">FEO: </w:t>
      </w:r>
      <w:r>
        <w:rPr>
          <w:rFonts w:ascii="Verdana" w:hAnsi="Verdana" w:cstheme="minorBidi"/>
          <w:bCs/>
          <w:sz w:val="22"/>
          <w:szCs w:val="22"/>
        </w:rPr>
        <w:t>Fecha de Entrada en Operación</w:t>
      </w:r>
    </w:p>
    <w:p w:rsidR="007A3F90" w:rsidRPr="00230E1F" w:rsidRDefault="00732257" w:rsidP="00D95A3B">
      <w:pPr>
        <w:jc w:val="both"/>
        <w:outlineLvl w:val="0"/>
        <w:rPr>
          <w:rFonts w:ascii="Verdana" w:hAnsi="Verdana" w:cstheme="minorBidi"/>
          <w:bCs/>
          <w:sz w:val="22"/>
          <w:szCs w:val="18"/>
        </w:rPr>
      </w:pPr>
      <w:r w:rsidRPr="00230E1F">
        <w:rPr>
          <w:rFonts w:ascii="Verdana" w:hAnsi="Verdana" w:cstheme="minorBidi"/>
          <w:bCs/>
          <w:sz w:val="22"/>
          <w:szCs w:val="18"/>
        </w:rPr>
        <w:t>Nota</w:t>
      </w:r>
      <w:r w:rsidR="007A3F90" w:rsidRPr="00230E1F">
        <w:rPr>
          <w:rFonts w:ascii="Verdana" w:hAnsi="Verdana" w:cstheme="minorBidi"/>
          <w:bCs/>
          <w:sz w:val="22"/>
          <w:szCs w:val="18"/>
        </w:rPr>
        <w:t>s:</w:t>
      </w:r>
    </w:p>
    <w:p w:rsidR="007A3F90" w:rsidRPr="00230E1F" w:rsidRDefault="007A3F90" w:rsidP="007A3F90">
      <w:pPr>
        <w:pStyle w:val="Prrafodelista"/>
        <w:numPr>
          <w:ilvl w:val="0"/>
          <w:numId w:val="21"/>
        </w:numPr>
        <w:jc w:val="both"/>
        <w:outlineLvl w:val="0"/>
        <w:rPr>
          <w:rFonts w:ascii="Verdana" w:hAnsi="Verdana" w:cstheme="minorBidi"/>
          <w:bCs/>
          <w:sz w:val="22"/>
          <w:szCs w:val="18"/>
        </w:rPr>
      </w:pPr>
      <w:r w:rsidRPr="00230E1F">
        <w:rPr>
          <w:rFonts w:ascii="Verdana" w:hAnsi="Verdana" w:cstheme="minorBidi"/>
          <w:bCs/>
          <w:sz w:val="22"/>
          <w:szCs w:val="18"/>
        </w:rPr>
        <w:t xml:space="preserve">Las condiciones informadas en la tabla consideran la red completa en su totalidad, por lo que las condiciones </w:t>
      </w:r>
      <w:r w:rsidR="003B1337" w:rsidRPr="00230E1F">
        <w:rPr>
          <w:rFonts w:ascii="Verdana" w:hAnsi="Verdana" w:cstheme="minorBidi"/>
          <w:bCs/>
          <w:sz w:val="22"/>
          <w:szCs w:val="18"/>
        </w:rPr>
        <w:t xml:space="preserve">son más críticas </w:t>
      </w:r>
      <w:r w:rsidRPr="00230E1F">
        <w:rPr>
          <w:rFonts w:ascii="Verdana" w:hAnsi="Verdana" w:cstheme="minorBidi"/>
          <w:bCs/>
          <w:sz w:val="22"/>
          <w:szCs w:val="18"/>
        </w:rPr>
        <w:t>con</w:t>
      </w:r>
      <w:r w:rsidR="00720EFE" w:rsidRPr="00230E1F">
        <w:rPr>
          <w:rFonts w:ascii="Verdana" w:hAnsi="Verdana" w:cstheme="minorBidi"/>
          <w:bCs/>
          <w:sz w:val="22"/>
          <w:szCs w:val="18"/>
        </w:rPr>
        <w:t>siderando</w:t>
      </w:r>
      <w:r w:rsidRPr="00230E1F">
        <w:rPr>
          <w:rFonts w:ascii="Verdana" w:hAnsi="Verdana" w:cstheme="minorBidi"/>
          <w:bCs/>
          <w:sz w:val="22"/>
          <w:szCs w:val="18"/>
        </w:rPr>
        <w:t xml:space="preserve"> indisponibilidades </w:t>
      </w:r>
      <w:r w:rsidR="003B1337" w:rsidRPr="00230E1F">
        <w:rPr>
          <w:rFonts w:ascii="Verdana" w:hAnsi="Verdana" w:cstheme="minorBidi"/>
          <w:bCs/>
          <w:sz w:val="22"/>
          <w:szCs w:val="18"/>
        </w:rPr>
        <w:t>por</w:t>
      </w:r>
      <w:r w:rsidRPr="00230E1F">
        <w:rPr>
          <w:rFonts w:ascii="Verdana" w:hAnsi="Verdana" w:cstheme="minorBidi"/>
          <w:bCs/>
          <w:sz w:val="22"/>
          <w:szCs w:val="18"/>
        </w:rPr>
        <w:t xml:space="preserve"> mantenimientos </w:t>
      </w:r>
      <w:r w:rsidR="003B1337" w:rsidRPr="00230E1F">
        <w:rPr>
          <w:rFonts w:ascii="Verdana" w:hAnsi="Verdana" w:cstheme="minorBidi"/>
          <w:bCs/>
          <w:sz w:val="22"/>
          <w:szCs w:val="18"/>
        </w:rPr>
        <w:t>en el SIN</w:t>
      </w:r>
      <w:r w:rsidRPr="00230E1F">
        <w:rPr>
          <w:rFonts w:ascii="Verdana" w:hAnsi="Verdana" w:cstheme="minorBidi"/>
          <w:bCs/>
          <w:sz w:val="22"/>
          <w:szCs w:val="18"/>
        </w:rPr>
        <w:t>.</w:t>
      </w:r>
    </w:p>
    <w:p w:rsidR="00732257" w:rsidRPr="00230E1F" w:rsidRDefault="007A3F90" w:rsidP="007A3F90">
      <w:pPr>
        <w:pStyle w:val="Prrafodelista"/>
        <w:numPr>
          <w:ilvl w:val="0"/>
          <w:numId w:val="21"/>
        </w:numPr>
        <w:jc w:val="both"/>
        <w:outlineLvl w:val="0"/>
        <w:rPr>
          <w:rFonts w:ascii="Verdana" w:hAnsi="Verdana" w:cstheme="minorBidi"/>
          <w:bCs/>
          <w:sz w:val="22"/>
          <w:szCs w:val="18"/>
        </w:rPr>
      </w:pPr>
      <w:r w:rsidRPr="00230E1F">
        <w:rPr>
          <w:rFonts w:ascii="Verdana" w:hAnsi="Verdana" w:cstheme="minorBidi"/>
          <w:bCs/>
          <w:sz w:val="22"/>
          <w:szCs w:val="18"/>
        </w:rPr>
        <w:t>P</w:t>
      </w:r>
      <w:r w:rsidR="00732257" w:rsidRPr="00230E1F">
        <w:rPr>
          <w:rFonts w:ascii="Verdana" w:hAnsi="Verdana" w:cstheme="minorBidi"/>
          <w:bCs/>
          <w:sz w:val="22"/>
          <w:szCs w:val="18"/>
        </w:rPr>
        <w:t xml:space="preserve">ara mayor detalle de estas condiciones, remitirse al Informe de Planeamiento Operativo Eléctrico de Mediano Plazo correspondiente al tercer trimestre de 2017 publicado por XM en su página web </w:t>
      </w:r>
      <w:hyperlink r:id="rId10" w:history="1">
        <w:r w:rsidR="00732257" w:rsidRPr="00230E1F">
          <w:rPr>
            <w:rStyle w:val="Hipervnculo"/>
            <w:rFonts w:ascii="Verdana" w:hAnsi="Verdana" w:cstheme="minorBidi"/>
            <w:bCs/>
            <w:sz w:val="22"/>
            <w:szCs w:val="18"/>
          </w:rPr>
          <w:t>www.xm.com.co</w:t>
        </w:r>
      </w:hyperlink>
      <w:r w:rsidR="00732257" w:rsidRPr="00230E1F">
        <w:rPr>
          <w:rFonts w:ascii="Verdana" w:hAnsi="Verdana" w:cstheme="minorBidi"/>
          <w:bCs/>
          <w:sz w:val="22"/>
          <w:szCs w:val="18"/>
        </w:rPr>
        <w:t>.</w:t>
      </w:r>
    </w:p>
    <w:sectPr w:rsidR="00732257" w:rsidRPr="00230E1F" w:rsidSect="005C2979">
      <w:pgSz w:w="15842" w:h="12242" w:orient="landscape" w:code="1"/>
      <w:pgMar w:top="1701" w:right="851" w:bottom="132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B33" w:rsidRDefault="000F6B33">
      <w:r>
        <w:separator/>
      </w:r>
    </w:p>
  </w:endnote>
  <w:endnote w:type="continuationSeparator" w:id="0">
    <w:p w:rsidR="000F6B33" w:rsidRDefault="000F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EB1" w:rsidRDefault="00135EB1">
    <w:pPr>
      <w:pStyle w:val="Piedepgina"/>
      <w:jc w:val="right"/>
      <w:rPr>
        <w:b/>
        <w:color w:val="CC99FF"/>
        <w:lang w:val="es-MX"/>
      </w:rPr>
    </w:pPr>
  </w:p>
  <w:p w:rsidR="00135EB1" w:rsidRDefault="00E43C02">
    <w:pPr>
      <w:pStyle w:val="Piedepgina"/>
      <w:jc w:val="center"/>
      <w:rPr>
        <w:b/>
        <w:color w:val="CC99FF"/>
        <w:lang w:val="es-MX"/>
      </w:rPr>
    </w:pPr>
    <w:r>
      <w:rPr>
        <w:b/>
        <w:noProof/>
        <w:color w:val="CC99FF"/>
        <w:lang w:eastAsia="es-C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FA42975" wp14:editId="37D767DD">
              <wp:simplePos x="0" y="0"/>
              <wp:positionH relativeFrom="column">
                <wp:posOffset>48260</wp:posOffset>
              </wp:positionH>
              <wp:positionV relativeFrom="paragraph">
                <wp:posOffset>-1</wp:posOffset>
              </wp:positionV>
              <wp:extent cx="5715000" cy="0"/>
              <wp:effectExtent l="0" t="0" r="25400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79707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pt,0" to="45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CKilDu1wAA&#10;AAMBAAAPAAAAAAAAAAAAAAAAAGsEAABkcnMvZG93bnJldi54bWxQSwUGAAAAAAQABADzAAAAbwUA&#10;AAAA&#10;"/>
          </w:pict>
        </mc:Fallback>
      </mc:AlternateContent>
    </w:r>
  </w:p>
  <w:p w:rsidR="00135EB1" w:rsidRPr="008D4CE2" w:rsidRDefault="00135EB1" w:rsidP="008D4CE2">
    <w:pPr>
      <w:pStyle w:val="Piedepgina"/>
      <w:jc w:val="center"/>
      <w:rPr>
        <w:b/>
        <w:lang w:val="es-MX"/>
      </w:rPr>
    </w:pPr>
    <w:r w:rsidRPr="008D4CE2">
      <w:rPr>
        <w:b/>
        <w:lang w:val="es-MX"/>
      </w:rPr>
      <w:t>Av. calle 26 No. 69-63 Oficina 408 Teléfonos: 7023029 –</w:t>
    </w:r>
    <w:r w:rsidR="007331C5">
      <w:rPr>
        <w:b/>
        <w:lang w:val="es-MX"/>
      </w:rPr>
      <w:t xml:space="preserve"> 7023026 - </w:t>
    </w:r>
    <w:r w:rsidRPr="008D4CE2">
      <w:rPr>
        <w:b/>
        <w:lang w:val="es-MX"/>
      </w:rPr>
      <w:t xml:space="preserve"> 7021892</w:t>
    </w:r>
  </w:p>
  <w:p w:rsidR="00135EB1" w:rsidRPr="008D4CE2" w:rsidRDefault="00135EB1" w:rsidP="008D4CE2">
    <w:pPr>
      <w:pStyle w:val="Piedepgina"/>
      <w:jc w:val="center"/>
      <w:rPr>
        <w:b/>
        <w:lang w:val="es-MX"/>
      </w:rPr>
    </w:pPr>
    <w:r w:rsidRPr="008D4CE2">
      <w:rPr>
        <w:b/>
        <w:lang w:val="es-MX"/>
      </w:rPr>
      <w:t xml:space="preserve">E-Mail aolarte@cno.org.co - Internet: www.cno.org.co - Edificio Torre 26 </w:t>
    </w:r>
  </w:p>
  <w:p w:rsidR="00135EB1" w:rsidRDefault="00135EB1" w:rsidP="008D4CE2">
    <w:pPr>
      <w:pStyle w:val="Piedepgina"/>
      <w:jc w:val="center"/>
      <w:rPr>
        <w:b/>
        <w:lang w:val="es-MX"/>
      </w:rPr>
    </w:pPr>
    <w:r w:rsidRPr="008D4CE2">
      <w:rPr>
        <w:b/>
        <w:lang w:val="es-MX"/>
      </w:rPr>
      <w:t>Bogotá, D.C.-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B33" w:rsidRDefault="000F6B33">
      <w:r>
        <w:separator/>
      </w:r>
    </w:p>
  </w:footnote>
  <w:footnote w:type="continuationSeparator" w:id="0">
    <w:p w:rsidR="000F6B33" w:rsidRDefault="000F6B33">
      <w:r>
        <w:continuationSeparator/>
      </w:r>
    </w:p>
  </w:footnote>
  <w:footnote w:id="1">
    <w:p w:rsidR="005A4D63" w:rsidRPr="005A4D63" w:rsidRDefault="005A4D63" w:rsidP="00457AA5">
      <w:pPr>
        <w:pStyle w:val="Textonotapie"/>
        <w:jc w:val="both"/>
        <w:rPr>
          <w:rFonts w:ascii="Verdana" w:hAnsi="Verdana"/>
          <w:lang w:val="es-CO"/>
        </w:rPr>
      </w:pPr>
      <w:r w:rsidRPr="005A4D63">
        <w:rPr>
          <w:rStyle w:val="Refdenotaalpie"/>
          <w:rFonts w:ascii="Verdana" w:hAnsi="Verdana"/>
        </w:rPr>
        <w:footnoteRef/>
      </w:r>
      <w:r w:rsidRPr="005A4D63">
        <w:rPr>
          <w:rFonts w:ascii="Verdana" w:hAnsi="Verdana"/>
        </w:rPr>
        <w:t xml:space="preserve"> </w:t>
      </w:r>
      <w:proofErr w:type="spellStart"/>
      <w:r w:rsidRPr="003B4F87">
        <w:rPr>
          <w:rFonts w:ascii="Verdana" w:hAnsi="Verdana"/>
          <w:sz w:val="16"/>
          <w:lang w:val="es-CO"/>
        </w:rPr>
        <w:t>Battery</w:t>
      </w:r>
      <w:proofErr w:type="spellEnd"/>
      <w:r w:rsidRPr="003B4F87">
        <w:rPr>
          <w:rFonts w:ascii="Verdana" w:hAnsi="Verdana"/>
          <w:sz w:val="16"/>
          <w:lang w:val="es-CO"/>
        </w:rPr>
        <w:t xml:space="preserve"> Energy Storage </w:t>
      </w:r>
      <w:proofErr w:type="spellStart"/>
      <w:r w:rsidRPr="003B4F87">
        <w:rPr>
          <w:rFonts w:ascii="Verdana" w:hAnsi="Verdana"/>
          <w:sz w:val="16"/>
          <w:lang w:val="es-CO"/>
        </w:rPr>
        <w:t>System</w:t>
      </w:r>
      <w:proofErr w:type="spellEnd"/>
      <w:r w:rsidRPr="003B4F87">
        <w:rPr>
          <w:rFonts w:ascii="Verdana" w:hAnsi="Verdana"/>
          <w:sz w:val="16"/>
          <w:lang w:val="es-CO"/>
        </w:rPr>
        <w:t>.</w:t>
      </w:r>
    </w:p>
  </w:footnote>
  <w:footnote w:id="2">
    <w:p w:rsidR="00457AA5" w:rsidRPr="00457AA5" w:rsidRDefault="00457AA5" w:rsidP="00457AA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="0055768E">
        <w:t xml:space="preserve"> </w:t>
      </w:r>
      <w:r w:rsidRPr="003B4F87">
        <w:rPr>
          <w:rFonts w:ascii="Verdana" w:hAnsi="Verdana"/>
          <w:sz w:val="18"/>
          <w:lang w:val="es-CO"/>
        </w:rPr>
        <w:t>Desde el CNO y la UPME se han establecido ciertos aspectos regulatorios que deben ser implementados, con el objetivo de facilitar la inserción de este tipo de tecnologías en el SIN.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EB1" w:rsidRDefault="00135EB1">
    <w:pPr>
      <w:pStyle w:val="Encabezado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="00357CB6" w:rsidRPr="00C12902">
      <w:rPr>
        <w:noProof/>
        <w:lang w:eastAsia="es-CO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5EB1" w:rsidRPr="00B23F7B" w:rsidRDefault="00E43C02" w:rsidP="00B23F7B">
    <w:pPr>
      <w:pStyle w:val="Encabezado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95F56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LV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h+mOWzC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" o:allowincell="f"/>
          </w:pict>
        </mc:Fallback>
      </mc:AlternateContent>
    </w:r>
    <w:r w:rsidR="00135EB1"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5624C"/>
    <w:multiLevelType w:val="hybridMultilevel"/>
    <w:tmpl w:val="6F3E35CA"/>
    <w:lvl w:ilvl="0" w:tplc="240A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108E4FA5"/>
    <w:multiLevelType w:val="hybridMultilevel"/>
    <w:tmpl w:val="80F8297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5" w15:restartNumberingAfterBreak="0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B0390C"/>
    <w:multiLevelType w:val="hybridMultilevel"/>
    <w:tmpl w:val="745EAC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84649"/>
    <w:multiLevelType w:val="hybridMultilevel"/>
    <w:tmpl w:val="5564690C"/>
    <w:lvl w:ilvl="0" w:tplc="240A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1" w15:restartNumberingAfterBreak="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AE4013"/>
    <w:multiLevelType w:val="hybridMultilevel"/>
    <w:tmpl w:val="C30E93B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BF6CC8"/>
    <w:multiLevelType w:val="hybridMultilevel"/>
    <w:tmpl w:val="29EA43D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9161B"/>
    <w:multiLevelType w:val="hybridMultilevel"/>
    <w:tmpl w:val="688E98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71D1A"/>
    <w:multiLevelType w:val="hybridMultilevel"/>
    <w:tmpl w:val="4E9C125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8"/>
  </w:num>
  <w:num w:numId="5">
    <w:abstractNumId w:val="19"/>
  </w:num>
  <w:num w:numId="6">
    <w:abstractNumId w:val="12"/>
  </w:num>
  <w:num w:numId="7">
    <w:abstractNumId w:val="5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14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20"/>
  </w:num>
  <w:num w:numId="18">
    <w:abstractNumId w:val="1"/>
  </w:num>
  <w:num w:numId="19">
    <w:abstractNumId w:val="18"/>
  </w:num>
  <w:num w:numId="20">
    <w:abstractNumId w:val="16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pt-BR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2"/>
    <w:rsid w:val="000002D0"/>
    <w:rsid w:val="00000368"/>
    <w:rsid w:val="00001A42"/>
    <w:rsid w:val="00002B31"/>
    <w:rsid w:val="00002C24"/>
    <w:rsid w:val="00002F11"/>
    <w:rsid w:val="00003F51"/>
    <w:rsid w:val="0000414B"/>
    <w:rsid w:val="000055F4"/>
    <w:rsid w:val="00006C64"/>
    <w:rsid w:val="000141A1"/>
    <w:rsid w:val="000146AB"/>
    <w:rsid w:val="000147DB"/>
    <w:rsid w:val="00014EE8"/>
    <w:rsid w:val="00016624"/>
    <w:rsid w:val="00016CEC"/>
    <w:rsid w:val="00016D82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268FA"/>
    <w:rsid w:val="00030B8F"/>
    <w:rsid w:val="00030C8C"/>
    <w:rsid w:val="00031648"/>
    <w:rsid w:val="0003175A"/>
    <w:rsid w:val="00031F84"/>
    <w:rsid w:val="00035AC3"/>
    <w:rsid w:val="00035D46"/>
    <w:rsid w:val="000365A8"/>
    <w:rsid w:val="0004173B"/>
    <w:rsid w:val="000430A7"/>
    <w:rsid w:val="00043249"/>
    <w:rsid w:val="00043C82"/>
    <w:rsid w:val="000472EC"/>
    <w:rsid w:val="00047F90"/>
    <w:rsid w:val="0005188C"/>
    <w:rsid w:val="0005455C"/>
    <w:rsid w:val="000556BD"/>
    <w:rsid w:val="00056218"/>
    <w:rsid w:val="00057A83"/>
    <w:rsid w:val="00057F27"/>
    <w:rsid w:val="0006074D"/>
    <w:rsid w:val="00062609"/>
    <w:rsid w:val="00064156"/>
    <w:rsid w:val="00064DE6"/>
    <w:rsid w:val="00065E25"/>
    <w:rsid w:val="00065F95"/>
    <w:rsid w:val="00066876"/>
    <w:rsid w:val="00067654"/>
    <w:rsid w:val="00072D74"/>
    <w:rsid w:val="00073CD2"/>
    <w:rsid w:val="00074D7A"/>
    <w:rsid w:val="00076C8F"/>
    <w:rsid w:val="000805D1"/>
    <w:rsid w:val="000814F5"/>
    <w:rsid w:val="00086091"/>
    <w:rsid w:val="000867D2"/>
    <w:rsid w:val="00091EE8"/>
    <w:rsid w:val="00092FED"/>
    <w:rsid w:val="00095834"/>
    <w:rsid w:val="00095BD5"/>
    <w:rsid w:val="0009624D"/>
    <w:rsid w:val="00096396"/>
    <w:rsid w:val="00097920"/>
    <w:rsid w:val="000A0837"/>
    <w:rsid w:val="000A368B"/>
    <w:rsid w:val="000A395A"/>
    <w:rsid w:val="000A42D0"/>
    <w:rsid w:val="000A5315"/>
    <w:rsid w:val="000A570E"/>
    <w:rsid w:val="000A5E29"/>
    <w:rsid w:val="000A664F"/>
    <w:rsid w:val="000A7E46"/>
    <w:rsid w:val="000A7F18"/>
    <w:rsid w:val="000B1AC7"/>
    <w:rsid w:val="000C1867"/>
    <w:rsid w:val="000C2B35"/>
    <w:rsid w:val="000C60BE"/>
    <w:rsid w:val="000C7BF8"/>
    <w:rsid w:val="000D77C5"/>
    <w:rsid w:val="000D7C46"/>
    <w:rsid w:val="000D7D2A"/>
    <w:rsid w:val="000E0673"/>
    <w:rsid w:val="000E0D03"/>
    <w:rsid w:val="000E3C44"/>
    <w:rsid w:val="000E4232"/>
    <w:rsid w:val="000E5C92"/>
    <w:rsid w:val="000E5D82"/>
    <w:rsid w:val="000E7261"/>
    <w:rsid w:val="000E7996"/>
    <w:rsid w:val="000F1DC8"/>
    <w:rsid w:val="000F621B"/>
    <w:rsid w:val="000F6B33"/>
    <w:rsid w:val="00100A62"/>
    <w:rsid w:val="00101483"/>
    <w:rsid w:val="00102353"/>
    <w:rsid w:val="001047C7"/>
    <w:rsid w:val="00105405"/>
    <w:rsid w:val="0010567B"/>
    <w:rsid w:val="00107D94"/>
    <w:rsid w:val="00110A4B"/>
    <w:rsid w:val="001135ED"/>
    <w:rsid w:val="00114D0D"/>
    <w:rsid w:val="001174DE"/>
    <w:rsid w:val="00120B71"/>
    <w:rsid w:val="00120C33"/>
    <w:rsid w:val="001218F4"/>
    <w:rsid w:val="00124D0B"/>
    <w:rsid w:val="001273FD"/>
    <w:rsid w:val="00130023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43A6D"/>
    <w:rsid w:val="00150013"/>
    <w:rsid w:val="00150EC8"/>
    <w:rsid w:val="00152C78"/>
    <w:rsid w:val="001530D9"/>
    <w:rsid w:val="0015318E"/>
    <w:rsid w:val="00155E45"/>
    <w:rsid w:val="00156F57"/>
    <w:rsid w:val="00157319"/>
    <w:rsid w:val="001607D8"/>
    <w:rsid w:val="00164037"/>
    <w:rsid w:val="00165D51"/>
    <w:rsid w:val="00170083"/>
    <w:rsid w:val="00171F50"/>
    <w:rsid w:val="00172130"/>
    <w:rsid w:val="00172E30"/>
    <w:rsid w:val="00173163"/>
    <w:rsid w:val="00173584"/>
    <w:rsid w:val="001760EE"/>
    <w:rsid w:val="001762EF"/>
    <w:rsid w:val="00176A52"/>
    <w:rsid w:val="00176CF9"/>
    <w:rsid w:val="00176EED"/>
    <w:rsid w:val="00180715"/>
    <w:rsid w:val="00182EEA"/>
    <w:rsid w:val="00185148"/>
    <w:rsid w:val="001857AF"/>
    <w:rsid w:val="001862E3"/>
    <w:rsid w:val="001904F6"/>
    <w:rsid w:val="001918E2"/>
    <w:rsid w:val="001A0E60"/>
    <w:rsid w:val="001A25AB"/>
    <w:rsid w:val="001A4B3B"/>
    <w:rsid w:val="001A4D35"/>
    <w:rsid w:val="001B38D8"/>
    <w:rsid w:val="001B3E5C"/>
    <w:rsid w:val="001C00E2"/>
    <w:rsid w:val="001C2F8F"/>
    <w:rsid w:val="001C31B7"/>
    <w:rsid w:val="001C46C2"/>
    <w:rsid w:val="001C6B67"/>
    <w:rsid w:val="001C6CE2"/>
    <w:rsid w:val="001E1646"/>
    <w:rsid w:val="001E1DFE"/>
    <w:rsid w:val="001F19D3"/>
    <w:rsid w:val="001F35A5"/>
    <w:rsid w:val="001F4F11"/>
    <w:rsid w:val="001F61BC"/>
    <w:rsid w:val="001F6A62"/>
    <w:rsid w:val="002000A7"/>
    <w:rsid w:val="00201301"/>
    <w:rsid w:val="002031E5"/>
    <w:rsid w:val="00203BA2"/>
    <w:rsid w:val="00206447"/>
    <w:rsid w:val="002073DC"/>
    <w:rsid w:val="00210E1E"/>
    <w:rsid w:val="00210E22"/>
    <w:rsid w:val="00212575"/>
    <w:rsid w:val="0021279B"/>
    <w:rsid w:val="0021412E"/>
    <w:rsid w:val="00214496"/>
    <w:rsid w:val="002158C1"/>
    <w:rsid w:val="00224164"/>
    <w:rsid w:val="002244CE"/>
    <w:rsid w:val="002265AC"/>
    <w:rsid w:val="00226DA5"/>
    <w:rsid w:val="00227D1D"/>
    <w:rsid w:val="00230E1F"/>
    <w:rsid w:val="002317CF"/>
    <w:rsid w:val="00231EC0"/>
    <w:rsid w:val="00233077"/>
    <w:rsid w:val="0023739F"/>
    <w:rsid w:val="00247DD1"/>
    <w:rsid w:val="00247FDF"/>
    <w:rsid w:val="00253E04"/>
    <w:rsid w:val="0025552C"/>
    <w:rsid w:val="00255B89"/>
    <w:rsid w:val="0026014B"/>
    <w:rsid w:val="00260319"/>
    <w:rsid w:val="002628DB"/>
    <w:rsid w:val="00266C0E"/>
    <w:rsid w:val="00270F7E"/>
    <w:rsid w:val="00275B2A"/>
    <w:rsid w:val="002764AA"/>
    <w:rsid w:val="00281F7F"/>
    <w:rsid w:val="00282872"/>
    <w:rsid w:val="0028403E"/>
    <w:rsid w:val="00284FE2"/>
    <w:rsid w:val="00290503"/>
    <w:rsid w:val="00290843"/>
    <w:rsid w:val="00290C6C"/>
    <w:rsid w:val="00291F19"/>
    <w:rsid w:val="002922E9"/>
    <w:rsid w:val="00294DBE"/>
    <w:rsid w:val="00295250"/>
    <w:rsid w:val="00295A44"/>
    <w:rsid w:val="00295A8E"/>
    <w:rsid w:val="00295C53"/>
    <w:rsid w:val="0029666E"/>
    <w:rsid w:val="00297858"/>
    <w:rsid w:val="002A076E"/>
    <w:rsid w:val="002A1C47"/>
    <w:rsid w:val="002A216D"/>
    <w:rsid w:val="002A3BE9"/>
    <w:rsid w:val="002A4E30"/>
    <w:rsid w:val="002A6213"/>
    <w:rsid w:val="002B3BDD"/>
    <w:rsid w:val="002B661E"/>
    <w:rsid w:val="002B773A"/>
    <w:rsid w:val="002C16EA"/>
    <w:rsid w:val="002C2A3B"/>
    <w:rsid w:val="002C36E5"/>
    <w:rsid w:val="002C3B9A"/>
    <w:rsid w:val="002C497E"/>
    <w:rsid w:val="002C4D46"/>
    <w:rsid w:val="002D0372"/>
    <w:rsid w:val="002D06FC"/>
    <w:rsid w:val="002D07F0"/>
    <w:rsid w:val="002D31E6"/>
    <w:rsid w:val="002D360B"/>
    <w:rsid w:val="002D5C49"/>
    <w:rsid w:val="002D5D8D"/>
    <w:rsid w:val="002D5EE1"/>
    <w:rsid w:val="002E0EE2"/>
    <w:rsid w:val="002E5B8F"/>
    <w:rsid w:val="002E7EB3"/>
    <w:rsid w:val="002E7EF4"/>
    <w:rsid w:val="002F225C"/>
    <w:rsid w:val="002F28F4"/>
    <w:rsid w:val="002F3E8D"/>
    <w:rsid w:val="002F432D"/>
    <w:rsid w:val="002F458B"/>
    <w:rsid w:val="002F523A"/>
    <w:rsid w:val="002F73D7"/>
    <w:rsid w:val="002F7E22"/>
    <w:rsid w:val="00300739"/>
    <w:rsid w:val="00300DCE"/>
    <w:rsid w:val="0030565C"/>
    <w:rsid w:val="0030657A"/>
    <w:rsid w:val="00306819"/>
    <w:rsid w:val="00306A17"/>
    <w:rsid w:val="00310530"/>
    <w:rsid w:val="003125E4"/>
    <w:rsid w:val="003173E1"/>
    <w:rsid w:val="00321705"/>
    <w:rsid w:val="00325531"/>
    <w:rsid w:val="003265EE"/>
    <w:rsid w:val="00326FA3"/>
    <w:rsid w:val="00333970"/>
    <w:rsid w:val="00334EBA"/>
    <w:rsid w:val="003371B4"/>
    <w:rsid w:val="00340974"/>
    <w:rsid w:val="0034253E"/>
    <w:rsid w:val="00344A8B"/>
    <w:rsid w:val="00346C9D"/>
    <w:rsid w:val="003479C7"/>
    <w:rsid w:val="00350484"/>
    <w:rsid w:val="00350A11"/>
    <w:rsid w:val="00351293"/>
    <w:rsid w:val="00351DAA"/>
    <w:rsid w:val="00352096"/>
    <w:rsid w:val="003546E9"/>
    <w:rsid w:val="003547F1"/>
    <w:rsid w:val="00355685"/>
    <w:rsid w:val="00355E38"/>
    <w:rsid w:val="003573E3"/>
    <w:rsid w:val="00357CB6"/>
    <w:rsid w:val="00360B14"/>
    <w:rsid w:val="003624CD"/>
    <w:rsid w:val="003631A7"/>
    <w:rsid w:val="003642C4"/>
    <w:rsid w:val="003645D3"/>
    <w:rsid w:val="0037090B"/>
    <w:rsid w:val="0037288D"/>
    <w:rsid w:val="00373236"/>
    <w:rsid w:val="00375B15"/>
    <w:rsid w:val="00377E49"/>
    <w:rsid w:val="003843AC"/>
    <w:rsid w:val="00390D5D"/>
    <w:rsid w:val="00390E5E"/>
    <w:rsid w:val="00391382"/>
    <w:rsid w:val="0039710B"/>
    <w:rsid w:val="003972E1"/>
    <w:rsid w:val="003A0506"/>
    <w:rsid w:val="003A098A"/>
    <w:rsid w:val="003A0F92"/>
    <w:rsid w:val="003A1499"/>
    <w:rsid w:val="003A3383"/>
    <w:rsid w:val="003A49EE"/>
    <w:rsid w:val="003A4CDA"/>
    <w:rsid w:val="003A6D03"/>
    <w:rsid w:val="003B02C8"/>
    <w:rsid w:val="003B03F4"/>
    <w:rsid w:val="003B1337"/>
    <w:rsid w:val="003B19B1"/>
    <w:rsid w:val="003B248E"/>
    <w:rsid w:val="003B2F30"/>
    <w:rsid w:val="003B43B5"/>
    <w:rsid w:val="003B4701"/>
    <w:rsid w:val="003B4F87"/>
    <w:rsid w:val="003B5668"/>
    <w:rsid w:val="003B571C"/>
    <w:rsid w:val="003B5E47"/>
    <w:rsid w:val="003B678B"/>
    <w:rsid w:val="003C1465"/>
    <w:rsid w:val="003C3496"/>
    <w:rsid w:val="003C3846"/>
    <w:rsid w:val="003C445E"/>
    <w:rsid w:val="003C5BC3"/>
    <w:rsid w:val="003C7712"/>
    <w:rsid w:val="003C7DB8"/>
    <w:rsid w:val="003D0AF1"/>
    <w:rsid w:val="003D0C8D"/>
    <w:rsid w:val="003D1980"/>
    <w:rsid w:val="003D5281"/>
    <w:rsid w:val="003D5855"/>
    <w:rsid w:val="003D7A0F"/>
    <w:rsid w:val="003E1713"/>
    <w:rsid w:val="003E2FB4"/>
    <w:rsid w:val="003E4AF1"/>
    <w:rsid w:val="003E4CCE"/>
    <w:rsid w:val="003E76FC"/>
    <w:rsid w:val="003E7901"/>
    <w:rsid w:val="003F11EF"/>
    <w:rsid w:val="003F2203"/>
    <w:rsid w:val="003F3C4D"/>
    <w:rsid w:val="003F44D7"/>
    <w:rsid w:val="003F665B"/>
    <w:rsid w:val="003F7378"/>
    <w:rsid w:val="00401494"/>
    <w:rsid w:val="00401628"/>
    <w:rsid w:val="004043DB"/>
    <w:rsid w:val="004061B6"/>
    <w:rsid w:val="00415757"/>
    <w:rsid w:val="00416706"/>
    <w:rsid w:val="00416DD2"/>
    <w:rsid w:val="00420001"/>
    <w:rsid w:val="004212CC"/>
    <w:rsid w:val="004218BA"/>
    <w:rsid w:val="00423704"/>
    <w:rsid w:val="0042373E"/>
    <w:rsid w:val="00423789"/>
    <w:rsid w:val="0042421F"/>
    <w:rsid w:val="00427179"/>
    <w:rsid w:val="00431736"/>
    <w:rsid w:val="0043348D"/>
    <w:rsid w:val="00434994"/>
    <w:rsid w:val="004367DF"/>
    <w:rsid w:val="004417C3"/>
    <w:rsid w:val="004423DA"/>
    <w:rsid w:val="00443732"/>
    <w:rsid w:val="00443B7D"/>
    <w:rsid w:val="00444E4E"/>
    <w:rsid w:val="004454E2"/>
    <w:rsid w:val="004513AF"/>
    <w:rsid w:val="004528C2"/>
    <w:rsid w:val="0045315F"/>
    <w:rsid w:val="00453D54"/>
    <w:rsid w:val="00457AA5"/>
    <w:rsid w:val="00460610"/>
    <w:rsid w:val="00460EB6"/>
    <w:rsid w:val="0046116D"/>
    <w:rsid w:val="00461C01"/>
    <w:rsid w:val="0046227C"/>
    <w:rsid w:val="00465392"/>
    <w:rsid w:val="004745D1"/>
    <w:rsid w:val="0047689E"/>
    <w:rsid w:val="00480817"/>
    <w:rsid w:val="00481189"/>
    <w:rsid w:val="0048224C"/>
    <w:rsid w:val="00482A2C"/>
    <w:rsid w:val="0048334E"/>
    <w:rsid w:val="00483DBB"/>
    <w:rsid w:val="0048483A"/>
    <w:rsid w:val="00493238"/>
    <w:rsid w:val="004A1DD3"/>
    <w:rsid w:val="004A3850"/>
    <w:rsid w:val="004A5461"/>
    <w:rsid w:val="004A67F9"/>
    <w:rsid w:val="004B0A1A"/>
    <w:rsid w:val="004B31BC"/>
    <w:rsid w:val="004B5A64"/>
    <w:rsid w:val="004C0348"/>
    <w:rsid w:val="004C11C2"/>
    <w:rsid w:val="004C3530"/>
    <w:rsid w:val="004C35ED"/>
    <w:rsid w:val="004C3F1D"/>
    <w:rsid w:val="004C63DA"/>
    <w:rsid w:val="004C6824"/>
    <w:rsid w:val="004D19EF"/>
    <w:rsid w:val="004D7259"/>
    <w:rsid w:val="004D7883"/>
    <w:rsid w:val="004D7D2A"/>
    <w:rsid w:val="004E2C10"/>
    <w:rsid w:val="004E33EB"/>
    <w:rsid w:val="004E592A"/>
    <w:rsid w:val="004E6CD0"/>
    <w:rsid w:val="004E6D9B"/>
    <w:rsid w:val="004F0377"/>
    <w:rsid w:val="004F35FB"/>
    <w:rsid w:val="004F3D39"/>
    <w:rsid w:val="004F42F9"/>
    <w:rsid w:val="005016BA"/>
    <w:rsid w:val="00502069"/>
    <w:rsid w:val="00502183"/>
    <w:rsid w:val="005031A2"/>
    <w:rsid w:val="005033B0"/>
    <w:rsid w:val="00504B6E"/>
    <w:rsid w:val="00505977"/>
    <w:rsid w:val="005068DB"/>
    <w:rsid w:val="005073F2"/>
    <w:rsid w:val="005105E1"/>
    <w:rsid w:val="00512B88"/>
    <w:rsid w:val="00513DC4"/>
    <w:rsid w:val="0051593B"/>
    <w:rsid w:val="00516C44"/>
    <w:rsid w:val="005229BB"/>
    <w:rsid w:val="00523F57"/>
    <w:rsid w:val="005264A8"/>
    <w:rsid w:val="00526CE8"/>
    <w:rsid w:val="00530DFE"/>
    <w:rsid w:val="00533874"/>
    <w:rsid w:val="00547FBE"/>
    <w:rsid w:val="00550958"/>
    <w:rsid w:val="005512C2"/>
    <w:rsid w:val="005533EB"/>
    <w:rsid w:val="00553EF4"/>
    <w:rsid w:val="00554497"/>
    <w:rsid w:val="00554E55"/>
    <w:rsid w:val="005559E6"/>
    <w:rsid w:val="0055768E"/>
    <w:rsid w:val="005607BD"/>
    <w:rsid w:val="00562953"/>
    <w:rsid w:val="00564850"/>
    <w:rsid w:val="00565D47"/>
    <w:rsid w:val="00566275"/>
    <w:rsid w:val="00566423"/>
    <w:rsid w:val="0056684E"/>
    <w:rsid w:val="005669F3"/>
    <w:rsid w:val="00570088"/>
    <w:rsid w:val="00572889"/>
    <w:rsid w:val="0057296E"/>
    <w:rsid w:val="0058092B"/>
    <w:rsid w:val="0058216E"/>
    <w:rsid w:val="00587502"/>
    <w:rsid w:val="00590660"/>
    <w:rsid w:val="00592E0E"/>
    <w:rsid w:val="00593E05"/>
    <w:rsid w:val="0059594F"/>
    <w:rsid w:val="00595C95"/>
    <w:rsid w:val="005A03BF"/>
    <w:rsid w:val="005A159E"/>
    <w:rsid w:val="005A1ECB"/>
    <w:rsid w:val="005A1FCD"/>
    <w:rsid w:val="005A2CCA"/>
    <w:rsid w:val="005A4AAB"/>
    <w:rsid w:val="005A4D63"/>
    <w:rsid w:val="005A5D7E"/>
    <w:rsid w:val="005A770B"/>
    <w:rsid w:val="005A78A0"/>
    <w:rsid w:val="005B040D"/>
    <w:rsid w:val="005B1394"/>
    <w:rsid w:val="005B1875"/>
    <w:rsid w:val="005B2C3E"/>
    <w:rsid w:val="005B2CA4"/>
    <w:rsid w:val="005B2D2A"/>
    <w:rsid w:val="005B32B3"/>
    <w:rsid w:val="005B36CD"/>
    <w:rsid w:val="005B6920"/>
    <w:rsid w:val="005B6FD9"/>
    <w:rsid w:val="005B7AF4"/>
    <w:rsid w:val="005C084B"/>
    <w:rsid w:val="005C3D27"/>
    <w:rsid w:val="005C3D81"/>
    <w:rsid w:val="005C5F75"/>
    <w:rsid w:val="005C6EC3"/>
    <w:rsid w:val="005D239B"/>
    <w:rsid w:val="005D37DE"/>
    <w:rsid w:val="005D3D2A"/>
    <w:rsid w:val="005D4FF6"/>
    <w:rsid w:val="005D7719"/>
    <w:rsid w:val="005E35C4"/>
    <w:rsid w:val="005E3730"/>
    <w:rsid w:val="005E3F5A"/>
    <w:rsid w:val="005E486A"/>
    <w:rsid w:val="005E4E85"/>
    <w:rsid w:val="005E553B"/>
    <w:rsid w:val="005E6811"/>
    <w:rsid w:val="005E6954"/>
    <w:rsid w:val="005E6B70"/>
    <w:rsid w:val="005F1266"/>
    <w:rsid w:val="005F15AC"/>
    <w:rsid w:val="00600924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1D43"/>
    <w:rsid w:val="006249B7"/>
    <w:rsid w:val="0062549C"/>
    <w:rsid w:val="006302BB"/>
    <w:rsid w:val="00630F1F"/>
    <w:rsid w:val="00630FCE"/>
    <w:rsid w:val="00631B29"/>
    <w:rsid w:val="0063312A"/>
    <w:rsid w:val="00635487"/>
    <w:rsid w:val="00635864"/>
    <w:rsid w:val="006406E3"/>
    <w:rsid w:val="0064144B"/>
    <w:rsid w:val="0064336F"/>
    <w:rsid w:val="006435F7"/>
    <w:rsid w:val="00647A94"/>
    <w:rsid w:val="00650542"/>
    <w:rsid w:val="0065054A"/>
    <w:rsid w:val="00654686"/>
    <w:rsid w:val="00654D06"/>
    <w:rsid w:val="00662AB8"/>
    <w:rsid w:val="006644CD"/>
    <w:rsid w:val="00666F78"/>
    <w:rsid w:val="0067080D"/>
    <w:rsid w:val="0067162B"/>
    <w:rsid w:val="00676E7B"/>
    <w:rsid w:val="00676EDB"/>
    <w:rsid w:val="00682848"/>
    <w:rsid w:val="0068405D"/>
    <w:rsid w:val="00684186"/>
    <w:rsid w:val="006854D2"/>
    <w:rsid w:val="00685A27"/>
    <w:rsid w:val="00690445"/>
    <w:rsid w:val="0069068D"/>
    <w:rsid w:val="00691788"/>
    <w:rsid w:val="00692D1E"/>
    <w:rsid w:val="006931E8"/>
    <w:rsid w:val="00693B9B"/>
    <w:rsid w:val="00696F2C"/>
    <w:rsid w:val="006A0B04"/>
    <w:rsid w:val="006A108D"/>
    <w:rsid w:val="006A2256"/>
    <w:rsid w:val="006A2D11"/>
    <w:rsid w:val="006A31F4"/>
    <w:rsid w:val="006A67F3"/>
    <w:rsid w:val="006A69E9"/>
    <w:rsid w:val="006B42B5"/>
    <w:rsid w:val="006B4ACC"/>
    <w:rsid w:val="006B5280"/>
    <w:rsid w:val="006B5653"/>
    <w:rsid w:val="006B78DB"/>
    <w:rsid w:val="006C2487"/>
    <w:rsid w:val="006C38AA"/>
    <w:rsid w:val="006C3979"/>
    <w:rsid w:val="006C443E"/>
    <w:rsid w:val="006C4BFE"/>
    <w:rsid w:val="006C7760"/>
    <w:rsid w:val="006C79A8"/>
    <w:rsid w:val="006D15F9"/>
    <w:rsid w:val="006D2240"/>
    <w:rsid w:val="006D55C2"/>
    <w:rsid w:val="006D5F5B"/>
    <w:rsid w:val="006D6347"/>
    <w:rsid w:val="006D70D7"/>
    <w:rsid w:val="006E1709"/>
    <w:rsid w:val="006E6742"/>
    <w:rsid w:val="006E7C66"/>
    <w:rsid w:val="006F0AEA"/>
    <w:rsid w:val="006F2A11"/>
    <w:rsid w:val="006F4EA9"/>
    <w:rsid w:val="006F698A"/>
    <w:rsid w:val="00700E5E"/>
    <w:rsid w:val="00701557"/>
    <w:rsid w:val="00701D89"/>
    <w:rsid w:val="00702AD7"/>
    <w:rsid w:val="007049AC"/>
    <w:rsid w:val="00705D40"/>
    <w:rsid w:val="00705DE6"/>
    <w:rsid w:val="007123CE"/>
    <w:rsid w:val="0071589A"/>
    <w:rsid w:val="00715B3E"/>
    <w:rsid w:val="0071636D"/>
    <w:rsid w:val="0071651D"/>
    <w:rsid w:val="00717665"/>
    <w:rsid w:val="00720EFE"/>
    <w:rsid w:val="00721F1C"/>
    <w:rsid w:val="0072207F"/>
    <w:rsid w:val="00723309"/>
    <w:rsid w:val="00725056"/>
    <w:rsid w:val="00725C5C"/>
    <w:rsid w:val="00730694"/>
    <w:rsid w:val="00730D3A"/>
    <w:rsid w:val="007316B2"/>
    <w:rsid w:val="00732257"/>
    <w:rsid w:val="007331C5"/>
    <w:rsid w:val="00741259"/>
    <w:rsid w:val="0074180B"/>
    <w:rsid w:val="007442C6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631A9"/>
    <w:rsid w:val="00766B6B"/>
    <w:rsid w:val="00767E15"/>
    <w:rsid w:val="00772116"/>
    <w:rsid w:val="007803D0"/>
    <w:rsid w:val="007809C4"/>
    <w:rsid w:val="00784BB8"/>
    <w:rsid w:val="00784BD5"/>
    <w:rsid w:val="00785C17"/>
    <w:rsid w:val="00787EFE"/>
    <w:rsid w:val="0079412E"/>
    <w:rsid w:val="007958E6"/>
    <w:rsid w:val="007A2F90"/>
    <w:rsid w:val="007A3DFF"/>
    <w:rsid w:val="007A3F90"/>
    <w:rsid w:val="007A527E"/>
    <w:rsid w:val="007B000C"/>
    <w:rsid w:val="007B09C1"/>
    <w:rsid w:val="007B1846"/>
    <w:rsid w:val="007B2786"/>
    <w:rsid w:val="007B362B"/>
    <w:rsid w:val="007B4463"/>
    <w:rsid w:val="007B4B61"/>
    <w:rsid w:val="007B5258"/>
    <w:rsid w:val="007B5B0D"/>
    <w:rsid w:val="007B6997"/>
    <w:rsid w:val="007B7DD4"/>
    <w:rsid w:val="007C1F6A"/>
    <w:rsid w:val="007C3405"/>
    <w:rsid w:val="007C3F59"/>
    <w:rsid w:val="007C52D7"/>
    <w:rsid w:val="007D3DEE"/>
    <w:rsid w:val="007D4EEF"/>
    <w:rsid w:val="007E0AD9"/>
    <w:rsid w:val="007F2303"/>
    <w:rsid w:val="007F2AFC"/>
    <w:rsid w:val="007F407F"/>
    <w:rsid w:val="007F531A"/>
    <w:rsid w:val="007F72B2"/>
    <w:rsid w:val="00801983"/>
    <w:rsid w:val="00802352"/>
    <w:rsid w:val="00805173"/>
    <w:rsid w:val="00812360"/>
    <w:rsid w:val="0081423B"/>
    <w:rsid w:val="008161D2"/>
    <w:rsid w:val="00820BE6"/>
    <w:rsid w:val="00822292"/>
    <w:rsid w:val="008229DC"/>
    <w:rsid w:val="00823D2F"/>
    <w:rsid w:val="00825AD5"/>
    <w:rsid w:val="00825CF9"/>
    <w:rsid w:val="0082634B"/>
    <w:rsid w:val="008269FE"/>
    <w:rsid w:val="00826F8D"/>
    <w:rsid w:val="008270B1"/>
    <w:rsid w:val="00827E97"/>
    <w:rsid w:val="00830896"/>
    <w:rsid w:val="008366A1"/>
    <w:rsid w:val="00841A6C"/>
    <w:rsid w:val="008436AE"/>
    <w:rsid w:val="00843E1A"/>
    <w:rsid w:val="0084443C"/>
    <w:rsid w:val="00845803"/>
    <w:rsid w:val="00846EC1"/>
    <w:rsid w:val="008502B7"/>
    <w:rsid w:val="0085382C"/>
    <w:rsid w:val="00853D9D"/>
    <w:rsid w:val="00856567"/>
    <w:rsid w:val="0085756E"/>
    <w:rsid w:val="008604A8"/>
    <w:rsid w:val="008605F8"/>
    <w:rsid w:val="008616C9"/>
    <w:rsid w:val="0086389C"/>
    <w:rsid w:val="0086393A"/>
    <w:rsid w:val="00867E41"/>
    <w:rsid w:val="00870A3A"/>
    <w:rsid w:val="00872258"/>
    <w:rsid w:val="0087471C"/>
    <w:rsid w:val="008756D6"/>
    <w:rsid w:val="008764E6"/>
    <w:rsid w:val="00876DFA"/>
    <w:rsid w:val="0087798B"/>
    <w:rsid w:val="00877D26"/>
    <w:rsid w:val="00880211"/>
    <w:rsid w:val="00882BA5"/>
    <w:rsid w:val="00883F18"/>
    <w:rsid w:val="00885A22"/>
    <w:rsid w:val="00886B23"/>
    <w:rsid w:val="00891967"/>
    <w:rsid w:val="00892049"/>
    <w:rsid w:val="00892734"/>
    <w:rsid w:val="0089316F"/>
    <w:rsid w:val="00894C99"/>
    <w:rsid w:val="00894D7D"/>
    <w:rsid w:val="008A1437"/>
    <w:rsid w:val="008A361B"/>
    <w:rsid w:val="008A5510"/>
    <w:rsid w:val="008A553C"/>
    <w:rsid w:val="008A5B1B"/>
    <w:rsid w:val="008A6DCB"/>
    <w:rsid w:val="008A7982"/>
    <w:rsid w:val="008B114D"/>
    <w:rsid w:val="008B32C4"/>
    <w:rsid w:val="008B4224"/>
    <w:rsid w:val="008B4806"/>
    <w:rsid w:val="008B631E"/>
    <w:rsid w:val="008B6F28"/>
    <w:rsid w:val="008C0518"/>
    <w:rsid w:val="008C1367"/>
    <w:rsid w:val="008C1BC8"/>
    <w:rsid w:val="008C303F"/>
    <w:rsid w:val="008C4189"/>
    <w:rsid w:val="008C50F0"/>
    <w:rsid w:val="008C53BC"/>
    <w:rsid w:val="008C6E4E"/>
    <w:rsid w:val="008C7D6C"/>
    <w:rsid w:val="008D0755"/>
    <w:rsid w:val="008D0B58"/>
    <w:rsid w:val="008D1E2C"/>
    <w:rsid w:val="008D3ABC"/>
    <w:rsid w:val="008D4240"/>
    <w:rsid w:val="008D4CE2"/>
    <w:rsid w:val="008D633A"/>
    <w:rsid w:val="008D725A"/>
    <w:rsid w:val="008E04E1"/>
    <w:rsid w:val="008E1B90"/>
    <w:rsid w:val="008E2A9B"/>
    <w:rsid w:val="008E32E9"/>
    <w:rsid w:val="008E38A9"/>
    <w:rsid w:val="008E3A01"/>
    <w:rsid w:val="008E4E7E"/>
    <w:rsid w:val="008E5D31"/>
    <w:rsid w:val="008F1C43"/>
    <w:rsid w:val="008F2964"/>
    <w:rsid w:val="008F6E3E"/>
    <w:rsid w:val="00901B52"/>
    <w:rsid w:val="009027BE"/>
    <w:rsid w:val="0090538F"/>
    <w:rsid w:val="009057FF"/>
    <w:rsid w:val="00911DBF"/>
    <w:rsid w:val="009122AE"/>
    <w:rsid w:val="0091398E"/>
    <w:rsid w:val="00915F0E"/>
    <w:rsid w:val="009206E6"/>
    <w:rsid w:val="00921407"/>
    <w:rsid w:val="009230F0"/>
    <w:rsid w:val="009275F1"/>
    <w:rsid w:val="00945C7E"/>
    <w:rsid w:val="00946987"/>
    <w:rsid w:val="00947D1B"/>
    <w:rsid w:val="0095242C"/>
    <w:rsid w:val="0095477A"/>
    <w:rsid w:val="00954E85"/>
    <w:rsid w:val="0096053F"/>
    <w:rsid w:val="00961748"/>
    <w:rsid w:val="009620E7"/>
    <w:rsid w:val="00963BEF"/>
    <w:rsid w:val="00964258"/>
    <w:rsid w:val="00970D21"/>
    <w:rsid w:val="00971B2C"/>
    <w:rsid w:val="0097358D"/>
    <w:rsid w:val="0097613D"/>
    <w:rsid w:val="00976258"/>
    <w:rsid w:val="00977A58"/>
    <w:rsid w:val="009804D7"/>
    <w:rsid w:val="00980D9E"/>
    <w:rsid w:val="00981A20"/>
    <w:rsid w:val="00983166"/>
    <w:rsid w:val="00985345"/>
    <w:rsid w:val="00987043"/>
    <w:rsid w:val="00991950"/>
    <w:rsid w:val="00993107"/>
    <w:rsid w:val="009947F9"/>
    <w:rsid w:val="0099501E"/>
    <w:rsid w:val="009962CA"/>
    <w:rsid w:val="009A1279"/>
    <w:rsid w:val="009A2539"/>
    <w:rsid w:val="009A39E4"/>
    <w:rsid w:val="009A5296"/>
    <w:rsid w:val="009A5B05"/>
    <w:rsid w:val="009A7496"/>
    <w:rsid w:val="009B0DAA"/>
    <w:rsid w:val="009B13DC"/>
    <w:rsid w:val="009B3515"/>
    <w:rsid w:val="009B6895"/>
    <w:rsid w:val="009B7C97"/>
    <w:rsid w:val="009C048D"/>
    <w:rsid w:val="009C208E"/>
    <w:rsid w:val="009C2856"/>
    <w:rsid w:val="009C340D"/>
    <w:rsid w:val="009C4BE1"/>
    <w:rsid w:val="009C7BF8"/>
    <w:rsid w:val="009D02D9"/>
    <w:rsid w:val="009D09AC"/>
    <w:rsid w:val="009D1BD1"/>
    <w:rsid w:val="009D475F"/>
    <w:rsid w:val="009D75FD"/>
    <w:rsid w:val="009E0BEB"/>
    <w:rsid w:val="009E2182"/>
    <w:rsid w:val="009E3CB7"/>
    <w:rsid w:val="009E5631"/>
    <w:rsid w:val="009E6F86"/>
    <w:rsid w:val="009E79FF"/>
    <w:rsid w:val="009F2F7F"/>
    <w:rsid w:val="009F5C94"/>
    <w:rsid w:val="009F68E2"/>
    <w:rsid w:val="009F753F"/>
    <w:rsid w:val="009F7B71"/>
    <w:rsid w:val="00A01C9B"/>
    <w:rsid w:val="00A030FA"/>
    <w:rsid w:val="00A03A1E"/>
    <w:rsid w:val="00A053DC"/>
    <w:rsid w:val="00A0639C"/>
    <w:rsid w:val="00A068F0"/>
    <w:rsid w:val="00A072A9"/>
    <w:rsid w:val="00A115F6"/>
    <w:rsid w:val="00A12244"/>
    <w:rsid w:val="00A13275"/>
    <w:rsid w:val="00A202C1"/>
    <w:rsid w:val="00A20815"/>
    <w:rsid w:val="00A22DAF"/>
    <w:rsid w:val="00A23DB6"/>
    <w:rsid w:val="00A32D30"/>
    <w:rsid w:val="00A34075"/>
    <w:rsid w:val="00A3535D"/>
    <w:rsid w:val="00A36CAD"/>
    <w:rsid w:val="00A411A2"/>
    <w:rsid w:val="00A504FD"/>
    <w:rsid w:val="00A51CA3"/>
    <w:rsid w:val="00A52815"/>
    <w:rsid w:val="00A538CB"/>
    <w:rsid w:val="00A57B3E"/>
    <w:rsid w:val="00A606E0"/>
    <w:rsid w:val="00A61189"/>
    <w:rsid w:val="00A672E3"/>
    <w:rsid w:val="00A67E40"/>
    <w:rsid w:val="00A712E1"/>
    <w:rsid w:val="00A72C32"/>
    <w:rsid w:val="00A7553E"/>
    <w:rsid w:val="00A76FF3"/>
    <w:rsid w:val="00A84C19"/>
    <w:rsid w:val="00A9019C"/>
    <w:rsid w:val="00A92C76"/>
    <w:rsid w:val="00A960BE"/>
    <w:rsid w:val="00A96AF4"/>
    <w:rsid w:val="00AA2462"/>
    <w:rsid w:val="00AA2C37"/>
    <w:rsid w:val="00AA322C"/>
    <w:rsid w:val="00AA654B"/>
    <w:rsid w:val="00AB1FAB"/>
    <w:rsid w:val="00AB57CD"/>
    <w:rsid w:val="00AC1E2B"/>
    <w:rsid w:val="00AC2DC4"/>
    <w:rsid w:val="00AC4297"/>
    <w:rsid w:val="00AC4561"/>
    <w:rsid w:val="00AC486F"/>
    <w:rsid w:val="00AD0500"/>
    <w:rsid w:val="00AD0A11"/>
    <w:rsid w:val="00AD1BCF"/>
    <w:rsid w:val="00AD1E2A"/>
    <w:rsid w:val="00AD1F60"/>
    <w:rsid w:val="00AD2BB9"/>
    <w:rsid w:val="00AD4323"/>
    <w:rsid w:val="00AD435B"/>
    <w:rsid w:val="00AD5AD1"/>
    <w:rsid w:val="00AE020F"/>
    <w:rsid w:val="00AE2976"/>
    <w:rsid w:val="00AE48E1"/>
    <w:rsid w:val="00AE6771"/>
    <w:rsid w:val="00AE679E"/>
    <w:rsid w:val="00AE7BE4"/>
    <w:rsid w:val="00AF1848"/>
    <w:rsid w:val="00AF2242"/>
    <w:rsid w:val="00AF3F0B"/>
    <w:rsid w:val="00AF4039"/>
    <w:rsid w:val="00AF424A"/>
    <w:rsid w:val="00AF452E"/>
    <w:rsid w:val="00AF4738"/>
    <w:rsid w:val="00AF7557"/>
    <w:rsid w:val="00AF79DD"/>
    <w:rsid w:val="00B00716"/>
    <w:rsid w:val="00B0459E"/>
    <w:rsid w:val="00B04EDF"/>
    <w:rsid w:val="00B04F88"/>
    <w:rsid w:val="00B054EB"/>
    <w:rsid w:val="00B06185"/>
    <w:rsid w:val="00B07AFC"/>
    <w:rsid w:val="00B10200"/>
    <w:rsid w:val="00B14470"/>
    <w:rsid w:val="00B15A73"/>
    <w:rsid w:val="00B17E15"/>
    <w:rsid w:val="00B2174E"/>
    <w:rsid w:val="00B23224"/>
    <w:rsid w:val="00B23F7B"/>
    <w:rsid w:val="00B30BF8"/>
    <w:rsid w:val="00B31076"/>
    <w:rsid w:val="00B36134"/>
    <w:rsid w:val="00B3786F"/>
    <w:rsid w:val="00B41128"/>
    <w:rsid w:val="00B41E7E"/>
    <w:rsid w:val="00B42247"/>
    <w:rsid w:val="00B42996"/>
    <w:rsid w:val="00B44DCA"/>
    <w:rsid w:val="00B459A4"/>
    <w:rsid w:val="00B50307"/>
    <w:rsid w:val="00B50533"/>
    <w:rsid w:val="00B538FC"/>
    <w:rsid w:val="00B5548E"/>
    <w:rsid w:val="00B61E43"/>
    <w:rsid w:val="00B620C7"/>
    <w:rsid w:val="00B6229E"/>
    <w:rsid w:val="00B62737"/>
    <w:rsid w:val="00B6377C"/>
    <w:rsid w:val="00B63E09"/>
    <w:rsid w:val="00B64456"/>
    <w:rsid w:val="00B665F9"/>
    <w:rsid w:val="00B73BE9"/>
    <w:rsid w:val="00B75DD6"/>
    <w:rsid w:val="00B82C20"/>
    <w:rsid w:val="00B84BEE"/>
    <w:rsid w:val="00B84ECC"/>
    <w:rsid w:val="00B87E39"/>
    <w:rsid w:val="00B91292"/>
    <w:rsid w:val="00B92053"/>
    <w:rsid w:val="00B94BE2"/>
    <w:rsid w:val="00B9738D"/>
    <w:rsid w:val="00BA185E"/>
    <w:rsid w:val="00BB3966"/>
    <w:rsid w:val="00BB41DD"/>
    <w:rsid w:val="00BB4513"/>
    <w:rsid w:val="00BB455C"/>
    <w:rsid w:val="00BB4C30"/>
    <w:rsid w:val="00BB74B0"/>
    <w:rsid w:val="00BB7BFC"/>
    <w:rsid w:val="00BC1FD3"/>
    <w:rsid w:val="00BC2150"/>
    <w:rsid w:val="00BC7960"/>
    <w:rsid w:val="00BD083E"/>
    <w:rsid w:val="00BD1236"/>
    <w:rsid w:val="00BD2964"/>
    <w:rsid w:val="00BD3C1C"/>
    <w:rsid w:val="00BD532E"/>
    <w:rsid w:val="00BD6300"/>
    <w:rsid w:val="00BD6C2E"/>
    <w:rsid w:val="00BE226F"/>
    <w:rsid w:val="00BE2CD3"/>
    <w:rsid w:val="00BF0008"/>
    <w:rsid w:val="00BF08A3"/>
    <w:rsid w:val="00BF6B75"/>
    <w:rsid w:val="00BF722D"/>
    <w:rsid w:val="00C010EB"/>
    <w:rsid w:val="00C05A18"/>
    <w:rsid w:val="00C05E0C"/>
    <w:rsid w:val="00C0670A"/>
    <w:rsid w:val="00C07A4F"/>
    <w:rsid w:val="00C10F15"/>
    <w:rsid w:val="00C1310D"/>
    <w:rsid w:val="00C143D9"/>
    <w:rsid w:val="00C15B01"/>
    <w:rsid w:val="00C15FCD"/>
    <w:rsid w:val="00C16543"/>
    <w:rsid w:val="00C16E3C"/>
    <w:rsid w:val="00C179DD"/>
    <w:rsid w:val="00C17AA0"/>
    <w:rsid w:val="00C203AB"/>
    <w:rsid w:val="00C248EF"/>
    <w:rsid w:val="00C25187"/>
    <w:rsid w:val="00C2646D"/>
    <w:rsid w:val="00C27E8E"/>
    <w:rsid w:val="00C321E1"/>
    <w:rsid w:val="00C36901"/>
    <w:rsid w:val="00C37F38"/>
    <w:rsid w:val="00C41412"/>
    <w:rsid w:val="00C4569E"/>
    <w:rsid w:val="00C46D55"/>
    <w:rsid w:val="00C47D57"/>
    <w:rsid w:val="00C51EDD"/>
    <w:rsid w:val="00C52AF9"/>
    <w:rsid w:val="00C52C82"/>
    <w:rsid w:val="00C52CE4"/>
    <w:rsid w:val="00C54181"/>
    <w:rsid w:val="00C54422"/>
    <w:rsid w:val="00C57995"/>
    <w:rsid w:val="00C602AE"/>
    <w:rsid w:val="00C62EF9"/>
    <w:rsid w:val="00C62FAC"/>
    <w:rsid w:val="00C63563"/>
    <w:rsid w:val="00C63E82"/>
    <w:rsid w:val="00C703BF"/>
    <w:rsid w:val="00C70F37"/>
    <w:rsid w:val="00C714B7"/>
    <w:rsid w:val="00C71A05"/>
    <w:rsid w:val="00C728F7"/>
    <w:rsid w:val="00C756B7"/>
    <w:rsid w:val="00C76B82"/>
    <w:rsid w:val="00C77550"/>
    <w:rsid w:val="00C804AE"/>
    <w:rsid w:val="00C8192C"/>
    <w:rsid w:val="00C823A7"/>
    <w:rsid w:val="00C834BE"/>
    <w:rsid w:val="00C8506E"/>
    <w:rsid w:val="00C8561F"/>
    <w:rsid w:val="00C85A53"/>
    <w:rsid w:val="00C908A8"/>
    <w:rsid w:val="00C9169B"/>
    <w:rsid w:val="00C91F41"/>
    <w:rsid w:val="00C97A11"/>
    <w:rsid w:val="00CA09C3"/>
    <w:rsid w:val="00CA13DA"/>
    <w:rsid w:val="00CA1551"/>
    <w:rsid w:val="00CA15A1"/>
    <w:rsid w:val="00CA182D"/>
    <w:rsid w:val="00CA284C"/>
    <w:rsid w:val="00CA4154"/>
    <w:rsid w:val="00CA5FC7"/>
    <w:rsid w:val="00CA6938"/>
    <w:rsid w:val="00CA74BD"/>
    <w:rsid w:val="00CB2F96"/>
    <w:rsid w:val="00CB30C3"/>
    <w:rsid w:val="00CB3C10"/>
    <w:rsid w:val="00CB6F8F"/>
    <w:rsid w:val="00CB797E"/>
    <w:rsid w:val="00CC0A73"/>
    <w:rsid w:val="00CC3DDC"/>
    <w:rsid w:val="00CC3F08"/>
    <w:rsid w:val="00CC4772"/>
    <w:rsid w:val="00CC7B42"/>
    <w:rsid w:val="00CD1123"/>
    <w:rsid w:val="00CD2124"/>
    <w:rsid w:val="00CD2888"/>
    <w:rsid w:val="00CE22D8"/>
    <w:rsid w:val="00CE6166"/>
    <w:rsid w:val="00CE65DB"/>
    <w:rsid w:val="00CE6634"/>
    <w:rsid w:val="00CE6AA0"/>
    <w:rsid w:val="00CF3CD5"/>
    <w:rsid w:val="00CF4108"/>
    <w:rsid w:val="00D00FEB"/>
    <w:rsid w:val="00D02BE2"/>
    <w:rsid w:val="00D04AAB"/>
    <w:rsid w:val="00D059A6"/>
    <w:rsid w:val="00D06850"/>
    <w:rsid w:val="00D06F98"/>
    <w:rsid w:val="00D06FAF"/>
    <w:rsid w:val="00D07130"/>
    <w:rsid w:val="00D07D65"/>
    <w:rsid w:val="00D118FA"/>
    <w:rsid w:val="00D11B4E"/>
    <w:rsid w:val="00D11DDD"/>
    <w:rsid w:val="00D13802"/>
    <w:rsid w:val="00D14D2D"/>
    <w:rsid w:val="00D227A5"/>
    <w:rsid w:val="00D23B4D"/>
    <w:rsid w:val="00D23B81"/>
    <w:rsid w:val="00D2546F"/>
    <w:rsid w:val="00D277CB"/>
    <w:rsid w:val="00D30F9A"/>
    <w:rsid w:val="00D35EC9"/>
    <w:rsid w:val="00D439C6"/>
    <w:rsid w:val="00D45ACE"/>
    <w:rsid w:val="00D46891"/>
    <w:rsid w:val="00D47258"/>
    <w:rsid w:val="00D479E6"/>
    <w:rsid w:val="00D63031"/>
    <w:rsid w:val="00D65448"/>
    <w:rsid w:val="00D666DA"/>
    <w:rsid w:val="00D6684D"/>
    <w:rsid w:val="00D70382"/>
    <w:rsid w:val="00D71F00"/>
    <w:rsid w:val="00D7444E"/>
    <w:rsid w:val="00D7509B"/>
    <w:rsid w:val="00D76E03"/>
    <w:rsid w:val="00D76F2D"/>
    <w:rsid w:val="00D779E9"/>
    <w:rsid w:val="00D81D74"/>
    <w:rsid w:val="00D83261"/>
    <w:rsid w:val="00D9045F"/>
    <w:rsid w:val="00D91562"/>
    <w:rsid w:val="00D92B3F"/>
    <w:rsid w:val="00D9501A"/>
    <w:rsid w:val="00D951E8"/>
    <w:rsid w:val="00D9561E"/>
    <w:rsid w:val="00D95A3B"/>
    <w:rsid w:val="00D973D5"/>
    <w:rsid w:val="00DA0F2B"/>
    <w:rsid w:val="00DA4C11"/>
    <w:rsid w:val="00DA5762"/>
    <w:rsid w:val="00DA6154"/>
    <w:rsid w:val="00DA6F39"/>
    <w:rsid w:val="00DB1401"/>
    <w:rsid w:val="00DB20B0"/>
    <w:rsid w:val="00DB3E61"/>
    <w:rsid w:val="00DB4123"/>
    <w:rsid w:val="00DB5DBF"/>
    <w:rsid w:val="00DB6292"/>
    <w:rsid w:val="00DB7C4F"/>
    <w:rsid w:val="00DB7DA7"/>
    <w:rsid w:val="00DC0B31"/>
    <w:rsid w:val="00DC0E2D"/>
    <w:rsid w:val="00DC1292"/>
    <w:rsid w:val="00DC2741"/>
    <w:rsid w:val="00DC5623"/>
    <w:rsid w:val="00DC7973"/>
    <w:rsid w:val="00DD1AEA"/>
    <w:rsid w:val="00DD3929"/>
    <w:rsid w:val="00DD3BFB"/>
    <w:rsid w:val="00DD4A4E"/>
    <w:rsid w:val="00DD5F69"/>
    <w:rsid w:val="00DD7081"/>
    <w:rsid w:val="00DD7795"/>
    <w:rsid w:val="00DE1827"/>
    <w:rsid w:val="00DE71DC"/>
    <w:rsid w:val="00DE76B7"/>
    <w:rsid w:val="00DE7F66"/>
    <w:rsid w:val="00DF1504"/>
    <w:rsid w:val="00DF4379"/>
    <w:rsid w:val="00DF65B9"/>
    <w:rsid w:val="00E000DB"/>
    <w:rsid w:val="00E0023E"/>
    <w:rsid w:val="00E00BA0"/>
    <w:rsid w:val="00E033E1"/>
    <w:rsid w:val="00E05146"/>
    <w:rsid w:val="00E10719"/>
    <w:rsid w:val="00E127A3"/>
    <w:rsid w:val="00E12A17"/>
    <w:rsid w:val="00E2424D"/>
    <w:rsid w:val="00E24DDA"/>
    <w:rsid w:val="00E253AD"/>
    <w:rsid w:val="00E305E7"/>
    <w:rsid w:val="00E30BDE"/>
    <w:rsid w:val="00E31B67"/>
    <w:rsid w:val="00E31D4D"/>
    <w:rsid w:val="00E322D0"/>
    <w:rsid w:val="00E34CEF"/>
    <w:rsid w:val="00E35446"/>
    <w:rsid w:val="00E3550A"/>
    <w:rsid w:val="00E36E8F"/>
    <w:rsid w:val="00E371FB"/>
    <w:rsid w:val="00E417F8"/>
    <w:rsid w:val="00E42DEF"/>
    <w:rsid w:val="00E43C02"/>
    <w:rsid w:val="00E45ADF"/>
    <w:rsid w:val="00E4668E"/>
    <w:rsid w:val="00E50A13"/>
    <w:rsid w:val="00E53B1C"/>
    <w:rsid w:val="00E56B65"/>
    <w:rsid w:val="00E60EC4"/>
    <w:rsid w:val="00E611B8"/>
    <w:rsid w:val="00E62E55"/>
    <w:rsid w:val="00E63220"/>
    <w:rsid w:val="00E65520"/>
    <w:rsid w:val="00E65BE5"/>
    <w:rsid w:val="00E66853"/>
    <w:rsid w:val="00E66DF9"/>
    <w:rsid w:val="00E70698"/>
    <w:rsid w:val="00E70E3F"/>
    <w:rsid w:val="00E70FCE"/>
    <w:rsid w:val="00E75631"/>
    <w:rsid w:val="00E808ED"/>
    <w:rsid w:val="00E815E4"/>
    <w:rsid w:val="00E8238F"/>
    <w:rsid w:val="00E84496"/>
    <w:rsid w:val="00E84D8E"/>
    <w:rsid w:val="00E933D7"/>
    <w:rsid w:val="00E93DBD"/>
    <w:rsid w:val="00E94FF9"/>
    <w:rsid w:val="00E954E8"/>
    <w:rsid w:val="00E96D2B"/>
    <w:rsid w:val="00EA05CC"/>
    <w:rsid w:val="00EA0660"/>
    <w:rsid w:val="00EA0888"/>
    <w:rsid w:val="00EA09A7"/>
    <w:rsid w:val="00EA1D85"/>
    <w:rsid w:val="00EA21D6"/>
    <w:rsid w:val="00EA2A24"/>
    <w:rsid w:val="00EA2F7C"/>
    <w:rsid w:val="00EA35FD"/>
    <w:rsid w:val="00EA6F02"/>
    <w:rsid w:val="00EB1504"/>
    <w:rsid w:val="00EB2A87"/>
    <w:rsid w:val="00EB4348"/>
    <w:rsid w:val="00EB519B"/>
    <w:rsid w:val="00EC01BE"/>
    <w:rsid w:val="00EC0EC9"/>
    <w:rsid w:val="00EC1561"/>
    <w:rsid w:val="00EC625A"/>
    <w:rsid w:val="00EC6BE2"/>
    <w:rsid w:val="00ED03ED"/>
    <w:rsid w:val="00ED04F1"/>
    <w:rsid w:val="00ED1D67"/>
    <w:rsid w:val="00ED21A1"/>
    <w:rsid w:val="00ED3439"/>
    <w:rsid w:val="00ED4CC4"/>
    <w:rsid w:val="00ED533A"/>
    <w:rsid w:val="00ED63C5"/>
    <w:rsid w:val="00ED7445"/>
    <w:rsid w:val="00ED782F"/>
    <w:rsid w:val="00EE0E0A"/>
    <w:rsid w:val="00EE17D3"/>
    <w:rsid w:val="00EE2324"/>
    <w:rsid w:val="00EE27B6"/>
    <w:rsid w:val="00EE41A3"/>
    <w:rsid w:val="00EE5633"/>
    <w:rsid w:val="00EE6D56"/>
    <w:rsid w:val="00EF0A59"/>
    <w:rsid w:val="00EF2A46"/>
    <w:rsid w:val="00EF35FA"/>
    <w:rsid w:val="00EF3E14"/>
    <w:rsid w:val="00EF73AF"/>
    <w:rsid w:val="00EF7E18"/>
    <w:rsid w:val="00F0071F"/>
    <w:rsid w:val="00F01D7F"/>
    <w:rsid w:val="00F020A2"/>
    <w:rsid w:val="00F05D8F"/>
    <w:rsid w:val="00F06C00"/>
    <w:rsid w:val="00F06F45"/>
    <w:rsid w:val="00F071CC"/>
    <w:rsid w:val="00F116DF"/>
    <w:rsid w:val="00F128A1"/>
    <w:rsid w:val="00F12BFC"/>
    <w:rsid w:val="00F13C53"/>
    <w:rsid w:val="00F14E9A"/>
    <w:rsid w:val="00F14F60"/>
    <w:rsid w:val="00F15BB4"/>
    <w:rsid w:val="00F15C11"/>
    <w:rsid w:val="00F16A1E"/>
    <w:rsid w:val="00F24DCE"/>
    <w:rsid w:val="00F2520C"/>
    <w:rsid w:val="00F253D8"/>
    <w:rsid w:val="00F27709"/>
    <w:rsid w:val="00F32345"/>
    <w:rsid w:val="00F32948"/>
    <w:rsid w:val="00F33170"/>
    <w:rsid w:val="00F33439"/>
    <w:rsid w:val="00F42AC5"/>
    <w:rsid w:val="00F43068"/>
    <w:rsid w:val="00F447B7"/>
    <w:rsid w:val="00F46C28"/>
    <w:rsid w:val="00F51E02"/>
    <w:rsid w:val="00F53462"/>
    <w:rsid w:val="00F535DD"/>
    <w:rsid w:val="00F53751"/>
    <w:rsid w:val="00F53D61"/>
    <w:rsid w:val="00F55004"/>
    <w:rsid w:val="00F56345"/>
    <w:rsid w:val="00F60BAD"/>
    <w:rsid w:val="00F7343F"/>
    <w:rsid w:val="00F745BF"/>
    <w:rsid w:val="00F75FAF"/>
    <w:rsid w:val="00F812D6"/>
    <w:rsid w:val="00F820AD"/>
    <w:rsid w:val="00F82E7A"/>
    <w:rsid w:val="00F83945"/>
    <w:rsid w:val="00F84FAF"/>
    <w:rsid w:val="00F92299"/>
    <w:rsid w:val="00F954FA"/>
    <w:rsid w:val="00F95EDF"/>
    <w:rsid w:val="00FA06B9"/>
    <w:rsid w:val="00FA0C3F"/>
    <w:rsid w:val="00FA24D6"/>
    <w:rsid w:val="00FA3A2B"/>
    <w:rsid w:val="00FA4BC1"/>
    <w:rsid w:val="00FA5949"/>
    <w:rsid w:val="00FA73B6"/>
    <w:rsid w:val="00FB02C6"/>
    <w:rsid w:val="00FB19E0"/>
    <w:rsid w:val="00FB3B11"/>
    <w:rsid w:val="00FB464E"/>
    <w:rsid w:val="00FB46FA"/>
    <w:rsid w:val="00FB4AA8"/>
    <w:rsid w:val="00FB4B98"/>
    <w:rsid w:val="00FB4F7F"/>
    <w:rsid w:val="00FB7AEC"/>
    <w:rsid w:val="00FB7F80"/>
    <w:rsid w:val="00FC09C2"/>
    <w:rsid w:val="00FC7361"/>
    <w:rsid w:val="00FD11A0"/>
    <w:rsid w:val="00FD1966"/>
    <w:rsid w:val="00FD1B85"/>
    <w:rsid w:val="00FD3282"/>
    <w:rsid w:val="00FD5450"/>
    <w:rsid w:val="00FD72D9"/>
    <w:rsid w:val="00FE1E2E"/>
    <w:rsid w:val="00FE20C7"/>
    <w:rsid w:val="00FE3922"/>
    <w:rsid w:val="00FF0FC7"/>
    <w:rsid w:val="00FF24B3"/>
    <w:rsid w:val="00FF2BFE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C98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5E6954"/>
    <w:rPr>
      <w:i/>
      <w:iCs/>
    </w:rPr>
  </w:style>
  <w:style w:type="paragraph" w:styleId="Revisin">
    <w:name w:val="Revision"/>
    <w:hidden/>
    <w:uiPriority w:val="99"/>
    <w:semiHidden/>
    <w:rsid w:val="00233077"/>
    <w:rPr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379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31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7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xm.com.c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7F27-1DC9-401C-A3CB-A2A9235B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1535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9964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AsusPC</cp:lastModifiedBy>
  <cp:revision>13</cp:revision>
  <cp:lastPrinted>2016-10-31T16:09:00Z</cp:lastPrinted>
  <dcterms:created xsi:type="dcterms:W3CDTF">2017-11-08T22:43:00Z</dcterms:created>
  <dcterms:modified xsi:type="dcterms:W3CDTF">2017-11-09T13:45:00Z</dcterms:modified>
</cp:coreProperties>
</file>