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79C51" w14:textId="77777777" w:rsidR="001034A3" w:rsidRDefault="00000000">
      <w:pPr>
        <w:widowControl w:val="0"/>
        <w:pBdr>
          <w:top w:val="nil"/>
          <w:left w:val="nil"/>
          <w:bottom w:val="nil"/>
          <w:right w:val="nil"/>
          <w:between w:val="nil"/>
        </w:pBdr>
        <w:spacing w:line="276" w:lineRule="auto"/>
      </w:pPr>
      <w:r>
        <w:pict w14:anchorId="2ACB05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0pt;height:50pt;z-index:251657216;visibility:hidden">
            <o:lock v:ext="edit" selection="t"/>
          </v:shape>
        </w:pict>
      </w:r>
      <w:r>
        <w:pict w14:anchorId="4992648A">
          <v:shape id="_x0000_s2050" type="#_x0000_t136" style="position:absolute;margin-left:0;margin-top:0;width:50pt;height:50pt;z-index:251658240;visibility:hidden">
            <o:lock v:ext="edit" selection="t"/>
          </v:shape>
        </w:pict>
      </w:r>
    </w:p>
    <w:p w14:paraId="43D48A65" w14:textId="03C7BF97" w:rsidR="001034A3" w:rsidRPr="00D568F3" w:rsidRDefault="00D568F3">
      <w:pPr>
        <w:widowControl w:val="0"/>
        <w:pBdr>
          <w:top w:val="nil"/>
          <w:left w:val="nil"/>
          <w:bottom w:val="nil"/>
          <w:right w:val="nil"/>
          <w:between w:val="nil"/>
        </w:pBdr>
        <w:spacing w:line="276" w:lineRule="auto"/>
        <w:jc w:val="center"/>
        <w:rPr>
          <w:rFonts w:ascii="Montserrat" w:eastAsia="Montserrat" w:hAnsi="Montserrat" w:cs="Montserrat"/>
          <w:b/>
          <w:sz w:val="36"/>
          <w:szCs w:val="36"/>
        </w:rPr>
      </w:pPr>
      <w:r w:rsidRPr="00D568F3">
        <w:rPr>
          <w:rFonts w:ascii="Montserrat" w:eastAsia="Montserrat" w:hAnsi="Montserrat" w:cs="Montserrat"/>
          <w:b/>
          <w:sz w:val="36"/>
          <w:szCs w:val="36"/>
        </w:rPr>
        <w:t>INFORME CNO 723</w:t>
      </w:r>
    </w:p>
    <w:p w14:paraId="09DA7AD5" w14:textId="77777777" w:rsidR="008A7980" w:rsidRDefault="008A7980">
      <w:pPr>
        <w:widowControl w:val="0"/>
        <w:pBdr>
          <w:top w:val="nil"/>
          <w:left w:val="nil"/>
          <w:bottom w:val="nil"/>
          <w:right w:val="nil"/>
          <w:between w:val="nil"/>
        </w:pBdr>
        <w:spacing w:line="276" w:lineRule="auto"/>
        <w:jc w:val="center"/>
        <w:rPr>
          <w:rFonts w:ascii="Montserrat" w:eastAsia="Montserrat" w:hAnsi="Montserrat" w:cs="Montserrat"/>
          <w:b/>
          <w:sz w:val="32"/>
          <w:szCs w:val="32"/>
        </w:rPr>
      </w:pPr>
    </w:p>
    <w:p w14:paraId="4BCE2829" w14:textId="77777777" w:rsidR="001034A3" w:rsidRDefault="001034A3">
      <w:pPr>
        <w:widowControl w:val="0"/>
        <w:pBdr>
          <w:top w:val="nil"/>
          <w:left w:val="nil"/>
          <w:bottom w:val="nil"/>
          <w:right w:val="nil"/>
          <w:between w:val="nil"/>
        </w:pBdr>
        <w:spacing w:line="276" w:lineRule="auto"/>
        <w:jc w:val="center"/>
        <w:rPr>
          <w:rFonts w:ascii="Montserrat" w:eastAsia="Montserrat" w:hAnsi="Montserrat" w:cs="Montserrat"/>
          <w:b/>
          <w:sz w:val="32"/>
          <w:szCs w:val="32"/>
        </w:rPr>
      </w:pPr>
    </w:p>
    <w:p w14:paraId="3EE7786C" w14:textId="77777777" w:rsidR="001034A3" w:rsidRDefault="00CB13DA">
      <w:pPr>
        <w:pBdr>
          <w:top w:val="single" w:sz="6" w:space="1" w:color="000000"/>
          <w:left w:val="single" w:sz="6" w:space="0" w:color="000000"/>
          <w:bottom w:val="single" w:sz="6" w:space="1" w:color="000000"/>
          <w:right w:val="single" w:sz="6" w:space="1" w:color="000000"/>
          <w:between w:val="nil"/>
        </w:pBdr>
        <w:shd w:val="clear" w:color="auto" w:fill="CCCCCC"/>
        <w:ind w:left="1134" w:hanging="1134"/>
        <w:jc w:val="both"/>
        <w:rPr>
          <w:rFonts w:ascii="Montserrat" w:eastAsia="Montserrat" w:hAnsi="Montserrat" w:cs="Montserrat"/>
          <w:color w:val="000000"/>
          <w:sz w:val="22"/>
          <w:szCs w:val="22"/>
        </w:rPr>
      </w:pPr>
      <w:r>
        <w:rPr>
          <w:rFonts w:ascii="Montserrat" w:eastAsia="Montserrat" w:hAnsi="Montserrat" w:cs="Montserrat"/>
          <w:color w:val="000000"/>
          <w:sz w:val="22"/>
          <w:szCs w:val="22"/>
        </w:rPr>
        <w:t>Fecha: noviembre 9 de 202</w:t>
      </w:r>
      <w:r>
        <w:rPr>
          <w:rFonts w:ascii="Montserrat" w:eastAsia="Montserrat" w:hAnsi="Montserrat" w:cs="Montserrat"/>
          <w:sz w:val="22"/>
          <w:szCs w:val="22"/>
        </w:rPr>
        <w:t>3</w:t>
      </w:r>
    </w:p>
    <w:p w14:paraId="5103A4AB" w14:textId="77777777" w:rsidR="001034A3" w:rsidRDefault="001034A3">
      <w:pPr>
        <w:ind w:right="-57"/>
        <w:jc w:val="both"/>
        <w:rPr>
          <w:rFonts w:ascii="Montserrat" w:eastAsia="Montserrat" w:hAnsi="Montserrat" w:cs="Montserrat"/>
        </w:rPr>
      </w:pPr>
    </w:p>
    <w:p w14:paraId="13D1215F" w14:textId="77777777" w:rsidR="001034A3" w:rsidRDefault="00CB13DA">
      <w:pPr>
        <w:spacing w:after="160" w:line="259" w:lineRule="auto"/>
        <w:jc w:val="both"/>
        <w:rPr>
          <w:rFonts w:ascii="Montserrat" w:eastAsia="Montserrat" w:hAnsi="Montserrat" w:cs="Montserrat"/>
          <w:sz w:val="22"/>
          <w:szCs w:val="22"/>
        </w:rPr>
      </w:pPr>
      <w:r>
        <w:rPr>
          <w:rFonts w:ascii="Montserrat" w:eastAsia="Montserrat" w:hAnsi="Montserrat" w:cs="Montserrat"/>
          <w:b/>
          <w:sz w:val="22"/>
          <w:szCs w:val="22"/>
        </w:rPr>
        <w:t>Temas administrativos</w:t>
      </w:r>
      <w:r>
        <w:rPr>
          <w:sz w:val="22"/>
          <w:szCs w:val="22"/>
        </w:rPr>
        <w:t xml:space="preserve">   </w:t>
      </w:r>
    </w:p>
    <w:p w14:paraId="58F9E68B" w14:textId="77777777" w:rsidR="001034A3" w:rsidRDefault="00CB13DA">
      <w:pPr>
        <w:numPr>
          <w:ilvl w:val="0"/>
          <w:numId w:val="5"/>
        </w:numPr>
        <w:jc w:val="both"/>
        <w:rPr>
          <w:rFonts w:ascii="Montserrat" w:eastAsia="Montserrat" w:hAnsi="Montserrat" w:cs="Montserrat"/>
          <w:sz w:val="22"/>
          <w:szCs w:val="22"/>
        </w:rPr>
      </w:pPr>
      <w:r>
        <w:rPr>
          <w:rFonts w:ascii="Montserrat" w:eastAsia="Montserrat" w:hAnsi="Montserrat" w:cs="Montserrat"/>
          <w:sz w:val="22"/>
          <w:szCs w:val="22"/>
        </w:rPr>
        <w:t>Se realizó con éxito la versión 28 del Congreso del Mercado de Energía Mayorista- MEM, versión 28. Las cifras preliminares respecto a patrocinios, inscritos, facturación, entre otros, se presentan en informe adjunto.</w:t>
      </w:r>
    </w:p>
    <w:p w14:paraId="060E42B5" w14:textId="77777777" w:rsidR="001034A3" w:rsidRDefault="001034A3">
      <w:pPr>
        <w:jc w:val="both"/>
        <w:rPr>
          <w:rFonts w:ascii="Montserrat" w:eastAsia="Montserrat" w:hAnsi="Montserrat" w:cs="Montserrat"/>
          <w:sz w:val="22"/>
          <w:szCs w:val="22"/>
          <w:highlight w:val="yellow"/>
        </w:rPr>
      </w:pPr>
    </w:p>
    <w:p w14:paraId="6C21D5EB" w14:textId="77777777" w:rsidR="001034A3" w:rsidRDefault="00CB13DA">
      <w:pPr>
        <w:numPr>
          <w:ilvl w:val="0"/>
          <w:numId w:val="5"/>
        </w:numPr>
        <w:jc w:val="both"/>
        <w:rPr>
          <w:rFonts w:ascii="Montserrat" w:eastAsia="Montserrat" w:hAnsi="Montserrat" w:cs="Montserrat"/>
          <w:sz w:val="22"/>
          <w:szCs w:val="22"/>
        </w:rPr>
      </w:pPr>
      <w:r>
        <w:rPr>
          <w:rFonts w:ascii="Montserrat" w:eastAsia="Montserrat" w:hAnsi="Montserrat" w:cs="Montserrat"/>
          <w:sz w:val="22"/>
          <w:szCs w:val="22"/>
        </w:rPr>
        <w:t>La empresa desarrolladora de la página WEB del CNO está haciendo los ajustes correspondientes teniendo en cuenta los hallazgos de ciberseguridad encontrados en las pruebas ejecutadas por personal de CELSIA.</w:t>
      </w:r>
    </w:p>
    <w:p w14:paraId="6918931A" w14:textId="77777777" w:rsidR="001034A3" w:rsidRDefault="001034A3">
      <w:pPr>
        <w:jc w:val="both"/>
        <w:rPr>
          <w:rFonts w:ascii="Montserrat" w:eastAsia="Montserrat" w:hAnsi="Montserrat" w:cs="Montserrat"/>
          <w:sz w:val="22"/>
          <w:szCs w:val="22"/>
        </w:rPr>
      </w:pPr>
    </w:p>
    <w:p w14:paraId="6ED03AAA" w14:textId="6F1CBF36" w:rsidR="001034A3" w:rsidRDefault="00CB13DA">
      <w:pPr>
        <w:numPr>
          <w:ilvl w:val="0"/>
          <w:numId w:val="5"/>
        </w:numPr>
        <w:jc w:val="both"/>
        <w:rPr>
          <w:rFonts w:ascii="Montserrat" w:eastAsia="Montserrat" w:hAnsi="Montserrat" w:cs="Montserrat"/>
          <w:sz w:val="22"/>
          <w:szCs w:val="22"/>
        </w:rPr>
      </w:pPr>
      <w:r>
        <w:rPr>
          <w:rFonts w:ascii="Montserrat" w:eastAsia="Montserrat" w:hAnsi="Montserrat" w:cs="Montserrat"/>
          <w:sz w:val="22"/>
          <w:szCs w:val="22"/>
        </w:rPr>
        <w:t xml:space="preserve">El 30 de octubre se abrió la convocatoria para la selección de los miembros por elección del CNO en el año 2024. A </w:t>
      </w:r>
      <w:r w:rsidR="00B33681">
        <w:rPr>
          <w:rFonts w:ascii="Montserrat" w:eastAsia="Montserrat" w:hAnsi="Montserrat" w:cs="Montserrat"/>
          <w:sz w:val="22"/>
          <w:szCs w:val="22"/>
        </w:rPr>
        <w:t>continuación,</w:t>
      </w:r>
      <w:r>
        <w:rPr>
          <w:rFonts w:ascii="Montserrat" w:eastAsia="Montserrat" w:hAnsi="Montserrat" w:cs="Montserrat"/>
          <w:sz w:val="22"/>
          <w:szCs w:val="22"/>
        </w:rPr>
        <w:t xml:space="preserve"> el cronograma de la selección:</w:t>
      </w:r>
    </w:p>
    <w:p w14:paraId="45676D04" w14:textId="77777777" w:rsidR="001034A3" w:rsidRDefault="001034A3">
      <w:pPr>
        <w:ind w:left="720"/>
        <w:jc w:val="both"/>
        <w:rPr>
          <w:rFonts w:ascii="Montserrat" w:eastAsia="Montserrat" w:hAnsi="Montserrat" w:cs="Montserrat"/>
          <w:sz w:val="22"/>
          <w:szCs w:val="22"/>
        </w:rPr>
      </w:pPr>
    </w:p>
    <w:tbl>
      <w:tblPr>
        <w:tblStyle w:val="a3"/>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70"/>
        <w:gridCol w:w="4410"/>
      </w:tblGrid>
      <w:tr w:rsidR="001034A3" w14:paraId="04BC9773" w14:textId="77777777">
        <w:trPr>
          <w:trHeight w:val="1185"/>
        </w:trPr>
        <w:tc>
          <w:tcPr>
            <w:tcW w:w="44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BCE039A" w14:textId="77777777" w:rsidR="001034A3" w:rsidRDefault="00CB13DA">
            <w:pPr>
              <w:spacing w:before="240" w:after="240"/>
              <w:jc w:val="both"/>
              <w:rPr>
                <w:rFonts w:ascii="Montserrat" w:eastAsia="Montserrat" w:hAnsi="Montserrat" w:cs="Montserrat"/>
                <w:sz w:val="22"/>
                <w:szCs w:val="22"/>
              </w:rPr>
            </w:pPr>
            <w:r>
              <w:rPr>
                <w:rFonts w:ascii="Montserrat" w:eastAsia="Montserrat" w:hAnsi="Montserrat" w:cs="Montserrat"/>
                <w:sz w:val="22"/>
                <w:szCs w:val="22"/>
              </w:rPr>
              <w:t>Publicación del aviso de la convocatoria (diario de amplia circulación nacional y página WEB del CNO)</w:t>
            </w:r>
          </w:p>
        </w:tc>
        <w:tc>
          <w:tcPr>
            <w:tcW w:w="441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96CF9EC" w14:textId="77777777" w:rsidR="001034A3" w:rsidRDefault="00CB13DA">
            <w:pPr>
              <w:spacing w:before="240" w:after="240"/>
              <w:jc w:val="both"/>
              <w:rPr>
                <w:rFonts w:ascii="Montserrat" w:eastAsia="Montserrat" w:hAnsi="Montserrat" w:cs="Montserrat"/>
                <w:sz w:val="22"/>
                <w:szCs w:val="22"/>
              </w:rPr>
            </w:pPr>
            <w:r>
              <w:rPr>
                <w:rFonts w:ascii="Montserrat" w:eastAsia="Montserrat" w:hAnsi="Montserrat" w:cs="Montserrat"/>
                <w:sz w:val="22"/>
                <w:szCs w:val="22"/>
              </w:rPr>
              <w:t>30 y 31 de octubre de 2023</w:t>
            </w:r>
          </w:p>
        </w:tc>
      </w:tr>
      <w:tr w:rsidR="001034A3" w14:paraId="53C8194A" w14:textId="77777777">
        <w:trPr>
          <w:trHeight w:val="315"/>
        </w:trPr>
        <w:tc>
          <w:tcPr>
            <w:tcW w:w="44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20AB98B" w14:textId="77777777" w:rsidR="001034A3" w:rsidRDefault="00CB13DA">
            <w:pPr>
              <w:spacing w:before="240" w:after="240"/>
              <w:jc w:val="both"/>
              <w:rPr>
                <w:rFonts w:ascii="Montserrat" w:eastAsia="Montserrat" w:hAnsi="Montserrat" w:cs="Montserrat"/>
                <w:sz w:val="22"/>
                <w:szCs w:val="22"/>
              </w:rPr>
            </w:pPr>
            <w:r>
              <w:rPr>
                <w:rFonts w:ascii="Montserrat" w:eastAsia="Montserrat" w:hAnsi="Montserrat" w:cs="Montserrat"/>
                <w:sz w:val="22"/>
                <w:szCs w:val="22"/>
              </w:rPr>
              <w:t>Recepción de postulaciones</w:t>
            </w:r>
          </w:p>
        </w:tc>
        <w:tc>
          <w:tcPr>
            <w:tcW w:w="4410" w:type="dxa"/>
            <w:tcBorders>
              <w:top w:val="nil"/>
              <w:left w:val="nil"/>
              <w:bottom w:val="single" w:sz="8" w:space="0" w:color="000000"/>
              <w:right w:val="single" w:sz="8" w:space="0" w:color="000000"/>
            </w:tcBorders>
            <w:tcMar>
              <w:top w:w="0" w:type="dxa"/>
              <w:left w:w="100" w:type="dxa"/>
              <w:bottom w:w="0" w:type="dxa"/>
              <w:right w:w="100" w:type="dxa"/>
            </w:tcMar>
          </w:tcPr>
          <w:p w14:paraId="007CEE21" w14:textId="77777777" w:rsidR="001034A3" w:rsidRDefault="00CB13DA">
            <w:pPr>
              <w:spacing w:before="240" w:after="240"/>
              <w:jc w:val="both"/>
              <w:rPr>
                <w:rFonts w:ascii="Montserrat" w:eastAsia="Montserrat" w:hAnsi="Montserrat" w:cs="Montserrat"/>
                <w:sz w:val="22"/>
                <w:szCs w:val="22"/>
              </w:rPr>
            </w:pPr>
            <w:r>
              <w:rPr>
                <w:rFonts w:ascii="Montserrat" w:eastAsia="Montserrat" w:hAnsi="Montserrat" w:cs="Montserrat"/>
                <w:sz w:val="22"/>
                <w:szCs w:val="22"/>
              </w:rPr>
              <w:t>22 de noviembre de 2023</w:t>
            </w:r>
          </w:p>
        </w:tc>
      </w:tr>
      <w:tr w:rsidR="001034A3" w14:paraId="27B27342" w14:textId="77777777">
        <w:trPr>
          <w:trHeight w:val="1185"/>
        </w:trPr>
        <w:tc>
          <w:tcPr>
            <w:tcW w:w="44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E7F19A8" w14:textId="77777777" w:rsidR="001034A3" w:rsidRDefault="00CB13DA">
            <w:pPr>
              <w:spacing w:before="240" w:after="240"/>
              <w:jc w:val="both"/>
              <w:rPr>
                <w:rFonts w:ascii="Montserrat" w:eastAsia="Montserrat" w:hAnsi="Montserrat" w:cs="Montserrat"/>
                <w:sz w:val="22"/>
                <w:szCs w:val="22"/>
              </w:rPr>
            </w:pPr>
            <w:r>
              <w:rPr>
                <w:rFonts w:ascii="Montserrat" w:eastAsia="Montserrat" w:hAnsi="Montserrat" w:cs="Montserrat"/>
                <w:sz w:val="22"/>
                <w:szCs w:val="22"/>
              </w:rPr>
              <w:t>Comunicación a las empresas informando quienes se postularon por grupo e instrucciones de acceso a la página web para votar</w:t>
            </w:r>
          </w:p>
        </w:tc>
        <w:tc>
          <w:tcPr>
            <w:tcW w:w="4410" w:type="dxa"/>
            <w:tcBorders>
              <w:top w:val="nil"/>
              <w:left w:val="nil"/>
              <w:bottom w:val="single" w:sz="8" w:space="0" w:color="000000"/>
              <w:right w:val="single" w:sz="8" w:space="0" w:color="000000"/>
            </w:tcBorders>
            <w:tcMar>
              <w:top w:w="0" w:type="dxa"/>
              <w:left w:w="100" w:type="dxa"/>
              <w:bottom w:w="0" w:type="dxa"/>
              <w:right w:w="100" w:type="dxa"/>
            </w:tcMar>
          </w:tcPr>
          <w:p w14:paraId="2D0804F2" w14:textId="77777777" w:rsidR="001034A3" w:rsidRDefault="00CB13DA">
            <w:pPr>
              <w:spacing w:before="240" w:after="240"/>
              <w:jc w:val="both"/>
              <w:rPr>
                <w:rFonts w:ascii="Montserrat" w:eastAsia="Montserrat" w:hAnsi="Montserrat" w:cs="Montserrat"/>
                <w:sz w:val="22"/>
                <w:szCs w:val="22"/>
              </w:rPr>
            </w:pPr>
            <w:r>
              <w:rPr>
                <w:rFonts w:ascii="Montserrat" w:eastAsia="Montserrat" w:hAnsi="Montserrat" w:cs="Montserrat"/>
                <w:sz w:val="22"/>
                <w:szCs w:val="22"/>
              </w:rPr>
              <w:t>24 de noviembre de 2023</w:t>
            </w:r>
          </w:p>
        </w:tc>
      </w:tr>
      <w:tr w:rsidR="001034A3" w14:paraId="0E4859D9" w14:textId="77777777">
        <w:trPr>
          <w:trHeight w:val="600"/>
        </w:trPr>
        <w:tc>
          <w:tcPr>
            <w:tcW w:w="44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3FC7F6D" w14:textId="77777777" w:rsidR="001034A3" w:rsidRDefault="00CB13DA">
            <w:pPr>
              <w:spacing w:before="240" w:after="240"/>
              <w:jc w:val="both"/>
              <w:rPr>
                <w:rFonts w:ascii="Montserrat" w:eastAsia="Montserrat" w:hAnsi="Montserrat" w:cs="Montserrat"/>
                <w:sz w:val="22"/>
                <w:szCs w:val="22"/>
              </w:rPr>
            </w:pPr>
            <w:r>
              <w:rPr>
                <w:rFonts w:ascii="Montserrat" w:eastAsia="Montserrat" w:hAnsi="Montserrat" w:cs="Montserrat"/>
                <w:sz w:val="22"/>
                <w:szCs w:val="22"/>
              </w:rPr>
              <w:t>Votación a través de la página WEB del CNO</w:t>
            </w:r>
          </w:p>
        </w:tc>
        <w:tc>
          <w:tcPr>
            <w:tcW w:w="4410" w:type="dxa"/>
            <w:tcBorders>
              <w:top w:val="nil"/>
              <w:left w:val="nil"/>
              <w:bottom w:val="single" w:sz="8" w:space="0" w:color="000000"/>
              <w:right w:val="single" w:sz="8" w:space="0" w:color="000000"/>
            </w:tcBorders>
            <w:tcMar>
              <w:top w:w="0" w:type="dxa"/>
              <w:left w:w="100" w:type="dxa"/>
              <w:bottom w:w="0" w:type="dxa"/>
              <w:right w:w="100" w:type="dxa"/>
            </w:tcMar>
          </w:tcPr>
          <w:p w14:paraId="08B120EA" w14:textId="77777777" w:rsidR="001034A3" w:rsidRDefault="00CB13DA">
            <w:pPr>
              <w:spacing w:before="240" w:after="240"/>
              <w:jc w:val="both"/>
              <w:rPr>
                <w:rFonts w:ascii="Montserrat" w:eastAsia="Montserrat" w:hAnsi="Montserrat" w:cs="Montserrat"/>
                <w:sz w:val="22"/>
                <w:szCs w:val="22"/>
              </w:rPr>
            </w:pPr>
            <w:r>
              <w:rPr>
                <w:rFonts w:ascii="Montserrat" w:eastAsia="Montserrat" w:hAnsi="Montserrat" w:cs="Montserrat"/>
                <w:sz w:val="22"/>
                <w:szCs w:val="22"/>
              </w:rPr>
              <w:t>28 y 29 de noviembre de 2023</w:t>
            </w:r>
          </w:p>
        </w:tc>
      </w:tr>
      <w:tr w:rsidR="001034A3" w14:paraId="79F7953A" w14:textId="77777777">
        <w:trPr>
          <w:trHeight w:val="315"/>
        </w:trPr>
        <w:tc>
          <w:tcPr>
            <w:tcW w:w="44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8AB8D16" w14:textId="77777777" w:rsidR="001034A3" w:rsidRDefault="00CB13DA">
            <w:pPr>
              <w:spacing w:before="240" w:after="240"/>
              <w:jc w:val="both"/>
              <w:rPr>
                <w:rFonts w:ascii="Montserrat" w:eastAsia="Montserrat" w:hAnsi="Montserrat" w:cs="Montserrat"/>
                <w:sz w:val="22"/>
                <w:szCs w:val="22"/>
              </w:rPr>
            </w:pPr>
            <w:r>
              <w:rPr>
                <w:rFonts w:ascii="Montserrat" w:eastAsia="Montserrat" w:hAnsi="Montserrat" w:cs="Montserrat"/>
                <w:sz w:val="22"/>
                <w:szCs w:val="22"/>
              </w:rPr>
              <w:t>Publicación de los resultados</w:t>
            </w:r>
          </w:p>
        </w:tc>
        <w:tc>
          <w:tcPr>
            <w:tcW w:w="4410" w:type="dxa"/>
            <w:tcBorders>
              <w:top w:val="nil"/>
              <w:left w:val="nil"/>
              <w:bottom w:val="single" w:sz="8" w:space="0" w:color="000000"/>
              <w:right w:val="single" w:sz="8" w:space="0" w:color="000000"/>
            </w:tcBorders>
            <w:tcMar>
              <w:top w:w="0" w:type="dxa"/>
              <w:left w:w="100" w:type="dxa"/>
              <w:bottom w:w="0" w:type="dxa"/>
              <w:right w:w="100" w:type="dxa"/>
            </w:tcMar>
          </w:tcPr>
          <w:p w14:paraId="385041C3" w14:textId="77777777" w:rsidR="001034A3" w:rsidRDefault="00CB13DA">
            <w:pPr>
              <w:spacing w:before="240" w:after="240"/>
              <w:jc w:val="both"/>
              <w:rPr>
                <w:rFonts w:ascii="Montserrat" w:eastAsia="Montserrat" w:hAnsi="Montserrat" w:cs="Montserrat"/>
                <w:sz w:val="22"/>
                <w:szCs w:val="22"/>
              </w:rPr>
            </w:pPr>
            <w:r>
              <w:rPr>
                <w:rFonts w:ascii="Montserrat" w:eastAsia="Montserrat" w:hAnsi="Montserrat" w:cs="Montserrat"/>
                <w:sz w:val="22"/>
                <w:szCs w:val="22"/>
              </w:rPr>
              <w:t>30 de noviembre de 2023</w:t>
            </w:r>
          </w:p>
        </w:tc>
      </w:tr>
      <w:tr w:rsidR="001034A3" w14:paraId="2175E24B" w14:textId="77777777">
        <w:trPr>
          <w:trHeight w:val="600"/>
        </w:trPr>
        <w:tc>
          <w:tcPr>
            <w:tcW w:w="44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A24C589" w14:textId="77777777" w:rsidR="001034A3" w:rsidRDefault="00CB13DA">
            <w:pPr>
              <w:spacing w:before="240" w:after="240"/>
              <w:jc w:val="both"/>
              <w:rPr>
                <w:rFonts w:ascii="Montserrat" w:eastAsia="Montserrat" w:hAnsi="Montserrat" w:cs="Montserrat"/>
                <w:sz w:val="22"/>
                <w:szCs w:val="22"/>
              </w:rPr>
            </w:pPr>
            <w:r>
              <w:rPr>
                <w:rFonts w:ascii="Montserrat" w:eastAsia="Montserrat" w:hAnsi="Montserrat" w:cs="Montserrat"/>
                <w:sz w:val="22"/>
                <w:szCs w:val="22"/>
              </w:rPr>
              <w:lastRenderedPageBreak/>
              <w:t>Expedición del Acuerdo por el cual se integra el CNO para el año 2024</w:t>
            </w:r>
          </w:p>
        </w:tc>
        <w:tc>
          <w:tcPr>
            <w:tcW w:w="4410" w:type="dxa"/>
            <w:tcBorders>
              <w:top w:val="nil"/>
              <w:left w:val="nil"/>
              <w:bottom w:val="single" w:sz="8" w:space="0" w:color="000000"/>
              <w:right w:val="single" w:sz="8" w:space="0" w:color="000000"/>
            </w:tcBorders>
            <w:tcMar>
              <w:top w:w="0" w:type="dxa"/>
              <w:left w:w="100" w:type="dxa"/>
              <w:bottom w:w="0" w:type="dxa"/>
              <w:right w:w="100" w:type="dxa"/>
            </w:tcMar>
          </w:tcPr>
          <w:p w14:paraId="5FBAEF29" w14:textId="77777777" w:rsidR="001034A3" w:rsidRDefault="00CB13DA">
            <w:pPr>
              <w:spacing w:before="240" w:after="240"/>
              <w:jc w:val="both"/>
              <w:rPr>
                <w:rFonts w:ascii="Montserrat" w:eastAsia="Montserrat" w:hAnsi="Montserrat" w:cs="Montserrat"/>
                <w:sz w:val="22"/>
                <w:szCs w:val="22"/>
              </w:rPr>
            </w:pPr>
            <w:r>
              <w:rPr>
                <w:rFonts w:ascii="Montserrat" w:eastAsia="Montserrat" w:hAnsi="Montserrat" w:cs="Montserrat"/>
                <w:sz w:val="22"/>
                <w:szCs w:val="22"/>
              </w:rPr>
              <w:t>7 de diciembre de 2023</w:t>
            </w:r>
          </w:p>
        </w:tc>
      </w:tr>
    </w:tbl>
    <w:p w14:paraId="42772E63" w14:textId="77777777" w:rsidR="001034A3" w:rsidRDefault="001034A3">
      <w:pPr>
        <w:ind w:left="720"/>
        <w:jc w:val="both"/>
        <w:rPr>
          <w:rFonts w:ascii="Montserrat" w:eastAsia="Montserrat" w:hAnsi="Montserrat" w:cs="Montserrat"/>
          <w:sz w:val="22"/>
          <w:szCs w:val="22"/>
        </w:rPr>
      </w:pPr>
    </w:p>
    <w:p w14:paraId="713B6F51" w14:textId="77777777" w:rsidR="001034A3" w:rsidRDefault="00CB13DA">
      <w:pPr>
        <w:pBdr>
          <w:top w:val="nil"/>
          <w:left w:val="nil"/>
          <w:bottom w:val="nil"/>
          <w:right w:val="nil"/>
          <w:between w:val="nil"/>
        </w:pBdr>
        <w:spacing w:line="259" w:lineRule="auto"/>
        <w:jc w:val="both"/>
        <w:rPr>
          <w:rFonts w:ascii="Montserrat" w:eastAsia="Montserrat" w:hAnsi="Montserrat" w:cs="Montserrat"/>
          <w:b/>
          <w:sz w:val="22"/>
          <w:szCs w:val="22"/>
        </w:rPr>
      </w:pPr>
      <w:r>
        <w:rPr>
          <w:rFonts w:ascii="Montserrat" w:eastAsia="Montserrat" w:hAnsi="Montserrat" w:cs="Montserrat"/>
          <w:b/>
          <w:sz w:val="22"/>
          <w:szCs w:val="22"/>
        </w:rPr>
        <w:t>Temas técnicos</w:t>
      </w:r>
    </w:p>
    <w:p w14:paraId="102A7116" w14:textId="77777777" w:rsidR="001034A3" w:rsidRDefault="00CB13DA">
      <w:pPr>
        <w:jc w:val="both"/>
        <w:rPr>
          <w:rFonts w:ascii="Montserrat" w:eastAsia="Montserrat" w:hAnsi="Montserrat" w:cs="Montserrat"/>
          <w:sz w:val="22"/>
          <w:szCs w:val="22"/>
        </w:rPr>
      </w:pPr>
      <w:r>
        <w:rPr>
          <w:rFonts w:ascii="Montserrat" w:eastAsia="Montserrat" w:hAnsi="Montserrat" w:cs="Montserrat"/>
          <w:sz w:val="22"/>
          <w:szCs w:val="22"/>
        </w:rPr>
        <w:t xml:space="preserve">          </w:t>
      </w:r>
    </w:p>
    <w:p w14:paraId="474119CE" w14:textId="15832086" w:rsidR="001034A3" w:rsidRDefault="00CB13DA">
      <w:pPr>
        <w:numPr>
          <w:ilvl w:val="0"/>
          <w:numId w:val="5"/>
        </w:numPr>
        <w:pBdr>
          <w:top w:val="nil"/>
          <w:left w:val="nil"/>
          <w:bottom w:val="nil"/>
          <w:right w:val="nil"/>
          <w:between w:val="nil"/>
        </w:pBdr>
        <w:jc w:val="both"/>
        <w:rPr>
          <w:rFonts w:ascii="Montserrat" w:eastAsia="Montserrat" w:hAnsi="Montserrat" w:cs="Montserrat"/>
          <w:color w:val="000000"/>
          <w:sz w:val="22"/>
          <w:szCs w:val="22"/>
        </w:rPr>
      </w:pPr>
      <w:r>
        <w:rPr>
          <w:rFonts w:ascii="Montserrat" w:eastAsia="Montserrat" w:hAnsi="Montserrat" w:cs="Montserrat"/>
          <w:color w:val="000000"/>
          <w:sz w:val="22"/>
          <w:szCs w:val="22"/>
        </w:rPr>
        <w:t xml:space="preserve">El pasado 30 de octubre del 2023 se llevó a cabo la reunión CACSSE 171, que tuvo como eje central el reporte de avance de las actividades de preparación definidas por MINENERGIA para afrontar la ocurrencia del fenómeno de “El Niño”. El CNO presentó las acciones que los Subcomités y Comités están acometiendo ante un fenómeno de aportes hídricos deficitarios, y compartió con los miembros de la Comisión los aspectos más importantes de los grupos de seguimiento de las áreas Caribe, Chocó-DISPAC y Oriental. </w:t>
      </w:r>
      <w:r>
        <w:rPr>
          <w:rFonts w:ascii="Montserrat" w:eastAsia="Montserrat" w:hAnsi="Montserrat" w:cs="Montserrat"/>
          <w:sz w:val="22"/>
          <w:szCs w:val="22"/>
        </w:rPr>
        <w:t xml:space="preserve"> A </w:t>
      </w:r>
      <w:r w:rsidR="00B33681">
        <w:rPr>
          <w:rFonts w:ascii="Montserrat" w:eastAsia="Montserrat" w:hAnsi="Montserrat" w:cs="Montserrat"/>
          <w:sz w:val="22"/>
          <w:szCs w:val="22"/>
        </w:rPr>
        <w:t>continuación,</w:t>
      </w:r>
      <w:r>
        <w:rPr>
          <w:rFonts w:ascii="Montserrat" w:eastAsia="Montserrat" w:hAnsi="Montserrat" w:cs="Montserrat"/>
          <w:sz w:val="22"/>
          <w:szCs w:val="22"/>
        </w:rPr>
        <w:t xml:space="preserve"> se presentan los aspectos más relevantes discutidos durante la reunión fueron los siguientes:</w:t>
      </w:r>
    </w:p>
    <w:p w14:paraId="2787D23F" w14:textId="77777777" w:rsidR="001034A3" w:rsidRDefault="001034A3">
      <w:pPr>
        <w:pBdr>
          <w:top w:val="nil"/>
          <w:left w:val="nil"/>
          <w:bottom w:val="nil"/>
          <w:right w:val="nil"/>
          <w:between w:val="nil"/>
        </w:pBdr>
        <w:ind w:left="720"/>
        <w:jc w:val="both"/>
        <w:rPr>
          <w:rFonts w:ascii="Montserrat" w:eastAsia="Montserrat" w:hAnsi="Montserrat" w:cs="Montserrat"/>
          <w:sz w:val="22"/>
          <w:szCs w:val="22"/>
        </w:rPr>
      </w:pPr>
    </w:p>
    <w:p w14:paraId="20998FA2" w14:textId="77777777" w:rsidR="001034A3" w:rsidRDefault="00CB13DA">
      <w:pPr>
        <w:numPr>
          <w:ilvl w:val="0"/>
          <w:numId w:val="7"/>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Según el IDEAM, la probabilidad de que el fenómeno de “El Niño” se extienda hasta mayo del año 2024 y sea fuerte, es del 80 y 85 %, respectivamente.</w:t>
      </w:r>
    </w:p>
    <w:p w14:paraId="3E27FE09" w14:textId="77777777" w:rsidR="001034A3" w:rsidRDefault="001034A3">
      <w:pPr>
        <w:pBdr>
          <w:top w:val="nil"/>
          <w:left w:val="nil"/>
          <w:bottom w:val="nil"/>
          <w:right w:val="nil"/>
          <w:between w:val="nil"/>
        </w:pBdr>
        <w:ind w:left="1440"/>
        <w:jc w:val="both"/>
        <w:rPr>
          <w:rFonts w:ascii="Montserrat" w:eastAsia="Montserrat" w:hAnsi="Montserrat" w:cs="Montserrat"/>
          <w:sz w:val="22"/>
          <w:szCs w:val="22"/>
        </w:rPr>
      </w:pPr>
    </w:p>
    <w:p w14:paraId="1F49845A" w14:textId="3C934A9B" w:rsidR="001034A3" w:rsidRDefault="00CB13DA">
      <w:pPr>
        <w:numPr>
          <w:ilvl w:val="0"/>
          <w:numId w:val="7"/>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El CND indicó que las reservas hídricas del Sistema Interconectado Nacional-SIN se encuentran alrededor del 72 %. Asimismo, presentó el panorama energético de mediano plazo bajo diferentes escenarios determinísticos y estocásticos. Vale la pena mencionar que el Operador del Sistema indicó que, </w:t>
      </w:r>
      <w:r w:rsidR="001E1958">
        <w:rPr>
          <w:rFonts w:ascii="Montserrat" w:eastAsia="Montserrat" w:hAnsi="Montserrat" w:cs="Montserrat"/>
          <w:sz w:val="22"/>
          <w:szCs w:val="22"/>
        </w:rPr>
        <w:t>que,</w:t>
      </w:r>
      <w:r w:rsidR="00822F65">
        <w:rPr>
          <w:rFonts w:ascii="Montserrat" w:eastAsia="Montserrat" w:hAnsi="Montserrat" w:cs="Montserrat"/>
          <w:sz w:val="22"/>
          <w:szCs w:val="22"/>
        </w:rPr>
        <w:t xml:space="preserve"> para exportar una cantidad mayor de energía a Ecuador, en cumplimiento de la resolución del </w:t>
      </w:r>
      <w:r w:rsidR="00F15D89">
        <w:rPr>
          <w:rFonts w:ascii="Montserrat" w:eastAsia="Montserrat" w:hAnsi="Montserrat" w:cs="Montserrat"/>
          <w:sz w:val="22"/>
          <w:szCs w:val="22"/>
        </w:rPr>
        <w:t xml:space="preserve">MME 40619 de 2023 </w:t>
      </w:r>
      <w:r w:rsidR="00822F65">
        <w:rPr>
          <w:rFonts w:ascii="Montserrat" w:eastAsia="Montserrat" w:hAnsi="Montserrat" w:cs="Montserrat"/>
          <w:sz w:val="22"/>
          <w:szCs w:val="22"/>
        </w:rPr>
        <w:t>de solo exportar con líquidos, se está gestionando, el aumento de la capacidad de circuitos de la red del STR de Cedenar y otra opción es permitir la T de renacer para recuperar el cuarto enlace a 230 KV</w:t>
      </w:r>
      <w:r>
        <w:rPr>
          <w:rFonts w:ascii="Montserrat" w:eastAsia="Montserrat" w:hAnsi="Montserrat" w:cs="Montserrat"/>
          <w:sz w:val="22"/>
          <w:szCs w:val="22"/>
        </w:rPr>
        <w:t xml:space="preserve"> </w:t>
      </w:r>
    </w:p>
    <w:p w14:paraId="62672571" w14:textId="77777777" w:rsidR="001034A3" w:rsidRDefault="001034A3">
      <w:pPr>
        <w:pBdr>
          <w:top w:val="nil"/>
          <w:left w:val="nil"/>
          <w:bottom w:val="nil"/>
          <w:right w:val="nil"/>
          <w:between w:val="nil"/>
        </w:pBdr>
        <w:ind w:left="1440"/>
        <w:jc w:val="both"/>
        <w:rPr>
          <w:rFonts w:ascii="Montserrat" w:eastAsia="Montserrat" w:hAnsi="Montserrat" w:cs="Montserrat"/>
          <w:sz w:val="22"/>
          <w:szCs w:val="22"/>
        </w:rPr>
      </w:pPr>
    </w:p>
    <w:p w14:paraId="2A145B76" w14:textId="77777777" w:rsidR="001034A3" w:rsidRDefault="00CB13DA">
      <w:pPr>
        <w:numPr>
          <w:ilvl w:val="0"/>
          <w:numId w:val="7"/>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El CACSSE indicó que invitará a GECELCA para que presente el estado actual del mantenimiento de GECELCA 3. Asimismo, solicitó a la SSPD presentar el Plan de mantenimientos de las centrales térmicas que están operando con combustibles líquidos.</w:t>
      </w:r>
    </w:p>
    <w:p w14:paraId="6A05778F" w14:textId="77777777" w:rsidR="001034A3" w:rsidRDefault="001034A3">
      <w:pPr>
        <w:pBdr>
          <w:top w:val="nil"/>
          <w:left w:val="nil"/>
          <w:bottom w:val="nil"/>
          <w:right w:val="nil"/>
          <w:between w:val="nil"/>
        </w:pBdr>
        <w:jc w:val="both"/>
        <w:rPr>
          <w:rFonts w:ascii="Montserrat" w:eastAsia="Montserrat" w:hAnsi="Montserrat" w:cs="Montserrat"/>
          <w:sz w:val="22"/>
          <w:szCs w:val="22"/>
        </w:rPr>
      </w:pPr>
    </w:p>
    <w:p w14:paraId="6EC8A3E7" w14:textId="79A200B6" w:rsidR="001034A3" w:rsidRDefault="00CB13DA">
      <w:pPr>
        <w:numPr>
          <w:ilvl w:val="0"/>
          <w:numId w:val="7"/>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CANACOL ENERGY informó que </w:t>
      </w:r>
      <w:r w:rsidR="00822F65">
        <w:rPr>
          <w:rFonts w:ascii="Montserrat" w:eastAsia="Montserrat" w:hAnsi="Montserrat" w:cs="Montserrat"/>
          <w:sz w:val="22"/>
          <w:szCs w:val="22"/>
        </w:rPr>
        <w:t xml:space="preserve">aún no tiene una fecha prevista para la normalización de la producción de sus campos, dado que </w:t>
      </w:r>
      <w:r>
        <w:rPr>
          <w:rFonts w:ascii="Montserrat" w:eastAsia="Montserrat" w:hAnsi="Montserrat" w:cs="Montserrat"/>
          <w:sz w:val="22"/>
          <w:szCs w:val="22"/>
        </w:rPr>
        <w:t xml:space="preserve">la inyección con nuevos pozos aún es incierta, dado que se necesitan hacer las pruebas correspondientes. Al respecto, el CND preguntó si existen </w:t>
      </w:r>
      <w:r w:rsidR="00822F65">
        <w:rPr>
          <w:rFonts w:ascii="Montserrat" w:eastAsia="Montserrat" w:hAnsi="Montserrat" w:cs="Montserrat"/>
          <w:sz w:val="22"/>
          <w:szCs w:val="22"/>
        </w:rPr>
        <w:t xml:space="preserve">algún </w:t>
      </w:r>
      <w:r>
        <w:rPr>
          <w:rFonts w:ascii="Montserrat" w:eastAsia="Montserrat" w:hAnsi="Montserrat" w:cs="Montserrat"/>
          <w:sz w:val="22"/>
          <w:szCs w:val="22"/>
        </w:rPr>
        <w:t>riesgo, dentro de los trabajos de recuperación de los pozos, que puedan afectar a la Planta Tesorito. Al respecto, CANACOL indicó que actualmente se están llevando a cabo swaps operativos, motivo por el cual dicha central no se ha visto impactada</w:t>
      </w:r>
      <w:r w:rsidR="00822F65">
        <w:rPr>
          <w:rFonts w:ascii="Montserrat" w:eastAsia="Montserrat" w:hAnsi="Montserrat" w:cs="Montserrat"/>
          <w:sz w:val="22"/>
          <w:szCs w:val="22"/>
        </w:rPr>
        <w:t xml:space="preserve"> y no se </w:t>
      </w:r>
      <w:r w:rsidR="001E1958">
        <w:rPr>
          <w:rFonts w:ascii="Montserrat" w:eastAsia="Montserrat" w:hAnsi="Montserrat" w:cs="Montserrat"/>
          <w:sz w:val="22"/>
          <w:szCs w:val="22"/>
        </w:rPr>
        <w:t>prevé</w:t>
      </w:r>
      <w:r w:rsidR="00822F65">
        <w:rPr>
          <w:rFonts w:ascii="Montserrat" w:eastAsia="Montserrat" w:hAnsi="Montserrat" w:cs="Montserrat"/>
          <w:sz w:val="22"/>
          <w:szCs w:val="22"/>
        </w:rPr>
        <w:t xml:space="preserve"> se afecte durante la estación de verano</w:t>
      </w:r>
      <w:r>
        <w:rPr>
          <w:rFonts w:ascii="Montserrat" w:eastAsia="Montserrat" w:hAnsi="Montserrat" w:cs="Montserrat"/>
          <w:sz w:val="22"/>
          <w:szCs w:val="22"/>
        </w:rPr>
        <w:t xml:space="preserve">. Al margen de lo anterior, la </w:t>
      </w:r>
      <w:r>
        <w:rPr>
          <w:rFonts w:ascii="Montserrat" w:eastAsia="Montserrat" w:hAnsi="Montserrat" w:cs="Montserrat"/>
          <w:sz w:val="22"/>
          <w:szCs w:val="22"/>
        </w:rPr>
        <w:lastRenderedPageBreak/>
        <w:t xml:space="preserve">CREG solicitó al CNOg presentar en el CACSSE un ejercicio de balance de gas agregado, dado el impacto económico que podría tener dichos swaps. </w:t>
      </w:r>
    </w:p>
    <w:p w14:paraId="2244D7E5" w14:textId="77777777" w:rsidR="001034A3" w:rsidRDefault="001034A3">
      <w:pPr>
        <w:pBdr>
          <w:top w:val="nil"/>
          <w:left w:val="nil"/>
          <w:bottom w:val="nil"/>
          <w:right w:val="nil"/>
          <w:between w:val="nil"/>
        </w:pBdr>
        <w:ind w:left="1440"/>
        <w:jc w:val="both"/>
        <w:rPr>
          <w:rFonts w:ascii="Montserrat" w:eastAsia="Montserrat" w:hAnsi="Montserrat" w:cs="Montserrat"/>
          <w:sz w:val="22"/>
          <w:szCs w:val="22"/>
        </w:rPr>
      </w:pPr>
    </w:p>
    <w:p w14:paraId="461B3326" w14:textId="77777777" w:rsidR="001034A3" w:rsidRDefault="00CB13DA">
      <w:pPr>
        <w:pBdr>
          <w:top w:val="nil"/>
          <w:left w:val="nil"/>
          <w:bottom w:val="nil"/>
          <w:right w:val="nil"/>
          <w:between w:val="nil"/>
        </w:pBdr>
        <w:ind w:left="1440"/>
        <w:jc w:val="both"/>
        <w:rPr>
          <w:rFonts w:ascii="Montserrat" w:eastAsia="Montserrat" w:hAnsi="Montserrat" w:cs="Montserrat"/>
          <w:sz w:val="22"/>
          <w:szCs w:val="22"/>
        </w:rPr>
      </w:pPr>
      <w:r>
        <w:rPr>
          <w:rFonts w:ascii="Montserrat" w:eastAsia="Montserrat" w:hAnsi="Montserrat" w:cs="Montserrat"/>
          <w:sz w:val="22"/>
          <w:szCs w:val="22"/>
        </w:rPr>
        <w:t>Finalmente, la CREG comentó que le preguntará directamente a CELSIA sobre los efectos de la contingencia en su planta.</w:t>
      </w:r>
    </w:p>
    <w:p w14:paraId="1C86132C" w14:textId="77777777" w:rsidR="001034A3" w:rsidRDefault="001034A3">
      <w:pPr>
        <w:pBdr>
          <w:top w:val="nil"/>
          <w:left w:val="nil"/>
          <w:bottom w:val="nil"/>
          <w:right w:val="nil"/>
          <w:between w:val="nil"/>
        </w:pBdr>
        <w:ind w:left="1440"/>
        <w:jc w:val="both"/>
        <w:rPr>
          <w:rFonts w:ascii="Montserrat" w:eastAsia="Montserrat" w:hAnsi="Montserrat" w:cs="Montserrat"/>
          <w:sz w:val="22"/>
          <w:szCs w:val="22"/>
        </w:rPr>
      </w:pPr>
    </w:p>
    <w:p w14:paraId="5E9A34B5" w14:textId="77777777" w:rsidR="001034A3" w:rsidRDefault="00CB13DA">
      <w:pPr>
        <w:numPr>
          <w:ilvl w:val="0"/>
          <w:numId w:val="1"/>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El CNOg mencionó que no hay contratos entre productores y plantas térmicas. Asimismo, advierte que con la Circular Externa UPME 0000 64 del 2023, al sector que se está restringiendo es al térmico.</w:t>
      </w:r>
    </w:p>
    <w:p w14:paraId="5CE4E6A8" w14:textId="77777777" w:rsidR="001034A3" w:rsidRDefault="001034A3">
      <w:pPr>
        <w:pBdr>
          <w:top w:val="nil"/>
          <w:left w:val="nil"/>
          <w:bottom w:val="nil"/>
          <w:right w:val="nil"/>
          <w:between w:val="nil"/>
        </w:pBdr>
        <w:ind w:left="1440"/>
        <w:jc w:val="both"/>
        <w:rPr>
          <w:rFonts w:ascii="Montserrat" w:eastAsia="Montserrat" w:hAnsi="Montserrat" w:cs="Montserrat"/>
          <w:sz w:val="22"/>
          <w:szCs w:val="22"/>
        </w:rPr>
      </w:pPr>
    </w:p>
    <w:p w14:paraId="5471B23E" w14:textId="77777777" w:rsidR="001034A3" w:rsidRDefault="00CB13DA">
      <w:pPr>
        <w:numPr>
          <w:ilvl w:val="0"/>
          <w:numId w:val="1"/>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Se indicó por parte de MINENERGIA que próximamente saldrá la campaña de uso eficiente de energía, cuyo lema es “</w:t>
      </w:r>
      <w:r>
        <w:rPr>
          <w:rFonts w:ascii="Montserrat" w:eastAsia="Montserrat" w:hAnsi="Montserrat" w:cs="Montserrat"/>
          <w:i/>
          <w:sz w:val="22"/>
          <w:szCs w:val="22"/>
        </w:rPr>
        <w:t>cuida la energía, cuida la vida</w:t>
      </w:r>
      <w:r>
        <w:rPr>
          <w:rFonts w:ascii="Montserrat" w:eastAsia="Montserrat" w:hAnsi="Montserrat" w:cs="Montserrat"/>
          <w:sz w:val="22"/>
          <w:szCs w:val="22"/>
        </w:rPr>
        <w:t>”.</w:t>
      </w:r>
    </w:p>
    <w:p w14:paraId="28CFCDFD" w14:textId="77777777" w:rsidR="001034A3" w:rsidRDefault="001034A3">
      <w:pPr>
        <w:ind w:left="720"/>
        <w:jc w:val="both"/>
        <w:rPr>
          <w:rFonts w:ascii="Montserrat" w:eastAsia="Montserrat" w:hAnsi="Montserrat" w:cs="Montserrat"/>
          <w:sz w:val="22"/>
          <w:szCs w:val="22"/>
        </w:rPr>
      </w:pPr>
    </w:p>
    <w:p w14:paraId="471E381B" w14:textId="77777777" w:rsidR="001034A3" w:rsidRDefault="00CB13DA">
      <w:pPr>
        <w:numPr>
          <w:ilvl w:val="0"/>
          <w:numId w:val="5"/>
        </w:numPr>
        <w:jc w:val="both"/>
        <w:rPr>
          <w:rFonts w:ascii="Montserrat" w:eastAsia="Montserrat" w:hAnsi="Montserrat" w:cs="Montserrat"/>
          <w:sz w:val="22"/>
          <w:szCs w:val="22"/>
        </w:rPr>
      </w:pPr>
      <w:r>
        <w:rPr>
          <w:rFonts w:ascii="Montserrat" w:eastAsia="Montserrat" w:hAnsi="Montserrat" w:cs="Montserrat"/>
          <w:sz w:val="22"/>
          <w:szCs w:val="22"/>
        </w:rPr>
        <w:t>En el Comité de Operación-CO se hizo seguimiento a cada uno de los subcomités del CNO, para identificar los temas, que, a juicio del CO, son de la mayor relevancia para comunicarle al Consejo. A continuación, se presentan los temas:</w:t>
      </w:r>
      <w:r>
        <w:t xml:space="preserve"> </w:t>
      </w:r>
    </w:p>
    <w:p w14:paraId="6D5B2B70" w14:textId="77777777" w:rsidR="001034A3" w:rsidRDefault="001034A3">
      <w:pPr>
        <w:ind w:left="720"/>
        <w:jc w:val="both"/>
        <w:rPr>
          <w:rFonts w:ascii="Montserrat" w:eastAsia="Montserrat" w:hAnsi="Montserrat" w:cs="Montserrat"/>
          <w:sz w:val="22"/>
          <w:szCs w:val="22"/>
        </w:rPr>
      </w:pPr>
    </w:p>
    <w:p w14:paraId="5D9E5A67" w14:textId="77777777" w:rsidR="001034A3" w:rsidRDefault="00CB13DA">
      <w:pPr>
        <w:ind w:left="720"/>
        <w:jc w:val="both"/>
        <w:rPr>
          <w:rFonts w:ascii="Montserrat" w:eastAsia="Montserrat" w:hAnsi="Montserrat" w:cs="Montserrat"/>
          <w:sz w:val="22"/>
          <w:szCs w:val="22"/>
        </w:rPr>
      </w:pPr>
      <w:r>
        <w:rPr>
          <w:rFonts w:ascii="Montserrat" w:eastAsia="Montserrat" w:hAnsi="Montserrat" w:cs="Montserrat"/>
          <w:sz w:val="22"/>
          <w:szCs w:val="22"/>
          <w:u w:val="single"/>
        </w:rPr>
        <w:t>Subcomité de Análisis y Planeación Eléctrica-SAPE</w:t>
      </w:r>
      <w:r>
        <w:rPr>
          <w:rFonts w:ascii="Montserrat" w:eastAsia="Montserrat" w:hAnsi="Montserrat" w:cs="Montserrat"/>
          <w:sz w:val="22"/>
          <w:szCs w:val="22"/>
        </w:rPr>
        <w:t>:</w:t>
      </w:r>
    </w:p>
    <w:p w14:paraId="1EFEFEDB" w14:textId="77777777" w:rsidR="001034A3" w:rsidRDefault="001034A3">
      <w:pPr>
        <w:ind w:left="720"/>
        <w:jc w:val="both"/>
        <w:rPr>
          <w:rFonts w:ascii="Montserrat" w:eastAsia="Montserrat" w:hAnsi="Montserrat" w:cs="Montserrat"/>
          <w:sz w:val="22"/>
          <w:szCs w:val="22"/>
        </w:rPr>
      </w:pPr>
    </w:p>
    <w:p w14:paraId="3783DE71" w14:textId="4C55A8F1" w:rsidR="001034A3" w:rsidRDefault="00CB13DA">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 xml:space="preserve">Continúan las instrucciones de racionamiento en el área Caribe por agotamiento de la red del STR. No obstante, se resalta que </w:t>
      </w:r>
      <w:r w:rsidR="00822F65">
        <w:rPr>
          <w:rFonts w:ascii="Montserrat" w:eastAsia="Montserrat" w:hAnsi="Montserrat" w:cs="Montserrat"/>
          <w:sz w:val="22"/>
          <w:szCs w:val="22"/>
        </w:rPr>
        <w:t xml:space="preserve">con las menores temperaturas que han conllevado una menor demanda en la región caribe y </w:t>
      </w:r>
      <w:r>
        <w:rPr>
          <w:rFonts w:ascii="Montserrat" w:eastAsia="Montserrat" w:hAnsi="Montserrat" w:cs="Montserrat"/>
          <w:sz w:val="22"/>
          <w:szCs w:val="22"/>
        </w:rPr>
        <w:t xml:space="preserve">con las medidas de mitigación implementadas por AFINIA, se han disminuido los eventos de Demanda No Atendida-DNA. En este mismo sentido, el CND indicó que han mejorado las condiciones de operación en esta zona del SIN. </w:t>
      </w:r>
    </w:p>
    <w:p w14:paraId="58F96872" w14:textId="77777777" w:rsidR="001034A3" w:rsidRDefault="001034A3">
      <w:pPr>
        <w:ind w:left="1440"/>
        <w:jc w:val="both"/>
        <w:rPr>
          <w:rFonts w:ascii="Montserrat" w:eastAsia="Montserrat" w:hAnsi="Montserrat" w:cs="Montserrat"/>
          <w:sz w:val="22"/>
          <w:szCs w:val="22"/>
        </w:rPr>
      </w:pPr>
    </w:p>
    <w:p w14:paraId="7328BD9F" w14:textId="77777777" w:rsidR="001034A3" w:rsidRDefault="00CB13DA">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ENEL presentó el cronograma de trabajo asociado al mantenimiento de la subestación Paraíso 230 kV, que se llevará a cabo durante todo el mes de julio del año 2025. Dicha intervención implica la indisponibilidad de la generación de Guaca y Paraíso, que representan para el área Oriental 3.6 unidades equivalentes. Se acordó llevar este punto a la próxima reunión de seguimiento del área Oriental, al igual que la solicitud de la UPME sobre la revisión de los trabajos en el embalse de Guavio, y el cronograma informado por AES Colombia sobre el proyecto de extensión de las conducciones de Chivor (vaciados programados horizonte 2024-2029).</w:t>
      </w:r>
    </w:p>
    <w:p w14:paraId="7CFF5F4A" w14:textId="77777777" w:rsidR="001034A3" w:rsidRDefault="001034A3">
      <w:pPr>
        <w:ind w:left="1440"/>
        <w:jc w:val="both"/>
        <w:rPr>
          <w:rFonts w:ascii="Montserrat" w:eastAsia="Montserrat" w:hAnsi="Montserrat" w:cs="Montserrat"/>
          <w:sz w:val="22"/>
          <w:szCs w:val="22"/>
        </w:rPr>
      </w:pPr>
    </w:p>
    <w:p w14:paraId="6BF794B0" w14:textId="77777777" w:rsidR="001034A3" w:rsidRDefault="00CB13DA">
      <w:pPr>
        <w:ind w:left="1440"/>
        <w:jc w:val="both"/>
        <w:rPr>
          <w:rFonts w:ascii="Montserrat" w:eastAsia="Montserrat" w:hAnsi="Montserrat" w:cs="Montserrat"/>
          <w:sz w:val="22"/>
          <w:szCs w:val="22"/>
        </w:rPr>
      </w:pPr>
      <w:r>
        <w:rPr>
          <w:rFonts w:ascii="Montserrat" w:eastAsia="Montserrat" w:hAnsi="Montserrat" w:cs="Montserrat"/>
          <w:sz w:val="22"/>
          <w:szCs w:val="22"/>
        </w:rPr>
        <w:t xml:space="preserve">Vale la pena mencionar que la UPME envió para conocimiento del Consejo y el CND, las cartas de respuesta de METRO BOGOTÁ y REGIOTRAM sobre los consumos de potencia, fechas de puesta en </w:t>
      </w:r>
      <w:r>
        <w:rPr>
          <w:rFonts w:ascii="Montserrat" w:eastAsia="Montserrat" w:hAnsi="Montserrat" w:cs="Montserrat"/>
          <w:sz w:val="22"/>
          <w:szCs w:val="22"/>
        </w:rPr>
        <w:lastRenderedPageBreak/>
        <w:t>servicio y curvas “S” de los proyectos de movilidad eléctrica de la ciudad de Bogotá.</w:t>
      </w:r>
    </w:p>
    <w:p w14:paraId="1410190E" w14:textId="77777777" w:rsidR="001034A3" w:rsidRDefault="001034A3">
      <w:pPr>
        <w:ind w:left="1440"/>
        <w:jc w:val="both"/>
        <w:rPr>
          <w:rFonts w:ascii="Montserrat" w:eastAsia="Montserrat" w:hAnsi="Montserrat" w:cs="Montserrat"/>
          <w:sz w:val="22"/>
          <w:szCs w:val="22"/>
        </w:rPr>
      </w:pPr>
    </w:p>
    <w:p w14:paraId="489DDDF7" w14:textId="69DD2E8F" w:rsidR="001034A3" w:rsidRDefault="00CB13DA">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 xml:space="preserve">La primera reunión del grupo de trabajo EDAC, conformado por integrantes del SAPE, Subcomité de Protecciones y Comité de Operación, se realizará el próximo 16 de noviembre del año en curso en horas de la </w:t>
      </w:r>
      <w:r w:rsidR="00B33681">
        <w:rPr>
          <w:rFonts w:ascii="Montserrat" w:eastAsia="Montserrat" w:hAnsi="Montserrat" w:cs="Montserrat"/>
          <w:sz w:val="22"/>
          <w:szCs w:val="22"/>
        </w:rPr>
        <w:t>tarde.</w:t>
      </w:r>
    </w:p>
    <w:p w14:paraId="6B592931" w14:textId="77777777" w:rsidR="001034A3" w:rsidRDefault="001034A3">
      <w:pPr>
        <w:ind w:left="1440"/>
        <w:jc w:val="both"/>
        <w:rPr>
          <w:rFonts w:ascii="Montserrat" w:eastAsia="Montserrat" w:hAnsi="Montserrat" w:cs="Montserrat"/>
          <w:sz w:val="22"/>
          <w:szCs w:val="22"/>
        </w:rPr>
      </w:pPr>
    </w:p>
    <w:p w14:paraId="568E1C2F" w14:textId="77777777" w:rsidR="001034A3" w:rsidRDefault="00CB13DA">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El CND presentó el balance de las pruebas de potencia reactiva de las unidades de generación del SIN. Para la región de sobrexcitación, se destaca un incremento de dicha potencia para el soporte de tensión en las áreas Caribe y Oriental.</w:t>
      </w:r>
    </w:p>
    <w:p w14:paraId="24DC19C2" w14:textId="77777777" w:rsidR="001034A3" w:rsidRDefault="001034A3">
      <w:pPr>
        <w:ind w:left="1440"/>
        <w:jc w:val="both"/>
        <w:rPr>
          <w:rFonts w:ascii="Montserrat" w:eastAsia="Montserrat" w:hAnsi="Montserrat" w:cs="Montserrat"/>
          <w:sz w:val="22"/>
          <w:szCs w:val="22"/>
        </w:rPr>
      </w:pPr>
    </w:p>
    <w:p w14:paraId="2AD4E36C" w14:textId="77777777" w:rsidR="001034A3" w:rsidRDefault="00CB13DA">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AFINIA presentó el avance del estado de implementación de las medidas de mitigación. Se destaca la instalación del transformador provisional en El Paso 110 kV, que como se mencionó previamente, ha reducido las instrucciones de racionamiento por agotamiento de red en el STR. Respecto a la subestación Nuevo Arjona, dicha expansión estaría en servicio entre los años 2024 y 2025, según las etapas informadas por el Operador de Red.</w:t>
      </w:r>
    </w:p>
    <w:p w14:paraId="442565B3" w14:textId="77777777" w:rsidR="001034A3" w:rsidRDefault="001034A3">
      <w:pPr>
        <w:ind w:left="1440"/>
        <w:jc w:val="both"/>
        <w:rPr>
          <w:rFonts w:ascii="Montserrat" w:eastAsia="Montserrat" w:hAnsi="Montserrat" w:cs="Montserrat"/>
          <w:sz w:val="22"/>
          <w:szCs w:val="22"/>
        </w:rPr>
      </w:pPr>
    </w:p>
    <w:p w14:paraId="69BB5818" w14:textId="77777777" w:rsidR="001034A3" w:rsidRDefault="00CB13DA">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 xml:space="preserve">El CND presentó su propuesta de modificación del Acuerdo 1501, por el cual se establecen los requerimientos para la obtención y validación de parámetros y modelos de los dispositivos FACTS distribuidos. Se acordó socializar el documento para revisión del Subcomité, que está enfocado en el reporte de parámetros técnicos de los mSSSC, y programar reuniones bilaterales CND-Agentes para analizar la propuesta. En el mes de noviembre se espera tener la versión final para presentarla al Comité de Operación y CNO. </w:t>
      </w:r>
    </w:p>
    <w:p w14:paraId="532F8947" w14:textId="77777777" w:rsidR="001034A3" w:rsidRDefault="001034A3">
      <w:pPr>
        <w:ind w:left="1440"/>
        <w:jc w:val="both"/>
        <w:rPr>
          <w:rFonts w:ascii="Montserrat" w:eastAsia="Montserrat" w:hAnsi="Montserrat" w:cs="Montserrat"/>
          <w:sz w:val="22"/>
          <w:szCs w:val="22"/>
        </w:rPr>
      </w:pPr>
    </w:p>
    <w:p w14:paraId="61B24C99" w14:textId="77777777" w:rsidR="001034A3" w:rsidRDefault="00CB13DA">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Respecto al seguimiento del proyecto La Loma 110 kV y redes asociadas, se ratificó por ENLAZA que solicitó la modificación de la Fecha de Entrada en Operación-FPO de dicha expansión para el 29 enero del año 2024. No obstante, se indicó por el transportador que el tramo La Loma-El Paso 110 kV podría estar en servicio antes del 30 noviembre del año en curso. Respecto al tramo La Loma-La Jagua 110 kV, dicho corredor podría estar en servicio antes de finalizar el 2023.</w:t>
      </w:r>
    </w:p>
    <w:p w14:paraId="10316154" w14:textId="77777777" w:rsidR="001034A3" w:rsidRDefault="001034A3">
      <w:pPr>
        <w:ind w:left="1440"/>
        <w:jc w:val="both"/>
        <w:rPr>
          <w:rFonts w:ascii="Montserrat" w:eastAsia="Montserrat" w:hAnsi="Montserrat" w:cs="Montserrat"/>
          <w:sz w:val="22"/>
          <w:szCs w:val="22"/>
        </w:rPr>
      </w:pPr>
    </w:p>
    <w:p w14:paraId="3CE2C3BC" w14:textId="77777777" w:rsidR="001034A3" w:rsidRDefault="001034A3">
      <w:pPr>
        <w:ind w:left="1440"/>
        <w:jc w:val="both"/>
        <w:rPr>
          <w:rFonts w:ascii="Montserrat" w:eastAsia="Montserrat" w:hAnsi="Montserrat" w:cs="Montserrat"/>
          <w:sz w:val="22"/>
          <w:szCs w:val="22"/>
        </w:rPr>
      </w:pPr>
    </w:p>
    <w:p w14:paraId="627BC708" w14:textId="77777777" w:rsidR="001034A3" w:rsidRDefault="001034A3">
      <w:pPr>
        <w:ind w:left="1440"/>
        <w:jc w:val="both"/>
        <w:rPr>
          <w:rFonts w:ascii="Montserrat" w:eastAsia="Montserrat" w:hAnsi="Montserrat" w:cs="Montserrat"/>
          <w:sz w:val="22"/>
          <w:szCs w:val="22"/>
        </w:rPr>
      </w:pPr>
    </w:p>
    <w:p w14:paraId="418F5F8A" w14:textId="77777777" w:rsidR="001034A3" w:rsidRDefault="00CB13DA">
      <w:pPr>
        <w:ind w:firstLine="720"/>
        <w:jc w:val="both"/>
        <w:rPr>
          <w:rFonts w:ascii="Montserrat" w:eastAsia="Montserrat" w:hAnsi="Montserrat" w:cs="Montserrat"/>
          <w:sz w:val="22"/>
          <w:szCs w:val="22"/>
        </w:rPr>
      </w:pPr>
      <w:r>
        <w:rPr>
          <w:rFonts w:ascii="Montserrat" w:eastAsia="Montserrat" w:hAnsi="Montserrat" w:cs="Montserrat"/>
          <w:sz w:val="22"/>
          <w:szCs w:val="22"/>
          <w:u w:val="single"/>
        </w:rPr>
        <w:t>Subcomité de Controles del Sistema-SC</w:t>
      </w:r>
      <w:r>
        <w:rPr>
          <w:rFonts w:ascii="Montserrat" w:eastAsia="Montserrat" w:hAnsi="Montserrat" w:cs="Montserrat"/>
          <w:sz w:val="22"/>
          <w:szCs w:val="22"/>
        </w:rPr>
        <w:t>:</w:t>
      </w:r>
    </w:p>
    <w:p w14:paraId="3450FE9C" w14:textId="77777777" w:rsidR="001034A3" w:rsidRDefault="00CB13DA">
      <w:pPr>
        <w:ind w:left="1440"/>
        <w:jc w:val="both"/>
        <w:rPr>
          <w:rFonts w:ascii="Montserrat" w:eastAsia="Montserrat" w:hAnsi="Montserrat" w:cs="Montserrat"/>
          <w:sz w:val="22"/>
          <w:szCs w:val="22"/>
        </w:rPr>
      </w:pPr>
      <w:r>
        <w:rPr>
          <w:rFonts w:ascii="Montserrat" w:eastAsia="Montserrat" w:hAnsi="Montserrat" w:cs="Montserrat"/>
          <w:sz w:val="22"/>
          <w:szCs w:val="22"/>
        </w:rPr>
        <w:t xml:space="preserve"> </w:t>
      </w:r>
    </w:p>
    <w:p w14:paraId="22447978" w14:textId="77777777" w:rsidR="001034A3" w:rsidRDefault="00CB13DA">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 xml:space="preserve">Respecto al seguimiento a la prestación del servicio de Regulación Primaria de Frecuencia, se destaca la labor que ha tenido el subcomité </w:t>
      </w:r>
      <w:r>
        <w:rPr>
          <w:rFonts w:ascii="Montserrat" w:eastAsia="Montserrat" w:hAnsi="Montserrat" w:cs="Montserrat"/>
          <w:sz w:val="22"/>
          <w:szCs w:val="22"/>
        </w:rPr>
        <w:lastRenderedPageBreak/>
        <w:t>durante los últimos dos (2) meses para reducir el número de eventos de incumplimiento.</w:t>
      </w:r>
    </w:p>
    <w:p w14:paraId="37F4BF6B" w14:textId="77777777" w:rsidR="001034A3" w:rsidRDefault="001034A3">
      <w:pPr>
        <w:ind w:left="1440"/>
        <w:jc w:val="both"/>
        <w:rPr>
          <w:rFonts w:ascii="Montserrat" w:eastAsia="Montserrat" w:hAnsi="Montserrat" w:cs="Montserrat"/>
          <w:sz w:val="22"/>
          <w:szCs w:val="22"/>
        </w:rPr>
      </w:pPr>
    </w:p>
    <w:p w14:paraId="43604902" w14:textId="77777777" w:rsidR="001034A3" w:rsidRDefault="00CB13DA">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 xml:space="preserve">Con relación al seguimiento a la calidad de los modelos, el CND resaltó la necesidad de definir un plan de trabajo para que los agentes generadores gestionen los problemas de calidad identificados en los plazos del Acuerdo 1643. De manera general se identifican varios modelos con problemas, lo cual podría generar un riesgo para la operación confiable y segura del SIN. </w:t>
      </w:r>
    </w:p>
    <w:p w14:paraId="5FDDA319" w14:textId="77777777" w:rsidR="001034A3" w:rsidRDefault="001034A3">
      <w:pPr>
        <w:ind w:left="1440"/>
        <w:jc w:val="both"/>
        <w:rPr>
          <w:rFonts w:ascii="Montserrat" w:eastAsia="Montserrat" w:hAnsi="Montserrat" w:cs="Montserrat"/>
          <w:sz w:val="22"/>
          <w:szCs w:val="22"/>
        </w:rPr>
      </w:pPr>
    </w:p>
    <w:p w14:paraId="54C6D9F6" w14:textId="77777777" w:rsidR="001034A3" w:rsidRDefault="00CB13DA">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El Subcomité sigue sesionando para definir las pruebas y procedimientos que se necesitan para validar el cumplimiento de los requisitos de la Resolución CREG 060 de 2019 para los autogeneradores conectados al STR/STN sin entrega de excedentes.</w:t>
      </w:r>
    </w:p>
    <w:p w14:paraId="6BA49113" w14:textId="77777777" w:rsidR="001034A3" w:rsidRDefault="001034A3">
      <w:pPr>
        <w:jc w:val="both"/>
        <w:rPr>
          <w:rFonts w:ascii="Montserrat" w:eastAsia="Montserrat" w:hAnsi="Montserrat" w:cs="Montserrat"/>
          <w:sz w:val="22"/>
          <w:szCs w:val="22"/>
        </w:rPr>
      </w:pPr>
    </w:p>
    <w:p w14:paraId="235E7686" w14:textId="77777777" w:rsidR="001034A3" w:rsidRDefault="00CB13DA">
      <w:pPr>
        <w:ind w:firstLine="720"/>
        <w:jc w:val="both"/>
        <w:rPr>
          <w:rFonts w:ascii="Montserrat" w:eastAsia="Montserrat" w:hAnsi="Montserrat" w:cs="Montserrat"/>
          <w:sz w:val="22"/>
          <w:szCs w:val="22"/>
        </w:rPr>
      </w:pPr>
      <w:r>
        <w:rPr>
          <w:rFonts w:ascii="Montserrat" w:eastAsia="Montserrat" w:hAnsi="Montserrat" w:cs="Montserrat"/>
          <w:sz w:val="22"/>
          <w:szCs w:val="22"/>
          <w:u w:val="single"/>
        </w:rPr>
        <w:t>Subcomité de Recursos Energéticos Renovables-SURER</w:t>
      </w:r>
      <w:r>
        <w:rPr>
          <w:rFonts w:ascii="Montserrat" w:eastAsia="Montserrat" w:hAnsi="Montserrat" w:cs="Montserrat"/>
          <w:sz w:val="22"/>
          <w:szCs w:val="22"/>
        </w:rPr>
        <w:t>:</w:t>
      </w:r>
    </w:p>
    <w:p w14:paraId="79F5A674" w14:textId="77777777" w:rsidR="001034A3" w:rsidRDefault="00CB13DA">
      <w:pPr>
        <w:jc w:val="both"/>
        <w:rPr>
          <w:rFonts w:ascii="Montserrat" w:eastAsia="Montserrat" w:hAnsi="Montserrat" w:cs="Montserrat"/>
          <w:sz w:val="22"/>
          <w:szCs w:val="22"/>
        </w:rPr>
      </w:pPr>
      <w:r>
        <w:rPr>
          <w:rFonts w:ascii="Montserrat" w:eastAsia="Montserrat" w:hAnsi="Montserrat" w:cs="Montserrat"/>
          <w:sz w:val="22"/>
          <w:szCs w:val="22"/>
        </w:rPr>
        <w:t xml:space="preserve"> </w:t>
      </w:r>
    </w:p>
    <w:p w14:paraId="5FFF9DAF" w14:textId="77777777" w:rsidR="001034A3" w:rsidRDefault="00CB13DA">
      <w:pPr>
        <w:numPr>
          <w:ilvl w:val="0"/>
          <w:numId w:val="2"/>
        </w:numPr>
        <w:jc w:val="both"/>
        <w:rPr>
          <w:rFonts w:ascii="Montserrat" w:eastAsia="Montserrat" w:hAnsi="Montserrat" w:cs="Montserrat"/>
          <w:sz w:val="22"/>
          <w:szCs w:val="22"/>
        </w:rPr>
      </w:pPr>
      <w:r>
        <w:rPr>
          <w:rFonts w:ascii="Montserrat" w:eastAsia="Montserrat" w:hAnsi="Montserrat" w:cs="Montserrat"/>
          <w:sz w:val="22"/>
          <w:szCs w:val="22"/>
        </w:rPr>
        <w:t xml:space="preserve">El Subcomité se reunió para analizar las observaciones y sugerencias de MINENERGÍA a la metodología planteada por el Consejo para establecer la capacidad de regulación de las plantas hidroeléctricas. A partir de ella, se explicó al ministerio: </w:t>
      </w:r>
      <w:r>
        <w:rPr>
          <w:rFonts w:ascii="Montserrat" w:eastAsia="Montserrat" w:hAnsi="Montserrat" w:cs="Montserrat"/>
          <w:b/>
          <w:sz w:val="22"/>
          <w:szCs w:val="22"/>
        </w:rPr>
        <w:t>i)</w:t>
      </w:r>
      <w:r>
        <w:rPr>
          <w:rFonts w:ascii="Montserrat" w:eastAsia="Montserrat" w:hAnsi="Montserrat" w:cs="Montserrat"/>
          <w:sz w:val="22"/>
          <w:szCs w:val="22"/>
        </w:rPr>
        <w:t xml:space="preserve"> por que la aplicación del procedimiento puede arrojar valores negativos (almacenamiento); </w:t>
      </w:r>
      <w:r>
        <w:rPr>
          <w:rFonts w:ascii="Montserrat" w:eastAsia="Montserrat" w:hAnsi="Montserrat" w:cs="Montserrat"/>
          <w:b/>
          <w:sz w:val="22"/>
          <w:szCs w:val="22"/>
        </w:rPr>
        <w:t>ii)</w:t>
      </w:r>
      <w:r>
        <w:rPr>
          <w:rFonts w:ascii="Montserrat" w:eastAsia="Montserrat" w:hAnsi="Montserrat" w:cs="Montserrat"/>
          <w:sz w:val="22"/>
          <w:szCs w:val="22"/>
        </w:rPr>
        <w:t xml:space="preserve"> justificación de considerar la topología de las cadenas y aportes aguas arriba, en línea con los modelos utilizados para el planeamiento energético y diseño de centrales hidroeléctricas. </w:t>
      </w:r>
    </w:p>
    <w:p w14:paraId="6C5131FD" w14:textId="77777777" w:rsidR="001034A3" w:rsidRDefault="00CB13DA">
      <w:pPr>
        <w:ind w:left="1440"/>
        <w:jc w:val="both"/>
        <w:rPr>
          <w:rFonts w:ascii="Montserrat" w:eastAsia="Montserrat" w:hAnsi="Montserrat" w:cs="Montserrat"/>
          <w:sz w:val="22"/>
          <w:szCs w:val="22"/>
        </w:rPr>
      </w:pPr>
      <w:r>
        <w:rPr>
          <w:rFonts w:ascii="Montserrat" w:eastAsia="Montserrat" w:hAnsi="Montserrat" w:cs="Montserrat"/>
          <w:sz w:val="22"/>
          <w:szCs w:val="22"/>
        </w:rPr>
        <w:t>Adicionalmente, se indicó a la oficina de asuntos regulatorios y empresariales que se ajustará el documento incorporando algunas definiciones, y se aclaró que la metodología fue acogida por todos los miembros del CNO.</w:t>
      </w:r>
    </w:p>
    <w:p w14:paraId="01F7BAF0" w14:textId="77777777" w:rsidR="001034A3" w:rsidRDefault="001034A3">
      <w:pPr>
        <w:ind w:left="1440"/>
        <w:jc w:val="both"/>
        <w:rPr>
          <w:rFonts w:ascii="Montserrat" w:eastAsia="Montserrat" w:hAnsi="Montserrat" w:cs="Montserrat"/>
          <w:sz w:val="22"/>
          <w:szCs w:val="22"/>
        </w:rPr>
      </w:pPr>
    </w:p>
    <w:p w14:paraId="17CB3EC4" w14:textId="77777777" w:rsidR="001034A3" w:rsidRDefault="00CB13DA">
      <w:pPr>
        <w:ind w:left="1440"/>
        <w:jc w:val="both"/>
        <w:rPr>
          <w:rFonts w:ascii="Montserrat" w:eastAsia="Montserrat" w:hAnsi="Montserrat" w:cs="Montserrat"/>
          <w:sz w:val="22"/>
          <w:szCs w:val="22"/>
        </w:rPr>
      </w:pPr>
      <w:r>
        <w:rPr>
          <w:rFonts w:ascii="Montserrat" w:eastAsia="Montserrat" w:hAnsi="Montserrat" w:cs="Montserrat"/>
          <w:sz w:val="22"/>
          <w:szCs w:val="22"/>
        </w:rPr>
        <w:t xml:space="preserve">Al respecto, MINENERGIA sugirió aplicar el procedimiento para escenarios de caudales extremos (húmedos y secos), al igual que omitir los aportes de las plantas ubicadas aguas arriba que estén inmersas dentro de una cadena específica.  </w:t>
      </w:r>
    </w:p>
    <w:p w14:paraId="6B3393CF" w14:textId="77777777" w:rsidR="001034A3" w:rsidRDefault="001034A3">
      <w:pPr>
        <w:ind w:left="1440"/>
        <w:jc w:val="both"/>
        <w:rPr>
          <w:rFonts w:ascii="Montserrat" w:eastAsia="Montserrat" w:hAnsi="Montserrat" w:cs="Montserrat"/>
          <w:sz w:val="22"/>
          <w:szCs w:val="22"/>
        </w:rPr>
      </w:pPr>
    </w:p>
    <w:p w14:paraId="34BA5C4B" w14:textId="77777777" w:rsidR="001034A3" w:rsidRDefault="00CB13DA">
      <w:pPr>
        <w:ind w:left="1440"/>
        <w:jc w:val="both"/>
        <w:rPr>
          <w:rFonts w:ascii="Montserrat" w:eastAsia="Montserrat" w:hAnsi="Montserrat" w:cs="Montserrat"/>
          <w:sz w:val="22"/>
          <w:szCs w:val="22"/>
        </w:rPr>
      </w:pPr>
      <w:r>
        <w:rPr>
          <w:rFonts w:ascii="Montserrat" w:eastAsia="Montserrat" w:hAnsi="Montserrat" w:cs="Montserrat"/>
          <w:sz w:val="22"/>
          <w:szCs w:val="22"/>
        </w:rPr>
        <w:t>Teniendo en cuenta lo anterior, el SURER se reunirá próximamente para analizar las solicitudes del Ministerio.</w:t>
      </w:r>
    </w:p>
    <w:p w14:paraId="6C7378E4" w14:textId="77777777" w:rsidR="001034A3" w:rsidRDefault="001034A3">
      <w:pPr>
        <w:jc w:val="both"/>
        <w:rPr>
          <w:rFonts w:ascii="Montserrat" w:eastAsia="Montserrat" w:hAnsi="Montserrat" w:cs="Montserrat"/>
          <w:sz w:val="22"/>
          <w:szCs w:val="22"/>
        </w:rPr>
      </w:pPr>
    </w:p>
    <w:p w14:paraId="24F1C641" w14:textId="77777777" w:rsidR="001034A3" w:rsidRDefault="00CB13DA">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Se retomaron nuevamente las actividades asociadas a la medición de la velocidad del viento en la góndola de los aerogeneradores para los proyectos eólicos enmarcados en la resolución CREG 148 de 2021.</w:t>
      </w:r>
    </w:p>
    <w:p w14:paraId="6A4F762A" w14:textId="77777777" w:rsidR="001034A3" w:rsidRDefault="001034A3">
      <w:pPr>
        <w:jc w:val="both"/>
        <w:rPr>
          <w:rFonts w:ascii="Montserrat" w:eastAsia="Montserrat" w:hAnsi="Montserrat" w:cs="Montserrat"/>
          <w:sz w:val="22"/>
          <w:szCs w:val="22"/>
        </w:rPr>
      </w:pPr>
    </w:p>
    <w:p w14:paraId="05751F33" w14:textId="77777777" w:rsidR="001034A3" w:rsidRDefault="00CB13DA">
      <w:pPr>
        <w:ind w:firstLine="720"/>
        <w:jc w:val="both"/>
        <w:rPr>
          <w:rFonts w:ascii="Montserrat" w:eastAsia="Montserrat" w:hAnsi="Montserrat" w:cs="Montserrat"/>
          <w:sz w:val="22"/>
          <w:szCs w:val="22"/>
        </w:rPr>
      </w:pPr>
      <w:r>
        <w:rPr>
          <w:rFonts w:ascii="Montserrat" w:eastAsia="Montserrat" w:hAnsi="Montserrat" w:cs="Montserrat"/>
          <w:sz w:val="22"/>
          <w:szCs w:val="22"/>
          <w:u w:val="single"/>
        </w:rPr>
        <w:t>Subcomité de Planeamiento Operativo-SPO</w:t>
      </w:r>
      <w:r>
        <w:rPr>
          <w:rFonts w:ascii="Montserrat" w:eastAsia="Montserrat" w:hAnsi="Montserrat" w:cs="Montserrat"/>
          <w:sz w:val="22"/>
          <w:szCs w:val="22"/>
        </w:rPr>
        <w:t>:</w:t>
      </w:r>
    </w:p>
    <w:p w14:paraId="793A9741" w14:textId="77777777" w:rsidR="001034A3" w:rsidRDefault="00CB13DA">
      <w:pPr>
        <w:ind w:left="720"/>
        <w:jc w:val="both"/>
        <w:rPr>
          <w:rFonts w:ascii="Montserrat" w:eastAsia="Montserrat" w:hAnsi="Montserrat" w:cs="Montserrat"/>
          <w:sz w:val="22"/>
          <w:szCs w:val="22"/>
        </w:rPr>
      </w:pPr>
      <w:r>
        <w:rPr>
          <w:rFonts w:ascii="Montserrat" w:eastAsia="Montserrat" w:hAnsi="Montserrat" w:cs="Montserrat"/>
          <w:sz w:val="22"/>
          <w:szCs w:val="22"/>
        </w:rPr>
        <w:t xml:space="preserve"> </w:t>
      </w:r>
    </w:p>
    <w:p w14:paraId="57C98D80" w14:textId="77777777" w:rsidR="001034A3" w:rsidRDefault="00CB13DA">
      <w:pPr>
        <w:numPr>
          <w:ilvl w:val="0"/>
          <w:numId w:val="4"/>
        </w:numPr>
        <w:jc w:val="both"/>
        <w:rPr>
          <w:rFonts w:ascii="Montserrat" w:eastAsia="Montserrat" w:hAnsi="Montserrat" w:cs="Montserrat"/>
          <w:sz w:val="22"/>
          <w:szCs w:val="22"/>
        </w:rPr>
      </w:pPr>
      <w:r>
        <w:rPr>
          <w:rFonts w:ascii="Montserrat" w:eastAsia="Montserrat" w:hAnsi="Montserrat" w:cs="Montserrat"/>
          <w:sz w:val="22"/>
          <w:szCs w:val="22"/>
        </w:rPr>
        <w:lastRenderedPageBreak/>
        <w:t>El CND presentó el seguimiento a la demanda de potencia del SIN. Destacó que la demanda real de energía eléctrica ha sido, para algunos días de los meses de septiembre y octubre del año en curso, superior a la desagregación semanal del percentil 95 del Intervalo de Confianza Superior de la proyección de la UPME.</w:t>
      </w:r>
    </w:p>
    <w:p w14:paraId="6A464F20" w14:textId="77777777" w:rsidR="001034A3" w:rsidRDefault="001034A3">
      <w:pPr>
        <w:ind w:left="1440"/>
        <w:jc w:val="both"/>
        <w:rPr>
          <w:rFonts w:ascii="Montserrat" w:eastAsia="Montserrat" w:hAnsi="Montserrat" w:cs="Montserrat"/>
          <w:sz w:val="22"/>
          <w:szCs w:val="22"/>
        </w:rPr>
      </w:pPr>
    </w:p>
    <w:p w14:paraId="2656607C" w14:textId="57022F3E" w:rsidR="001034A3" w:rsidRDefault="00CB13DA">
      <w:pPr>
        <w:numPr>
          <w:ilvl w:val="0"/>
          <w:numId w:val="4"/>
        </w:numPr>
        <w:jc w:val="both"/>
        <w:rPr>
          <w:rFonts w:ascii="Montserrat" w:eastAsia="Montserrat" w:hAnsi="Montserrat" w:cs="Montserrat"/>
          <w:sz w:val="22"/>
          <w:szCs w:val="22"/>
        </w:rPr>
      </w:pPr>
      <w:r>
        <w:rPr>
          <w:rFonts w:ascii="Montserrat" w:eastAsia="Montserrat" w:hAnsi="Montserrat" w:cs="Montserrat"/>
          <w:sz w:val="22"/>
          <w:szCs w:val="22"/>
        </w:rPr>
        <w:t xml:space="preserve">Con relación a las tareas asignadas por el CNO al SPO sobre los supuestos del modelo energético, específicamente escenario de exportaciones, tasa de crecimiento de la demanda de energía y limitaciones a la producción de la generación térmica, el subcomité definió que el escenario base de demanda será el medio de la Unidad, incrementado en 2 % hasta culminar el verano 2023-2024. </w:t>
      </w:r>
      <w:r w:rsidR="001E1958">
        <w:rPr>
          <w:rFonts w:ascii="Montserrat" w:eastAsia="Montserrat" w:hAnsi="Montserrat" w:cs="Montserrat"/>
          <w:sz w:val="22"/>
          <w:szCs w:val="22"/>
        </w:rPr>
        <w:t>El CNO</w:t>
      </w:r>
      <w:r w:rsidR="001F36C7">
        <w:rPr>
          <w:rFonts w:ascii="Montserrat" w:eastAsia="Montserrat" w:hAnsi="Montserrat" w:cs="Montserrat"/>
          <w:sz w:val="22"/>
          <w:szCs w:val="22"/>
        </w:rPr>
        <w:t xml:space="preserve"> solicit</w:t>
      </w:r>
      <w:r w:rsidR="006D4D32">
        <w:rPr>
          <w:rFonts w:ascii="Montserrat" w:eastAsia="Montserrat" w:hAnsi="Montserrat" w:cs="Montserrat"/>
          <w:sz w:val="22"/>
          <w:szCs w:val="22"/>
        </w:rPr>
        <w:t>ó</w:t>
      </w:r>
      <w:r w:rsidR="001F36C7">
        <w:rPr>
          <w:rFonts w:ascii="Montserrat" w:eastAsia="Montserrat" w:hAnsi="Montserrat" w:cs="Montserrat"/>
          <w:sz w:val="22"/>
          <w:szCs w:val="22"/>
        </w:rPr>
        <w:t xml:space="preserve"> </w:t>
      </w:r>
      <w:r w:rsidR="006D4D32">
        <w:rPr>
          <w:rFonts w:ascii="Montserrat" w:eastAsia="Montserrat" w:hAnsi="Montserrat" w:cs="Montserrat"/>
          <w:sz w:val="22"/>
          <w:szCs w:val="22"/>
        </w:rPr>
        <w:t xml:space="preserve">realizar </w:t>
      </w:r>
      <w:r w:rsidR="001F36C7" w:rsidRPr="002B5ADA">
        <w:rPr>
          <w:rFonts w:ascii="Montserrat" w:eastAsia="Montserrat" w:hAnsi="Montserrat" w:cs="Montserrat"/>
          <w:sz w:val="22"/>
          <w:szCs w:val="22"/>
        </w:rPr>
        <w:t>c</w:t>
      </w:r>
      <w:r w:rsidRPr="00C06F85">
        <w:rPr>
          <w:rFonts w:ascii="Montserrat" w:eastAsia="Montserrat" w:hAnsi="Montserrat" w:cs="Montserrat"/>
          <w:sz w:val="22"/>
          <w:szCs w:val="22"/>
        </w:rPr>
        <w:t xml:space="preserve">omo sensibilidad </w:t>
      </w:r>
      <w:r w:rsidR="006D4D32" w:rsidRPr="002B5ADA">
        <w:rPr>
          <w:rFonts w:ascii="Montserrat" w:eastAsia="Montserrat" w:hAnsi="Montserrat" w:cs="Montserrat"/>
          <w:sz w:val="22"/>
          <w:szCs w:val="22"/>
        </w:rPr>
        <w:t xml:space="preserve">una </w:t>
      </w:r>
      <w:r w:rsidRPr="00C06F85">
        <w:rPr>
          <w:rFonts w:ascii="Montserrat" w:eastAsia="Montserrat" w:hAnsi="Montserrat" w:cs="Montserrat"/>
          <w:sz w:val="22"/>
          <w:szCs w:val="22"/>
        </w:rPr>
        <w:t>simulaci</w:t>
      </w:r>
      <w:r w:rsidR="006D4D32" w:rsidRPr="002B5ADA">
        <w:rPr>
          <w:rFonts w:ascii="Montserrat" w:eastAsia="Montserrat" w:hAnsi="Montserrat" w:cs="Montserrat"/>
          <w:sz w:val="22"/>
          <w:szCs w:val="22"/>
        </w:rPr>
        <w:t>ó</w:t>
      </w:r>
      <w:r w:rsidRPr="00C06F85">
        <w:rPr>
          <w:rFonts w:ascii="Montserrat" w:eastAsia="Montserrat" w:hAnsi="Montserrat" w:cs="Montserrat"/>
          <w:sz w:val="22"/>
          <w:szCs w:val="22"/>
        </w:rPr>
        <w:t xml:space="preserve">n considerando una exportación hacia Ecuador de 10 GWh-día. </w:t>
      </w:r>
      <w:r w:rsidR="006D4D32" w:rsidRPr="00C06F85">
        <w:rPr>
          <w:rFonts w:ascii="Montserrat" w:eastAsia="Montserrat" w:hAnsi="Montserrat" w:cs="Montserrat"/>
          <w:sz w:val="22"/>
          <w:szCs w:val="22"/>
        </w:rPr>
        <w:t>Al respect</w:t>
      </w:r>
      <w:r w:rsidR="006D4D32">
        <w:rPr>
          <w:rFonts w:ascii="Montserrat" w:eastAsia="Montserrat" w:hAnsi="Montserrat" w:cs="Montserrat"/>
          <w:sz w:val="22"/>
          <w:szCs w:val="22"/>
        </w:rPr>
        <w:t xml:space="preserve">o el CND manifestó que dada la condición establecida en la resolución MME 40619 de 2023, no se ve necesaria una nueva sensibilidad. </w:t>
      </w:r>
      <w:r>
        <w:rPr>
          <w:rFonts w:ascii="Montserrat" w:eastAsia="Montserrat" w:hAnsi="Montserrat" w:cs="Montserrat"/>
          <w:sz w:val="22"/>
          <w:szCs w:val="22"/>
        </w:rPr>
        <w:t>Finalmente, respecto a la limitación de la generación térmica, el SPO no está de acuerdo, por ahora, en contemplar este tipo de restricciones. De todas formas, si se presentan situaciones como las del año 2020, se revisará esta medida.</w:t>
      </w:r>
    </w:p>
    <w:p w14:paraId="5AC03110" w14:textId="77777777" w:rsidR="001034A3" w:rsidRDefault="001034A3">
      <w:pPr>
        <w:ind w:left="1440"/>
        <w:jc w:val="both"/>
        <w:rPr>
          <w:rFonts w:ascii="Montserrat" w:eastAsia="Montserrat" w:hAnsi="Montserrat" w:cs="Montserrat"/>
          <w:sz w:val="22"/>
          <w:szCs w:val="22"/>
        </w:rPr>
      </w:pPr>
    </w:p>
    <w:p w14:paraId="1A271F9C" w14:textId="77777777" w:rsidR="001034A3" w:rsidRDefault="00CB13DA">
      <w:pPr>
        <w:numPr>
          <w:ilvl w:val="0"/>
          <w:numId w:val="4"/>
        </w:numPr>
        <w:jc w:val="both"/>
        <w:rPr>
          <w:rFonts w:ascii="Montserrat" w:eastAsia="Montserrat" w:hAnsi="Montserrat" w:cs="Montserrat"/>
          <w:sz w:val="22"/>
          <w:szCs w:val="22"/>
        </w:rPr>
      </w:pPr>
      <w:r>
        <w:rPr>
          <w:rFonts w:ascii="Montserrat" w:eastAsia="Montserrat" w:hAnsi="Montserrat" w:cs="Montserrat"/>
          <w:sz w:val="22"/>
          <w:szCs w:val="22"/>
        </w:rPr>
        <w:t>Se recomendó por parte del Subcomité analizar en el marco de los estudios de Resiliencia, escenarios de estrés y eventos HILP (salida prolongada de plantas junto con un fenómeno de El Niño fuerte y prolongado).</w:t>
      </w:r>
    </w:p>
    <w:p w14:paraId="69F4739E" w14:textId="77777777" w:rsidR="001034A3" w:rsidRDefault="001034A3">
      <w:pPr>
        <w:ind w:left="1440"/>
        <w:jc w:val="both"/>
        <w:rPr>
          <w:rFonts w:ascii="Montserrat" w:eastAsia="Montserrat" w:hAnsi="Montserrat" w:cs="Montserrat"/>
          <w:sz w:val="22"/>
          <w:szCs w:val="22"/>
        </w:rPr>
      </w:pPr>
    </w:p>
    <w:p w14:paraId="62046D55" w14:textId="77777777" w:rsidR="001034A3" w:rsidRDefault="00CB13DA">
      <w:pPr>
        <w:numPr>
          <w:ilvl w:val="0"/>
          <w:numId w:val="4"/>
        </w:numPr>
        <w:jc w:val="both"/>
        <w:rPr>
          <w:rFonts w:ascii="Montserrat" w:eastAsia="Montserrat" w:hAnsi="Montserrat" w:cs="Montserrat"/>
          <w:sz w:val="22"/>
          <w:szCs w:val="22"/>
        </w:rPr>
      </w:pPr>
      <w:r>
        <w:rPr>
          <w:rFonts w:ascii="Montserrat" w:eastAsia="Montserrat" w:hAnsi="Montserrat" w:cs="Montserrat"/>
          <w:sz w:val="22"/>
          <w:szCs w:val="22"/>
        </w:rPr>
        <w:t xml:space="preserve">Se presentó por parte del CND el panorama energético de mediano plazo bajo diferentes escenarios. Para el caso que considera solamente la generación con Obligaciones de Energía en Firme-OEF y un atraso simultáneo de un (1) año en su Fecha de Entrada en Operación-FPO, los niveles de generación térmica desde ya son superiores a 85 GWh-día, que es consistente con lo que está pasando en el Sistema actualmente.        </w:t>
      </w:r>
    </w:p>
    <w:p w14:paraId="5EE33629" w14:textId="77777777" w:rsidR="001034A3" w:rsidRDefault="001034A3">
      <w:pPr>
        <w:ind w:left="1440"/>
        <w:jc w:val="both"/>
        <w:rPr>
          <w:rFonts w:ascii="Montserrat" w:eastAsia="Montserrat" w:hAnsi="Montserrat" w:cs="Montserrat"/>
          <w:sz w:val="22"/>
          <w:szCs w:val="22"/>
        </w:rPr>
      </w:pPr>
    </w:p>
    <w:p w14:paraId="4DA1AC65" w14:textId="77777777" w:rsidR="001034A3" w:rsidRDefault="00CB13DA">
      <w:pPr>
        <w:numPr>
          <w:ilvl w:val="0"/>
          <w:numId w:val="4"/>
        </w:numPr>
        <w:jc w:val="both"/>
        <w:rPr>
          <w:rFonts w:ascii="Montserrat" w:eastAsia="Montserrat" w:hAnsi="Montserrat" w:cs="Montserrat"/>
          <w:sz w:val="22"/>
          <w:szCs w:val="22"/>
        </w:rPr>
      </w:pPr>
      <w:r>
        <w:rPr>
          <w:rFonts w:ascii="Montserrat" w:eastAsia="Montserrat" w:hAnsi="Montserrat" w:cs="Montserrat"/>
          <w:sz w:val="22"/>
          <w:szCs w:val="22"/>
        </w:rPr>
        <w:t>El CNO sugirió al CND retomar los análisis de potencia, como se hizo en el fenómeno de El Niño 2015-2016. XM comentó que lo validará.</w:t>
      </w:r>
    </w:p>
    <w:p w14:paraId="4E5F6EF0" w14:textId="77777777" w:rsidR="001034A3" w:rsidRDefault="001034A3">
      <w:pPr>
        <w:ind w:left="1440"/>
        <w:jc w:val="both"/>
        <w:rPr>
          <w:rFonts w:ascii="Montserrat" w:eastAsia="Montserrat" w:hAnsi="Montserrat" w:cs="Montserrat"/>
          <w:sz w:val="22"/>
          <w:szCs w:val="22"/>
        </w:rPr>
      </w:pPr>
    </w:p>
    <w:p w14:paraId="3E2FDBA2" w14:textId="77777777" w:rsidR="001034A3" w:rsidRDefault="00CB13DA">
      <w:pPr>
        <w:numPr>
          <w:ilvl w:val="0"/>
          <w:numId w:val="4"/>
        </w:numPr>
        <w:jc w:val="both"/>
        <w:rPr>
          <w:rFonts w:ascii="Montserrat" w:eastAsia="Montserrat" w:hAnsi="Montserrat" w:cs="Montserrat"/>
          <w:sz w:val="22"/>
          <w:szCs w:val="22"/>
        </w:rPr>
      </w:pPr>
      <w:r>
        <w:rPr>
          <w:rFonts w:ascii="Montserrat" w:eastAsia="Montserrat" w:hAnsi="Montserrat" w:cs="Montserrat"/>
          <w:sz w:val="22"/>
          <w:szCs w:val="22"/>
        </w:rPr>
        <w:t>El desbalance energético actual contemplado en los análisis energéticos es de 7.29 GWh-día, valor obtenido a partir de la metodología CND con información de los últimos 6 años. El CND propuso contemplar en las simulaciones un desbalance de 9.7 GWh-día, lo anterior debido al comportamiento de dicho parámetro durante el último año, donde en algunos instantes el desbalance positivo ha sido mayor a 20 GWh-día.</w:t>
      </w:r>
    </w:p>
    <w:p w14:paraId="4D09A5A6" w14:textId="77777777" w:rsidR="001034A3" w:rsidRDefault="001034A3">
      <w:pPr>
        <w:ind w:left="1440"/>
        <w:jc w:val="both"/>
        <w:rPr>
          <w:rFonts w:ascii="Montserrat" w:eastAsia="Montserrat" w:hAnsi="Montserrat" w:cs="Montserrat"/>
          <w:sz w:val="22"/>
          <w:szCs w:val="22"/>
        </w:rPr>
      </w:pPr>
    </w:p>
    <w:p w14:paraId="0624BC4E" w14:textId="4B1265AC" w:rsidR="001034A3" w:rsidRDefault="00CB13DA">
      <w:pPr>
        <w:ind w:left="1440"/>
        <w:jc w:val="both"/>
        <w:rPr>
          <w:rFonts w:ascii="Montserrat" w:eastAsia="Montserrat" w:hAnsi="Montserrat" w:cs="Montserrat"/>
          <w:sz w:val="22"/>
          <w:szCs w:val="22"/>
        </w:rPr>
      </w:pPr>
      <w:r>
        <w:rPr>
          <w:rFonts w:ascii="Montserrat" w:eastAsia="Montserrat" w:hAnsi="Montserrat" w:cs="Montserrat"/>
          <w:sz w:val="22"/>
          <w:szCs w:val="22"/>
        </w:rPr>
        <w:lastRenderedPageBreak/>
        <w:t xml:space="preserve">Al respecto, el 30 de octubre del año en curso el Subcomité se reunió para analizar los desbalances energéticos, y definir los supuestos para construir la senda de verano del CNO en el marco del Estatuto para Situaciones de Riesgo de Desabastecimiento. Se acordó establecer la senda de verano a partir de una simulación determinística de la operación del SIN (hidrología 2015-2016), el escenario de demanda referenciado previamente, la condición real del embalse del SIN al momento de realizar las </w:t>
      </w:r>
      <w:r w:rsidR="00B33681">
        <w:rPr>
          <w:rFonts w:ascii="Montserrat" w:eastAsia="Montserrat" w:hAnsi="Montserrat" w:cs="Montserrat"/>
          <w:sz w:val="22"/>
          <w:szCs w:val="22"/>
        </w:rPr>
        <w:t>simulaciones, y</w:t>
      </w:r>
      <w:r>
        <w:rPr>
          <w:rFonts w:ascii="Montserrat" w:eastAsia="Montserrat" w:hAnsi="Montserrat" w:cs="Montserrat"/>
          <w:sz w:val="22"/>
          <w:szCs w:val="22"/>
        </w:rPr>
        <w:t xml:space="preserve"> considerar un desbalance energético de 9.7 GWh-día. </w:t>
      </w:r>
    </w:p>
    <w:p w14:paraId="4A58BE7F" w14:textId="77777777" w:rsidR="001034A3" w:rsidRDefault="001034A3">
      <w:pPr>
        <w:ind w:left="1440"/>
        <w:jc w:val="both"/>
        <w:rPr>
          <w:rFonts w:ascii="Montserrat" w:eastAsia="Montserrat" w:hAnsi="Montserrat" w:cs="Montserrat"/>
          <w:sz w:val="22"/>
          <w:szCs w:val="22"/>
        </w:rPr>
      </w:pPr>
    </w:p>
    <w:p w14:paraId="4990F6E3" w14:textId="77777777" w:rsidR="001034A3" w:rsidRDefault="00CB13DA">
      <w:pPr>
        <w:ind w:left="1440"/>
        <w:jc w:val="both"/>
        <w:rPr>
          <w:rFonts w:ascii="Montserrat" w:eastAsia="Montserrat" w:hAnsi="Montserrat" w:cs="Montserrat"/>
          <w:sz w:val="22"/>
          <w:szCs w:val="22"/>
        </w:rPr>
      </w:pPr>
      <w:r>
        <w:rPr>
          <w:rFonts w:ascii="Montserrat" w:eastAsia="Montserrat" w:hAnsi="Montserrat" w:cs="Montserrat"/>
          <w:sz w:val="22"/>
          <w:szCs w:val="22"/>
        </w:rPr>
        <w:t>Finalmente, se recomendó al SURER revisar las posibles razones del aumento en el último año de dicho desbalance, para descartar cualquier eventualidad que pueda estar alterando el cálculo.</w:t>
      </w:r>
    </w:p>
    <w:p w14:paraId="595C39C1" w14:textId="77777777" w:rsidR="001034A3" w:rsidRDefault="00CB13DA">
      <w:pPr>
        <w:ind w:left="1440"/>
        <w:jc w:val="both"/>
        <w:rPr>
          <w:rFonts w:ascii="Montserrat" w:eastAsia="Montserrat" w:hAnsi="Montserrat" w:cs="Montserrat"/>
          <w:sz w:val="22"/>
          <w:szCs w:val="22"/>
        </w:rPr>
      </w:pPr>
      <w:r>
        <w:rPr>
          <w:rFonts w:ascii="Montserrat" w:eastAsia="Montserrat" w:hAnsi="Montserrat" w:cs="Montserrat"/>
          <w:sz w:val="22"/>
          <w:szCs w:val="22"/>
        </w:rPr>
        <w:t xml:space="preserve">    </w:t>
      </w:r>
    </w:p>
    <w:p w14:paraId="42209268" w14:textId="77777777" w:rsidR="001034A3" w:rsidRDefault="00CB13DA">
      <w:pPr>
        <w:ind w:firstLine="720"/>
        <w:jc w:val="both"/>
        <w:rPr>
          <w:rFonts w:ascii="Montserrat" w:eastAsia="Montserrat" w:hAnsi="Montserrat" w:cs="Montserrat"/>
          <w:sz w:val="22"/>
          <w:szCs w:val="22"/>
        </w:rPr>
      </w:pPr>
      <w:r>
        <w:rPr>
          <w:rFonts w:ascii="Montserrat" w:eastAsia="Montserrat" w:hAnsi="Montserrat" w:cs="Montserrat"/>
          <w:sz w:val="22"/>
          <w:szCs w:val="22"/>
          <w:u w:val="single"/>
        </w:rPr>
        <w:t>Subcomité de Plantas-SP</w:t>
      </w:r>
      <w:r>
        <w:rPr>
          <w:rFonts w:ascii="Montserrat" w:eastAsia="Montserrat" w:hAnsi="Montserrat" w:cs="Montserrat"/>
          <w:sz w:val="22"/>
          <w:szCs w:val="22"/>
        </w:rPr>
        <w:t>:</w:t>
      </w:r>
    </w:p>
    <w:p w14:paraId="769D6BD5" w14:textId="77777777" w:rsidR="001034A3" w:rsidRDefault="001034A3">
      <w:pPr>
        <w:ind w:left="1440"/>
        <w:jc w:val="both"/>
        <w:rPr>
          <w:rFonts w:ascii="Montserrat" w:eastAsia="Montserrat" w:hAnsi="Montserrat" w:cs="Montserrat"/>
          <w:sz w:val="22"/>
          <w:szCs w:val="22"/>
        </w:rPr>
      </w:pPr>
    </w:p>
    <w:p w14:paraId="103EB23C" w14:textId="1550E9EA" w:rsidR="001034A3" w:rsidRDefault="00CB13DA">
      <w:pPr>
        <w:numPr>
          <w:ilvl w:val="0"/>
          <w:numId w:val="4"/>
        </w:numPr>
        <w:jc w:val="both"/>
        <w:rPr>
          <w:rFonts w:ascii="Montserrat" w:eastAsia="Montserrat" w:hAnsi="Montserrat" w:cs="Montserrat"/>
          <w:sz w:val="22"/>
          <w:szCs w:val="22"/>
        </w:rPr>
      </w:pPr>
      <w:r>
        <w:rPr>
          <w:rFonts w:ascii="Montserrat" w:eastAsia="Montserrat" w:hAnsi="Montserrat" w:cs="Montserrat"/>
          <w:sz w:val="22"/>
          <w:szCs w:val="22"/>
        </w:rPr>
        <w:t xml:space="preserve">Sobre las rampas de generación de las plantas térmicas del Acuerdo 1670, modelo 1, cada uno de los agentes revisaron sus parámetros técnicos, dado que el CND presentó la interpretación de dichas rampas de descenso. Los agentes socializaron sus revisiones a partir de dicho entendimiento común y no manifestaron la </w:t>
      </w:r>
      <w:r w:rsidR="00B33681">
        <w:rPr>
          <w:rFonts w:ascii="Montserrat" w:eastAsia="Montserrat" w:hAnsi="Montserrat" w:cs="Montserrat"/>
          <w:sz w:val="22"/>
          <w:szCs w:val="22"/>
        </w:rPr>
        <w:t>violación</w:t>
      </w:r>
      <w:r>
        <w:rPr>
          <w:rFonts w:ascii="Montserrat" w:eastAsia="Montserrat" w:hAnsi="Montserrat" w:cs="Montserrat"/>
          <w:sz w:val="22"/>
          <w:szCs w:val="22"/>
        </w:rPr>
        <w:t xml:space="preserve"> de parámetros técnicos. En este sentido, está en consulta para los miembros del SP la propuesta de ajuste de los Anexos 1, 2 y 3 del referenciado Acuerdo.</w:t>
      </w:r>
    </w:p>
    <w:p w14:paraId="504851FB" w14:textId="77777777" w:rsidR="001034A3" w:rsidRDefault="001034A3">
      <w:pPr>
        <w:ind w:left="1440"/>
        <w:jc w:val="both"/>
        <w:rPr>
          <w:rFonts w:ascii="Montserrat" w:eastAsia="Montserrat" w:hAnsi="Montserrat" w:cs="Montserrat"/>
          <w:sz w:val="22"/>
          <w:szCs w:val="22"/>
        </w:rPr>
      </w:pPr>
    </w:p>
    <w:p w14:paraId="017DEE24" w14:textId="77777777" w:rsidR="001034A3" w:rsidRDefault="00CB13DA">
      <w:pPr>
        <w:numPr>
          <w:ilvl w:val="0"/>
          <w:numId w:val="4"/>
        </w:numPr>
        <w:jc w:val="both"/>
        <w:rPr>
          <w:rFonts w:ascii="Montserrat" w:eastAsia="Montserrat" w:hAnsi="Montserrat" w:cs="Montserrat"/>
          <w:sz w:val="22"/>
          <w:szCs w:val="22"/>
        </w:rPr>
      </w:pPr>
      <w:r>
        <w:rPr>
          <w:rFonts w:ascii="Montserrat" w:eastAsia="Montserrat" w:hAnsi="Montserrat" w:cs="Montserrat"/>
          <w:sz w:val="22"/>
          <w:szCs w:val="22"/>
        </w:rPr>
        <w:t xml:space="preserve">En el Comité de Operación-CO el Subcomité de Plantas-SP presentó sus posiciones sobre la necesidad de definir o no un procedimiento auditado para determinar la Capacidad Efectiva Neta-CEN de las plantas hidroeléctricas. Todos los miembros del CO, exceptuando al CND, establecieron que con la información disponible no es necesario auditar este procedimiento </w:t>
      </w:r>
    </w:p>
    <w:p w14:paraId="57259A64" w14:textId="77777777" w:rsidR="001034A3" w:rsidRDefault="001034A3">
      <w:pPr>
        <w:jc w:val="both"/>
        <w:rPr>
          <w:rFonts w:ascii="Montserrat" w:eastAsia="Montserrat" w:hAnsi="Montserrat" w:cs="Montserrat"/>
          <w:sz w:val="22"/>
          <w:szCs w:val="22"/>
        </w:rPr>
      </w:pPr>
    </w:p>
    <w:p w14:paraId="58A0DAD3" w14:textId="77777777" w:rsidR="001034A3" w:rsidRDefault="00CB13DA">
      <w:pPr>
        <w:numPr>
          <w:ilvl w:val="0"/>
          <w:numId w:val="5"/>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El 20 de octubre del año en curso se realizó una nueva reunión de seguimiento del área Caribe. En ella el CND presentó el estado eléctrico de la red, los Operadores de Red AFINIA y AIR-E el estado de las medidas de mitigación, y se socializó por parte del Consejo el Plan de Acción sugerido a MINENERGÍA para su gestión y gerenciamiento. </w:t>
      </w:r>
    </w:p>
    <w:p w14:paraId="2DF7B68E" w14:textId="77777777" w:rsidR="001034A3" w:rsidRDefault="001034A3">
      <w:pPr>
        <w:pBdr>
          <w:top w:val="nil"/>
          <w:left w:val="nil"/>
          <w:bottom w:val="nil"/>
          <w:right w:val="nil"/>
          <w:between w:val="nil"/>
        </w:pBdr>
        <w:ind w:left="720"/>
        <w:jc w:val="both"/>
        <w:rPr>
          <w:rFonts w:ascii="Montserrat" w:eastAsia="Montserrat" w:hAnsi="Montserrat" w:cs="Montserrat"/>
          <w:sz w:val="22"/>
          <w:szCs w:val="22"/>
        </w:rPr>
      </w:pPr>
    </w:p>
    <w:p w14:paraId="132340A0" w14:textId="77777777" w:rsidR="001034A3" w:rsidRDefault="00CB13DA">
      <w:pPr>
        <w:numPr>
          <w:ilvl w:val="0"/>
          <w:numId w:val="5"/>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El 27 de octubre del año en curso se presentaron por parte del CND los informes de Planeamiento Operativo Eléctrico de Mediano y Largo Plazo, IPOEMP e IPOELP. De estos se destacan:</w:t>
      </w:r>
    </w:p>
    <w:p w14:paraId="4A730833" w14:textId="77777777" w:rsidR="001034A3" w:rsidRDefault="001034A3">
      <w:pPr>
        <w:pBdr>
          <w:top w:val="nil"/>
          <w:left w:val="nil"/>
          <w:bottom w:val="nil"/>
          <w:right w:val="nil"/>
          <w:between w:val="nil"/>
        </w:pBdr>
        <w:ind w:left="720"/>
        <w:jc w:val="both"/>
        <w:rPr>
          <w:rFonts w:ascii="Montserrat" w:eastAsia="Montserrat" w:hAnsi="Montserrat" w:cs="Montserrat"/>
          <w:sz w:val="22"/>
          <w:szCs w:val="22"/>
        </w:rPr>
      </w:pPr>
    </w:p>
    <w:p w14:paraId="3A0E70B5" w14:textId="77777777" w:rsidR="001034A3" w:rsidRDefault="00CB13DA">
      <w:pPr>
        <w:numPr>
          <w:ilvl w:val="0"/>
          <w:numId w:val="3"/>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El SIN actualmente tiene 153 límites de transferencia (cortes), de los cuales 94 son de alerta y 59 de emergencia. Adicionalmente, 63 subestaciones del STN y STR tienen un nivel de cortocircuito superior a la capacidad de interrupción de sus equipos.</w:t>
      </w:r>
    </w:p>
    <w:p w14:paraId="5706A3F9" w14:textId="77777777" w:rsidR="001034A3" w:rsidRDefault="001034A3">
      <w:pPr>
        <w:pBdr>
          <w:top w:val="nil"/>
          <w:left w:val="nil"/>
          <w:bottom w:val="nil"/>
          <w:right w:val="nil"/>
          <w:between w:val="nil"/>
        </w:pBdr>
        <w:ind w:left="1440"/>
        <w:jc w:val="both"/>
        <w:rPr>
          <w:rFonts w:ascii="Montserrat" w:eastAsia="Montserrat" w:hAnsi="Montserrat" w:cs="Montserrat"/>
          <w:sz w:val="22"/>
          <w:szCs w:val="22"/>
        </w:rPr>
      </w:pPr>
    </w:p>
    <w:p w14:paraId="34CD6797" w14:textId="77777777" w:rsidR="001034A3" w:rsidRDefault="00CB13DA">
      <w:pPr>
        <w:numPr>
          <w:ilvl w:val="0"/>
          <w:numId w:val="3"/>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Durante el 2023 se han dado 133 instrucciones de racionamiento en el área Caribe por agotamiento de su red del STR.</w:t>
      </w:r>
    </w:p>
    <w:p w14:paraId="470BE76B" w14:textId="77777777" w:rsidR="001034A3" w:rsidRDefault="001034A3">
      <w:pPr>
        <w:pBdr>
          <w:top w:val="nil"/>
          <w:left w:val="nil"/>
          <w:bottom w:val="nil"/>
          <w:right w:val="nil"/>
          <w:between w:val="nil"/>
        </w:pBdr>
        <w:ind w:left="1440"/>
        <w:jc w:val="both"/>
        <w:rPr>
          <w:rFonts w:ascii="Montserrat" w:eastAsia="Montserrat" w:hAnsi="Montserrat" w:cs="Montserrat"/>
          <w:sz w:val="22"/>
          <w:szCs w:val="22"/>
        </w:rPr>
      </w:pPr>
    </w:p>
    <w:p w14:paraId="2EB9CC5D" w14:textId="6C9619E9" w:rsidR="001034A3" w:rsidRPr="001F36C7" w:rsidRDefault="00CB13DA">
      <w:pPr>
        <w:numPr>
          <w:ilvl w:val="0"/>
          <w:numId w:val="3"/>
        </w:numPr>
        <w:pBdr>
          <w:top w:val="nil"/>
          <w:left w:val="nil"/>
          <w:bottom w:val="nil"/>
          <w:right w:val="nil"/>
          <w:between w:val="nil"/>
        </w:pBdr>
        <w:jc w:val="both"/>
        <w:rPr>
          <w:rFonts w:ascii="Montserrat" w:eastAsia="Montserrat" w:hAnsi="Montserrat" w:cs="Montserrat"/>
          <w:sz w:val="22"/>
          <w:szCs w:val="22"/>
        </w:rPr>
      </w:pPr>
      <w:r w:rsidRPr="001F36C7">
        <w:rPr>
          <w:rFonts w:ascii="Montserrat" w:eastAsia="Montserrat" w:hAnsi="Montserrat" w:cs="Montserrat"/>
          <w:sz w:val="22"/>
          <w:szCs w:val="22"/>
        </w:rPr>
        <w:t>Dada la fecha de entrada en operación de los Sistemas de Almacenamiento a través de Baterías-SAEB en la subárea Atlántico</w:t>
      </w:r>
      <w:r w:rsidR="00F15D89" w:rsidRPr="001F36C7">
        <w:rPr>
          <w:rFonts w:ascii="Montserrat" w:eastAsia="Montserrat" w:hAnsi="Montserrat" w:cs="Montserrat"/>
          <w:sz w:val="22"/>
          <w:szCs w:val="22"/>
        </w:rPr>
        <w:t xml:space="preserve"> y la puesta en operación del proyecto Atlántico STR</w:t>
      </w:r>
      <w:r w:rsidRPr="001F36C7">
        <w:rPr>
          <w:rFonts w:ascii="Montserrat" w:eastAsia="Montserrat" w:hAnsi="Montserrat" w:cs="Montserrat"/>
          <w:sz w:val="22"/>
          <w:szCs w:val="22"/>
        </w:rPr>
        <w:t xml:space="preserve">, </w:t>
      </w:r>
      <w:r w:rsidR="001F36C7" w:rsidRPr="002B5ADA">
        <w:rPr>
          <w:rFonts w:ascii="Montserrat" w:eastAsia="Montserrat" w:hAnsi="Montserrat" w:cs="Montserrat"/>
          <w:sz w:val="22"/>
          <w:szCs w:val="22"/>
        </w:rPr>
        <w:t>el impacto para la operación de la subárea será menor al estimado inicialmente.</w:t>
      </w:r>
    </w:p>
    <w:p w14:paraId="28E1D31E" w14:textId="77777777" w:rsidR="001034A3" w:rsidRDefault="001034A3">
      <w:pPr>
        <w:pBdr>
          <w:top w:val="nil"/>
          <w:left w:val="nil"/>
          <w:bottom w:val="nil"/>
          <w:right w:val="nil"/>
          <w:between w:val="nil"/>
        </w:pBdr>
        <w:ind w:left="1440"/>
        <w:jc w:val="both"/>
        <w:rPr>
          <w:rFonts w:ascii="Montserrat" w:eastAsia="Montserrat" w:hAnsi="Montserrat" w:cs="Montserrat"/>
          <w:sz w:val="22"/>
          <w:szCs w:val="22"/>
        </w:rPr>
      </w:pPr>
    </w:p>
    <w:p w14:paraId="7A6CFCBD" w14:textId="77777777" w:rsidR="001034A3" w:rsidRDefault="00CB13DA">
      <w:pPr>
        <w:numPr>
          <w:ilvl w:val="0"/>
          <w:numId w:val="3"/>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Nuevamente se identifica que la entrada parcial de los proyectos STN/STR puede activar o incrementar las restricciones eléctricas y operativas en algunas subáreas del SIN.     </w:t>
      </w:r>
    </w:p>
    <w:p w14:paraId="4228CC81" w14:textId="77777777" w:rsidR="001034A3" w:rsidRDefault="001034A3">
      <w:pPr>
        <w:pBdr>
          <w:top w:val="nil"/>
          <w:left w:val="nil"/>
          <w:bottom w:val="nil"/>
          <w:right w:val="nil"/>
          <w:between w:val="nil"/>
        </w:pBdr>
        <w:jc w:val="both"/>
        <w:rPr>
          <w:rFonts w:ascii="Montserrat" w:eastAsia="Montserrat" w:hAnsi="Montserrat" w:cs="Montserrat"/>
          <w:sz w:val="22"/>
          <w:szCs w:val="22"/>
        </w:rPr>
      </w:pPr>
    </w:p>
    <w:p w14:paraId="323A55CB" w14:textId="77777777" w:rsidR="001034A3" w:rsidRDefault="00CB13DA">
      <w:pPr>
        <w:numPr>
          <w:ilvl w:val="0"/>
          <w:numId w:val="3"/>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Los pesos de algunas unidades equivalentes del área Caribe han disminuido, ello debido al agotamiento de la red del STR (caso Termoguajira).</w:t>
      </w:r>
    </w:p>
    <w:p w14:paraId="02FA19ED" w14:textId="77777777" w:rsidR="001034A3" w:rsidRDefault="001034A3">
      <w:pPr>
        <w:pBdr>
          <w:top w:val="nil"/>
          <w:left w:val="nil"/>
          <w:bottom w:val="nil"/>
          <w:right w:val="nil"/>
          <w:between w:val="nil"/>
        </w:pBdr>
        <w:ind w:left="1440"/>
        <w:jc w:val="both"/>
        <w:rPr>
          <w:rFonts w:ascii="Montserrat" w:eastAsia="Montserrat" w:hAnsi="Montserrat" w:cs="Montserrat"/>
          <w:sz w:val="22"/>
          <w:szCs w:val="22"/>
        </w:rPr>
      </w:pPr>
    </w:p>
    <w:p w14:paraId="4FC15005" w14:textId="684F2149" w:rsidR="001034A3" w:rsidRDefault="00CB13DA">
      <w:pPr>
        <w:numPr>
          <w:ilvl w:val="0"/>
          <w:numId w:val="3"/>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En las subáreas META y NORDESTE-CASANARE se identifican atrapamientos constantes de generación, esto se debe a las conexiones aprobadas sin que</w:t>
      </w:r>
      <w:r w:rsidR="00B33681">
        <w:rPr>
          <w:rFonts w:ascii="Montserrat" w:eastAsia="Montserrat" w:hAnsi="Montserrat" w:cs="Montserrat"/>
          <w:sz w:val="22"/>
          <w:szCs w:val="22"/>
        </w:rPr>
        <w:t xml:space="preserve"> </w:t>
      </w:r>
      <w:r>
        <w:rPr>
          <w:rFonts w:ascii="Montserrat" w:eastAsia="Montserrat" w:hAnsi="Montserrat" w:cs="Montserrat"/>
          <w:sz w:val="22"/>
          <w:szCs w:val="22"/>
        </w:rPr>
        <w:t>estén condicionadas al desarrollo de nuevos proyectos de red. En este sentido, se recomendó nuevamente al CND presentar de forma explícita las limitaciones a la producción por la conexión de nuevas plantas de generación.</w:t>
      </w:r>
    </w:p>
    <w:p w14:paraId="4627AF21" w14:textId="77777777" w:rsidR="001034A3" w:rsidRDefault="001034A3">
      <w:pPr>
        <w:pBdr>
          <w:top w:val="nil"/>
          <w:left w:val="nil"/>
          <w:bottom w:val="nil"/>
          <w:right w:val="nil"/>
          <w:between w:val="nil"/>
        </w:pBdr>
        <w:ind w:left="1440"/>
        <w:jc w:val="both"/>
        <w:rPr>
          <w:rFonts w:ascii="Montserrat" w:eastAsia="Montserrat" w:hAnsi="Montserrat" w:cs="Montserrat"/>
          <w:sz w:val="22"/>
          <w:szCs w:val="22"/>
        </w:rPr>
      </w:pPr>
    </w:p>
    <w:p w14:paraId="7B765143" w14:textId="77777777" w:rsidR="001034A3" w:rsidRDefault="00CB13DA">
      <w:pPr>
        <w:numPr>
          <w:ilvl w:val="0"/>
          <w:numId w:val="3"/>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Para el largo plazo, se identifican 173 restricciones que no tienen proyectos de expansión definidos por parte de los Operadores de Red y la UPME.      </w:t>
      </w:r>
    </w:p>
    <w:p w14:paraId="05187419" w14:textId="77777777" w:rsidR="001034A3" w:rsidRDefault="001034A3">
      <w:pPr>
        <w:pBdr>
          <w:top w:val="nil"/>
          <w:left w:val="nil"/>
          <w:bottom w:val="nil"/>
          <w:right w:val="nil"/>
          <w:between w:val="nil"/>
        </w:pBdr>
        <w:ind w:left="720"/>
        <w:jc w:val="both"/>
        <w:rPr>
          <w:rFonts w:ascii="Montserrat" w:eastAsia="Montserrat" w:hAnsi="Montserrat" w:cs="Montserrat"/>
          <w:sz w:val="22"/>
          <w:szCs w:val="22"/>
        </w:rPr>
      </w:pPr>
    </w:p>
    <w:p w14:paraId="162AA732" w14:textId="77777777" w:rsidR="001034A3" w:rsidRDefault="00CB13DA">
      <w:pPr>
        <w:numPr>
          <w:ilvl w:val="0"/>
          <w:numId w:val="5"/>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Debido a las comunicaciones enviadas a MINENERGIA y la Gobernación del Huila por ENEL sobre el desembalsamiento de Betania y Quimbo, se expidió la Resolución MME 40619 de 2023, “</w:t>
      </w:r>
      <w:r>
        <w:rPr>
          <w:rFonts w:ascii="Montserrat" w:eastAsia="Montserrat" w:hAnsi="Montserrat" w:cs="Montserrat"/>
          <w:i/>
          <w:sz w:val="22"/>
          <w:szCs w:val="22"/>
        </w:rPr>
        <w:t>por la cual se adoptan medidas transitorias para las exportaciones de electricidad durante el Fenómeno de El Niño 2023-2024</w:t>
      </w:r>
      <w:r>
        <w:rPr>
          <w:rFonts w:ascii="Montserrat" w:eastAsia="Montserrat" w:hAnsi="Montserrat" w:cs="Montserrat"/>
          <w:sz w:val="22"/>
          <w:szCs w:val="22"/>
        </w:rPr>
        <w:t>”.</w:t>
      </w:r>
    </w:p>
    <w:p w14:paraId="7D5CE0E8" w14:textId="77777777" w:rsidR="001034A3" w:rsidRDefault="001034A3">
      <w:pPr>
        <w:pBdr>
          <w:top w:val="nil"/>
          <w:left w:val="nil"/>
          <w:bottom w:val="nil"/>
          <w:right w:val="nil"/>
          <w:between w:val="nil"/>
        </w:pBdr>
        <w:ind w:left="720"/>
        <w:jc w:val="both"/>
        <w:rPr>
          <w:rFonts w:ascii="Montserrat" w:eastAsia="Montserrat" w:hAnsi="Montserrat" w:cs="Montserrat"/>
          <w:sz w:val="22"/>
          <w:szCs w:val="22"/>
        </w:rPr>
      </w:pPr>
    </w:p>
    <w:p w14:paraId="6F2D29E0" w14:textId="77777777" w:rsidR="001034A3" w:rsidRDefault="00CB13DA">
      <w:pPr>
        <w:numPr>
          <w:ilvl w:val="0"/>
          <w:numId w:val="5"/>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Se expidió la Resolución CREG 101 025, “</w:t>
      </w:r>
      <w:r>
        <w:rPr>
          <w:rFonts w:ascii="Montserrat" w:eastAsia="Montserrat" w:hAnsi="Montserrat" w:cs="Montserrat"/>
          <w:i/>
          <w:sz w:val="22"/>
          <w:szCs w:val="22"/>
        </w:rPr>
        <w:t>por la cual se establece la oportunidad para asignar las obligaciones de energía firme del Cargo por Confiabilidad de los ‎períodos comprendidos entre diciembre 1 de 2025 a noviembre ‎30 de 2026 y diciembre 1 de 2026 a noviembre 30 de 2027</w:t>
      </w:r>
      <w:r>
        <w:rPr>
          <w:rFonts w:ascii="Montserrat" w:eastAsia="Montserrat" w:hAnsi="Montserrat" w:cs="Montserrat"/>
          <w:sz w:val="22"/>
          <w:szCs w:val="22"/>
        </w:rPr>
        <w:t>”.</w:t>
      </w:r>
    </w:p>
    <w:p w14:paraId="32AC717C" w14:textId="77777777" w:rsidR="001034A3" w:rsidRDefault="001034A3">
      <w:pPr>
        <w:pBdr>
          <w:top w:val="nil"/>
          <w:left w:val="nil"/>
          <w:bottom w:val="nil"/>
          <w:right w:val="nil"/>
          <w:between w:val="nil"/>
        </w:pBdr>
        <w:ind w:left="720"/>
        <w:jc w:val="both"/>
        <w:rPr>
          <w:rFonts w:ascii="Montserrat" w:eastAsia="Montserrat" w:hAnsi="Montserrat" w:cs="Montserrat"/>
          <w:sz w:val="22"/>
          <w:szCs w:val="22"/>
        </w:rPr>
      </w:pPr>
    </w:p>
    <w:p w14:paraId="1C8A664F" w14:textId="77777777" w:rsidR="001034A3" w:rsidRDefault="00CB13DA">
      <w:pPr>
        <w:numPr>
          <w:ilvl w:val="0"/>
          <w:numId w:val="5"/>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Se expidió la Resolución CREG 101 027, “</w:t>
      </w:r>
      <w:r>
        <w:rPr>
          <w:rFonts w:ascii="Montserrat" w:eastAsia="Montserrat" w:hAnsi="Montserrat" w:cs="Montserrat"/>
          <w:i/>
          <w:sz w:val="22"/>
          <w:szCs w:val="22"/>
        </w:rPr>
        <w:t>por la cual se modifica parcialmente el ‎artículo 5 de la Resolución CREG 026 de 2014-Estatuto para situaciones de Riesgo de Desabastecimiento</w:t>
      </w:r>
      <w:r>
        <w:rPr>
          <w:rFonts w:ascii="Montserrat" w:eastAsia="Montserrat" w:hAnsi="Montserrat" w:cs="Montserrat"/>
          <w:sz w:val="22"/>
          <w:szCs w:val="22"/>
        </w:rPr>
        <w:t>”. En esta se plantean las condiciones que la CREG tendrá en cuenta para definir la condición inicial del embalse, de cara a la construcción de la senda de referencia del SIN.</w:t>
      </w:r>
    </w:p>
    <w:p w14:paraId="0483AA63" w14:textId="77777777" w:rsidR="001034A3" w:rsidRDefault="001034A3">
      <w:pPr>
        <w:pBdr>
          <w:top w:val="nil"/>
          <w:left w:val="nil"/>
          <w:bottom w:val="nil"/>
          <w:right w:val="nil"/>
          <w:between w:val="nil"/>
        </w:pBdr>
        <w:ind w:left="720"/>
        <w:jc w:val="both"/>
        <w:rPr>
          <w:rFonts w:ascii="Montserrat" w:eastAsia="Montserrat" w:hAnsi="Montserrat" w:cs="Montserrat"/>
          <w:sz w:val="22"/>
          <w:szCs w:val="22"/>
        </w:rPr>
      </w:pPr>
    </w:p>
    <w:p w14:paraId="4A2C4898" w14:textId="77777777" w:rsidR="001034A3" w:rsidRDefault="00CB13DA">
      <w:pPr>
        <w:numPr>
          <w:ilvl w:val="0"/>
          <w:numId w:val="5"/>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lastRenderedPageBreak/>
        <w:t>ACOLGEN informó al CNO que el Ministerio de Ambiente y Desarrollo Sostenible-MADS, en el marco del Consejo Nacional del Agua-CNA, ha invitado a dicho gremio para construir una nueva Guía de cálculo del caudal ambiental. También indicó que el MADS está haciendo cálculos piloto sobre algunas plantas, pero desconocen bajo que enfoque. El Consejo comentó que es fundamental el liderazgo de MINENERGIA y no tiene claro cómo será su participación en este ejercicio. Asimismo, indicó que llevará el tema al CACSSE.</w:t>
      </w:r>
    </w:p>
    <w:p w14:paraId="1FE9C4A4" w14:textId="77777777" w:rsidR="001034A3" w:rsidRDefault="001034A3">
      <w:pPr>
        <w:pBdr>
          <w:top w:val="nil"/>
          <w:left w:val="nil"/>
          <w:bottom w:val="nil"/>
          <w:right w:val="nil"/>
          <w:between w:val="nil"/>
        </w:pBdr>
        <w:ind w:left="720"/>
        <w:jc w:val="both"/>
        <w:rPr>
          <w:rFonts w:ascii="Montserrat" w:eastAsia="Montserrat" w:hAnsi="Montserrat" w:cs="Montserrat"/>
          <w:sz w:val="22"/>
          <w:szCs w:val="22"/>
        </w:rPr>
      </w:pPr>
    </w:p>
    <w:p w14:paraId="66297DC0" w14:textId="77777777" w:rsidR="001034A3" w:rsidRDefault="00CB13DA">
      <w:pPr>
        <w:pBdr>
          <w:top w:val="nil"/>
          <w:left w:val="nil"/>
          <w:bottom w:val="nil"/>
          <w:right w:val="nil"/>
          <w:between w:val="nil"/>
        </w:pBdr>
        <w:ind w:left="720"/>
        <w:jc w:val="both"/>
        <w:rPr>
          <w:rFonts w:ascii="Montserrat" w:eastAsia="Montserrat" w:hAnsi="Montserrat" w:cs="Montserrat"/>
          <w:sz w:val="22"/>
          <w:szCs w:val="22"/>
        </w:rPr>
      </w:pPr>
      <w:r>
        <w:rPr>
          <w:rFonts w:ascii="Montserrat" w:eastAsia="Montserrat" w:hAnsi="Montserrat" w:cs="Montserrat"/>
          <w:sz w:val="22"/>
          <w:szCs w:val="22"/>
        </w:rPr>
        <w:t>Al respecto, MINENERGIA aclaró que el tema lo están liderando conjuntamente con el MADS, que las mesas de trabajo que se están llevando a cabo con ACOLGEN no son vinculantes, y que entiende la importancia del grupo CNO-CND-UPME de cara a la evaluación futura de los impactos sistémicos de la guía.</w:t>
      </w:r>
    </w:p>
    <w:p w14:paraId="60CA151A" w14:textId="77777777" w:rsidR="001034A3" w:rsidRDefault="001034A3">
      <w:pPr>
        <w:pBdr>
          <w:top w:val="nil"/>
          <w:left w:val="nil"/>
          <w:bottom w:val="nil"/>
          <w:right w:val="nil"/>
          <w:between w:val="nil"/>
        </w:pBdr>
        <w:ind w:left="720"/>
        <w:jc w:val="both"/>
        <w:rPr>
          <w:rFonts w:ascii="Montserrat" w:eastAsia="Montserrat" w:hAnsi="Montserrat" w:cs="Montserrat"/>
          <w:sz w:val="22"/>
          <w:szCs w:val="22"/>
        </w:rPr>
      </w:pPr>
    </w:p>
    <w:p w14:paraId="439864EE" w14:textId="77777777" w:rsidR="001034A3" w:rsidRDefault="00CB13DA">
      <w:pPr>
        <w:numPr>
          <w:ilvl w:val="0"/>
          <w:numId w:val="5"/>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Generadora Termocentro indicó en comunicación dirigida al Consejo, que no tienen gas ni contratos en firme para el mediano plazo.</w:t>
      </w:r>
    </w:p>
    <w:p w14:paraId="4864DA2C" w14:textId="77777777" w:rsidR="001034A3" w:rsidRDefault="001034A3">
      <w:pPr>
        <w:pBdr>
          <w:top w:val="nil"/>
          <w:left w:val="nil"/>
          <w:bottom w:val="nil"/>
          <w:right w:val="nil"/>
          <w:between w:val="nil"/>
        </w:pBdr>
        <w:ind w:left="720"/>
        <w:jc w:val="both"/>
        <w:rPr>
          <w:rFonts w:ascii="Montserrat" w:eastAsia="Montserrat" w:hAnsi="Montserrat" w:cs="Montserrat"/>
          <w:sz w:val="22"/>
          <w:szCs w:val="22"/>
        </w:rPr>
      </w:pPr>
    </w:p>
    <w:p w14:paraId="6012B069" w14:textId="31938B02" w:rsidR="001034A3" w:rsidRDefault="00CB13DA">
      <w:pPr>
        <w:numPr>
          <w:ilvl w:val="0"/>
          <w:numId w:val="5"/>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El CND indicó en el Comité de Operación-CO que</w:t>
      </w:r>
      <w:r w:rsidR="001F36C7">
        <w:rPr>
          <w:rFonts w:ascii="Montserrat" w:eastAsia="Montserrat" w:hAnsi="Montserrat" w:cs="Montserrat"/>
          <w:sz w:val="22"/>
          <w:szCs w:val="22"/>
        </w:rPr>
        <w:t xml:space="preserve"> aún no ha finalizado los análisis del estudio de resiliencia, por lo que se acuerda retomar la matriz de riegos del sistema que se tenía previamente para su actualización.</w:t>
      </w:r>
    </w:p>
    <w:p w14:paraId="48069199" w14:textId="77777777" w:rsidR="001034A3" w:rsidRDefault="001034A3">
      <w:pPr>
        <w:pBdr>
          <w:top w:val="nil"/>
          <w:left w:val="nil"/>
          <w:bottom w:val="nil"/>
          <w:right w:val="nil"/>
          <w:between w:val="nil"/>
        </w:pBdr>
        <w:jc w:val="both"/>
        <w:rPr>
          <w:rFonts w:ascii="Montserrat" w:eastAsia="Montserrat" w:hAnsi="Montserrat" w:cs="Montserrat"/>
          <w:sz w:val="22"/>
          <w:szCs w:val="22"/>
        </w:rPr>
      </w:pPr>
    </w:p>
    <w:p w14:paraId="3F0C722C" w14:textId="77777777" w:rsidR="001034A3" w:rsidRDefault="00CB13DA">
      <w:pPr>
        <w:numPr>
          <w:ilvl w:val="0"/>
          <w:numId w:val="5"/>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DISPAC informó en el Comité de que ya recuperó 7 MVAr de compensación capacitiva a nivel del SDL, de los 12.5 MVAr que se comprometió como parte de las medidas de mitigación. Respecto al Esquema Suplementario de Protección del Sistema-ESPS, el Operador de Red-OR indicó que el estudio ya fue enviado al CND. Respecto al Plan de expansión, el OR comentó que sugirió a la UPME como proyecto estructural, un nuevo punto de inyección desde el STN para el departamento del Chocó.</w:t>
      </w:r>
    </w:p>
    <w:p w14:paraId="5B84E8C9" w14:textId="77777777" w:rsidR="001034A3" w:rsidRDefault="001034A3">
      <w:pPr>
        <w:pBdr>
          <w:top w:val="nil"/>
          <w:left w:val="nil"/>
          <w:bottom w:val="nil"/>
          <w:right w:val="nil"/>
          <w:between w:val="nil"/>
        </w:pBdr>
        <w:ind w:left="720"/>
        <w:jc w:val="both"/>
        <w:rPr>
          <w:rFonts w:ascii="Montserrat" w:eastAsia="Montserrat" w:hAnsi="Montserrat" w:cs="Montserrat"/>
          <w:sz w:val="22"/>
          <w:szCs w:val="22"/>
        </w:rPr>
      </w:pPr>
    </w:p>
    <w:p w14:paraId="14E348F4" w14:textId="77777777" w:rsidR="001034A3" w:rsidRDefault="00CB13DA">
      <w:pPr>
        <w:numPr>
          <w:ilvl w:val="0"/>
          <w:numId w:val="5"/>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En reunión con la CREG se presentaron las simulaciones que soportan el concepto CNO sobre la Resolución CREG 701 017, “</w:t>
      </w:r>
      <w:r>
        <w:rPr>
          <w:rFonts w:ascii="Montserrat" w:eastAsia="Montserrat" w:hAnsi="Montserrat" w:cs="Montserrat"/>
          <w:i/>
          <w:sz w:val="22"/>
          <w:szCs w:val="22"/>
        </w:rPr>
        <w:t>por la cual se modifica el numeral 4.2.4 del Anexo ‎General de la Resolución CREG 070 de 1998</w:t>
      </w:r>
      <w:r>
        <w:rPr>
          <w:rFonts w:ascii="Montserrat" w:eastAsia="Montserrat" w:hAnsi="Montserrat" w:cs="Montserrat"/>
          <w:sz w:val="22"/>
          <w:szCs w:val="22"/>
        </w:rPr>
        <w:t>”. Específicamente se sustentó a la Comisión porque en el STR el factor de potencia debería ser idealmente igual a 1.</w:t>
      </w:r>
    </w:p>
    <w:p w14:paraId="6E727BA0" w14:textId="77777777" w:rsidR="001034A3" w:rsidRDefault="001034A3">
      <w:pPr>
        <w:pBdr>
          <w:top w:val="nil"/>
          <w:left w:val="nil"/>
          <w:bottom w:val="nil"/>
          <w:right w:val="nil"/>
          <w:between w:val="nil"/>
        </w:pBdr>
        <w:ind w:left="720"/>
        <w:jc w:val="both"/>
        <w:rPr>
          <w:rFonts w:ascii="Montserrat" w:eastAsia="Montserrat" w:hAnsi="Montserrat" w:cs="Montserrat"/>
          <w:sz w:val="22"/>
          <w:szCs w:val="22"/>
        </w:rPr>
      </w:pPr>
    </w:p>
    <w:p w14:paraId="38FD91CD" w14:textId="77777777" w:rsidR="001034A3" w:rsidRDefault="00CB13DA">
      <w:pPr>
        <w:numPr>
          <w:ilvl w:val="0"/>
          <w:numId w:val="5"/>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El Comité de Transmisión-CT sugirió nuevamente al Comité de operación-CO, revisar la posibilidad de recomendarle a la CREG habilitar temporalmente las conexiones tipo “T”. Al respecto, el CO sugirió al CT elevar su solicitud directamente al Consejo. </w:t>
      </w:r>
    </w:p>
    <w:p w14:paraId="72CF35DE" w14:textId="77777777" w:rsidR="001034A3" w:rsidRDefault="001034A3">
      <w:pPr>
        <w:pBdr>
          <w:top w:val="nil"/>
          <w:left w:val="nil"/>
          <w:bottom w:val="nil"/>
          <w:right w:val="nil"/>
          <w:between w:val="nil"/>
        </w:pBdr>
        <w:ind w:left="720"/>
        <w:jc w:val="both"/>
        <w:rPr>
          <w:rFonts w:ascii="Montserrat" w:eastAsia="Montserrat" w:hAnsi="Montserrat" w:cs="Montserrat"/>
          <w:sz w:val="22"/>
          <w:szCs w:val="22"/>
        </w:rPr>
      </w:pPr>
    </w:p>
    <w:p w14:paraId="12528208" w14:textId="77777777" w:rsidR="001034A3" w:rsidRDefault="00CB13DA">
      <w:pPr>
        <w:numPr>
          <w:ilvl w:val="0"/>
          <w:numId w:val="5"/>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Continúa la revisión de la propuesta de acuerdo para reportar la información asociada al restablecimiento. CND indica que a la fecha han llegado observaciones de AIR-E, EPM, TRANSELCA y PROELECTRICA. </w:t>
      </w:r>
    </w:p>
    <w:p w14:paraId="02533478" w14:textId="77777777" w:rsidR="001034A3" w:rsidRDefault="001034A3">
      <w:pPr>
        <w:pBdr>
          <w:top w:val="nil"/>
          <w:left w:val="nil"/>
          <w:bottom w:val="nil"/>
          <w:right w:val="nil"/>
          <w:between w:val="nil"/>
        </w:pBdr>
        <w:ind w:left="720"/>
        <w:jc w:val="both"/>
        <w:rPr>
          <w:rFonts w:ascii="Montserrat" w:eastAsia="Montserrat" w:hAnsi="Montserrat" w:cs="Montserrat"/>
          <w:sz w:val="22"/>
          <w:szCs w:val="22"/>
        </w:rPr>
      </w:pPr>
    </w:p>
    <w:p w14:paraId="4D107E9D" w14:textId="77777777" w:rsidR="001034A3" w:rsidRDefault="00CB13DA">
      <w:pPr>
        <w:numPr>
          <w:ilvl w:val="0"/>
          <w:numId w:val="5"/>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lastRenderedPageBreak/>
        <w:t>Las horas de operación de las plantas térmicas se han incrementado, y esto ha generado preocupación en los generadores térmicos. Las plantas que están siendo utilizadas para soportar la exportación con líquidos hacia el Ecuador, por ejemplo, manifestaron en el Comité de Operación-CO que operar de manera permanente y con este tipo de combustibles incrementa su probabilidad de falla. Este análisis se puede extrapolar a las centrales que operan con Gas Natural.</w:t>
      </w:r>
    </w:p>
    <w:p w14:paraId="0CD62E86" w14:textId="77777777" w:rsidR="001034A3" w:rsidRDefault="001034A3">
      <w:pPr>
        <w:pBdr>
          <w:top w:val="nil"/>
          <w:left w:val="nil"/>
          <w:bottom w:val="nil"/>
          <w:right w:val="nil"/>
          <w:between w:val="nil"/>
        </w:pBdr>
        <w:ind w:left="720"/>
        <w:jc w:val="both"/>
        <w:rPr>
          <w:rFonts w:ascii="Montserrat" w:eastAsia="Montserrat" w:hAnsi="Montserrat" w:cs="Montserrat"/>
          <w:sz w:val="22"/>
          <w:szCs w:val="22"/>
        </w:rPr>
      </w:pPr>
    </w:p>
    <w:p w14:paraId="0FC37ADD" w14:textId="77777777" w:rsidR="001034A3" w:rsidRDefault="00CB13DA">
      <w:pPr>
        <w:numPr>
          <w:ilvl w:val="0"/>
          <w:numId w:val="5"/>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La UPME publicó el documento soporte de la proyección de los precios de los combustibles líquidos, gas y carbón mineral.</w:t>
      </w:r>
    </w:p>
    <w:p w14:paraId="594D1BE4" w14:textId="77777777" w:rsidR="001034A3" w:rsidRDefault="001034A3">
      <w:pPr>
        <w:pBdr>
          <w:top w:val="nil"/>
          <w:left w:val="nil"/>
          <w:bottom w:val="nil"/>
          <w:right w:val="nil"/>
          <w:between w:val="nil"/>
        </w:pBdr>
        <w:ind w:left="720"/>
        <w:jc w:val="both"/>
        <w:rPr>
          <w:rFonts w:ascii="Montserrat" w:eastAsia="Montserrat" w:hAnsi="Montserrat" w:cs="Montserrat"/>
          <w:sz w:val="22"/>
          <w:szCs w:val="22"/>
        </w:rPr>
      </w:pPr>
    </w:p>
    <w:p w14:paraId="7E33EF16" w14:textId="77777777" w:rsidR="001034A3" w:rsidRDefault="00CB13DA">
      <w:pPr>
        <w:numPr>
          <w:ilvl w:val="0"/>
          <w:numId w:val="5"/>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Se recibió copia de la carta enviada por ISAGEN a la CREG, sobre su solicitud de regulación específica para las plantas de generación basadas en inversores que se encuentran inmersas en una frontera embebida. Específicamente se solicita por parte del generador definir el punto de cumplimiento de los requisitos de control de tensión durante la transición de la Resolución CREG 229 de 2021.</w:t>
      </w:r>
    </w:p>
    <w:p w14:paraId="29682976" w14:textId="77777777" w:rsidR="001034A3" w:rsidRDefault="001034A3">
      <w:pPr>
        <w:pBdr>
          <w:top w:val="nil"/>
          <w:left w:val="nil"/>
          <w:bottom w:val="nil"/>
          <w:right w:val="nil"/>
          <w:between w:val="nil"/>
        </w:pBdr>
        <w:jc w:val="both"/>
        <w:rPr>
          <w:rFonts w:ascii="Montserrat" w:eastAsia="Montserrat" w:hAnsi="Montserrat" w:cs="Montserrat"/>
          <w:sz w:val="22"/>
          <w:szCs w:val="22"/>
        </w:rPr>
      </w:pPr>
    </w:p>
    <w:p w14:paraId="1C0B611F" w14:textId="77777777" w:rsidR="001034A3" w:rsidRDefault="00CB13DA">
      <w:pPr>
        <w:numPr>
          <w:ilvl w:val="0"/>
          <w:numId w:val="5"/>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Se recibió concepto positivo por parte de la CREG sobre la viabilidad de definir vía Acuerdo del CNO, la variable del despacho “</w:t>
      </w:r>
      <w:r>
        <w:rPr>
          <w:rFonts w:ascii="Montserrat" w:eastAsia="Montserrat" w:hAnsi="Montserrat" w:cs="Montserrat"/>
          <w:i/>
          <w:sz w:val="22"/>
          <w:szCs w:val="22"/>
        </w:rPr>
        <w:t>Zona No Operativa-ZNO</w:t>
      </w:r>
      <w:r>
        <w:rPr>
          <w:rFonts w:ascii="Montserrat" w:eastAsia="Montserrat" w:hAnsi="Montserrat" w:cs="Montserrat"/>
          <w:sz w:val="22"/>
          <w:szCs w:val="22"/>
        </w:rPr>
        <w:t>” de Ituango.</w:t>
      </w:r>
    </w:p>
    <w:p w14:paraId="7B99A026" w14:textId="77777777" w:rsidR="001034A3" w:rsidRDefault="001034A3">
      <w:pPr>
        <w:pBdr>
          <w:top w:val="nil"/>
          <w:left w:val="nil"/>
          <w:bottom w:val="nil"/>
          <w:right w:val="nil"/>
          <w:between w:val="nil"/>
        </w:pBdr>
        <w:ind w:left="720"/>
        <w:jc w:val="both"/>
        <w:rPr>
          <w:rFonts w:ascii="Montserrat" w:eastAsia="Montserrat" w:hAnsi="Montserrat" w:cs="Montserrat"/>
          <w:sz w:val="22"/>
          <w:szCs w:val="22"/>
        </w:rPr>
      </w:pPr>
    </w:p>
    <w:p w14:paraId="4FA1D35B" w14:textId="77777777" w:rsidR="001034A3" w:rsidRDefault="001034A3">
      <w:pPr>
        <w:pBdr>
          <w:top w:val="nil"/>
          <w:left w:val="nil"/>
          <w:bottom w:val="nil"/>
          <w:right w:val="nil"/>
          <w:between w:val="nil"/>
        </w:pBdr>
        <w:ind w:left="720"/>
        <w:jc w:val="both"/>
        <w:rPr>
          <w:rFonts w:ascii="Montserrat" w:eastAsia="Montserrat" w:hAnsi="Montserrat" w:cs="Montserrat"/>
          <w:sz w:val="22"/>
          <w:szCs w:val="22"/>
        </w:rPr>
      </w:pPr>
    </w:p>
    <w:p w14:paraId="0E362626" w14:textId="77777777" w:rsidR="001034A3" w:rsidRDefault="001034A3">
      <w:pPr>
        <w:ind w:left="720"/>
        <w:jc w:val="both"/>
        <w:rPr>
          <w:rFonts w:ascii="Montserrat" w:eastAsia="Montserrat" w:hAnsi="Montserrat" w:cs="Montserrat"/>
          <w:sz w:val="22"/>
          <w:szCs w:val="22"/>
        </w:rPr>
      </w:pPr>
    </w:p>
    <w:p w14:paraId="4E623C59" w14:textId="77777777" w:rsidR="001034A3" w:rsidRDefault="001034A3">
      <w:pPr>
        <w:jc w:val="both"/>
        <w:rPr>
          <w:rFonts w:ascii="Montserrat" w:eastAsia="Montserrat" w:hAnsi="Montserrat" w:cs="Montserrat"/>
          <w:sz w:val="22"/>
          <w:szCs w:val="22"/>
        </w:rPr>
      </w:pPr>
    </w:p>
    <w:p w14:paraId="29B1F32E" w14:textId="77777777" w:rsidR="001034A3" w:rsidRDefault="001034A3">
      <w:pPr>
        <w:ind w:left="720"/>
        <w:jc w:val="both"/>
        <w:rPr>
          <w:rFonts w:ascii="Montserrat" w:eastAsia="Montserrat" w:hAnsi="Montserrat" w:cs="Montserrat"/>
          <w:sz w:val="22"/>
          <w:szCs w:val="22"/>
        </w:rPr>
      </w:pPr>
    </w:p>
    <w:sectPr w:rsidR="001034A3">
      <w:headerReference w:type="even" r:id="rId8"/>
      <w:headerReference w:type="default" r:id="rId9"/>
      <w:footerReference w:type="even" r:id="rId10"/>
      <w:footerReference w:type="default" r:id="rId11"/>
      <w:headerReference w:type="first" r:id="rId12"/>
      <w:footerReference w:type="first" r:id="rId13"/>
      <w:pgSz w:w="12242" w:h="15842"/>
      <w:pgMar w:top="0"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87BBF" w14:textId="77777777" w:rsidR="004E515C" w:rsidRDefault="004E515C">
      <w:r>
        <w:separator/>
      </w:r>
    </w:p>
  </w:endnote>
  <w:endnote w:type="continuationSeparator" w:id="0">
    <w:p w14:paraId="51BA0ACC" w14:textId="77777777" w:rsidR="004E515C" w:rsidRDefault="004E5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F1C6" w14:textId="77777777" w:rsidR="001034A3" w:rsidRDefault="001034A3">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53D7C" w14:textId="77777777" w:rsidR="001034A3" w:rsidRDefault="001034A3">
    <w:pPr>
      <w:pBdr>
        <w:top w:val="nil"/>
        <w:left w:val="nil"/>
        <w:bottom w:val="nil"/>
        <w:right w:val="nil"/>
        <w:between w:val="nil"/>
      </w:pBdr>
      <w:tabs>
        <w:tab w:val="center" w:pos="4252"/>
        <w:tab w:val="right" w:pos="8504"/>
      </w:tabs>
      <w:rPr>
        <w:rFonts w:ascii="Montserrat" w:eastAsia="Montserrat" w:hAnsi="Montserrat" w:cs="Montserrat"/>
        <w:sz w:val="18"/>
        <w:szCs w:val="18"/>
      </w:rPr>
    </w:pPr>
  </w:p>
  <w:p w14:paraId="1C64B962" w14:textId="77777777" w:rsidR="001034A3" w:rsidRDefault="00CB13DA">
    <w:pPr>
      <w:pBdr>
        <w:top w:val="nil"/>
        <w:left w:val="nil"/>
        <w:bottom w:val="nil"/>
        <w:right w:val="nil"/>
        <w:between w:val="nil"/>
      </w:pBdr>
      <w:tabs>
        <w:tab w:val="center" w:pos="4252"/>
        <w:tab w:val="right" w:pos="8504"/>
      </w:tabs>
      <w:rPr>
        <w:rFonts w:ascii="Montserrat" w:eastAsia="Montserrat" w:hAnsi="Montserrat" w:cs="Montserrat"/>
        <w:color w:val="000000"/>
        <w:sz w:val="18"/>
        <w:szCs w:val="18"/>
      </w:rPr>
    </w:pPr>
    <w:r>
      <w:rPr>
        <w:rFonts w:ascii="Montserrat" w:eastAsia="Montserrat" w:hAnsi="Montserrat" w:cs="Montserrat"/>
        <w:color w:val="000000"/>
        <w:sz w:val="18"/>
        <w:szCs w:val="18"/>
      </w:rPr>
      <w:t>Informe CNO 723</w:t>
    </w:r>
  </w:p>
  <w:p w14:paraId="5F28977A" w14:textId="77777777" w:rsidR="001034A3" w:rsidRDefault="001034A3">
    <w:pPr>
      <w:pBdr>
        <w:top w:val="nil"/>
        <w:left w:val="nil"/>
        <w:bottom w:val="nil"/>
        <w:right w:val="nil"/>
        <w:between w:val="nil"/>
      </w:pBdr>
      <w:tabs>
        <w:tab w:val="center" w:pos="4252"/>
        <w:tab w:val="right" w:pos="8504"/>
      </w:tabs>
      <w:rPr>
        <w:rFonts w:ascii="Montserrat" w:eastAsia="Montserrat" w:hAnsi="Montserrat" w:cs="Montserrat"/>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1C813" w14:textId="77777777" w:rsidR="001034A3" w:rsidRDefault="001034A3">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E16EC" w14:textId="77777777" w:rsidR="004E515C" w:rsidRDefault="004E515C">
      <w:r>
        <w:separator/>
      </w:r>
    </w:p>
  </w:footnote>
  <w:footnote w:type="continuationSeparator" w:id="0">
    <w:p w14:paraId="78F1AE22" w14:textId="77777777" w:rsidR="004E515C" w:rsidRDefault="004E5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4ABA3" w14:textId="77777777" w:rsidR="001034A3" w:rsidRDefault="001034A3">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665B2" w14:textId="2EF67373" w:rsidR="001034A3" w:rsidRDefault="008A7980">
    <w:pPr>
      <w:tabs>
        <w:tab w:val="center" w:pos="4252"/>
        <w:tab w:val="right" w:pos="8504"/>
        <w:tab w:val="center" w:pos="4419"/>
        <w:tab w:val="left" w:pos="7180"/>
      </w:tabs>
      <w:jc w:val="right"/>
      <w:rPr>
        <w:b/>
        <w:color w:val="000000"/>
        <w:sz w:val="40"/>
        <w:szCs w:val="40"/>
      </w:rPr>
    </w:pPr>
    <w:r>
      <w:rPr>
        <w:noProof/>
      </w:rPr>
      <w:drawing>
        <wp:inline distT="114300" distB="114300" distL="114300" distR="114300" wp14:anchorId="0EF2FA7E" wp14:editId="1A807C88">
          <wp:extent cx="1407386" cy="859473"/>
          <wp:effectExtent l="0" t="0" r="0" b="0"/>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9273" r="10121"/>
                  <a:stretch>
                    <a:fillRect/>
                  </a:stretch>
                </pic:blipFill>
                <pic:spPr>
                  <a:xfrm>
                    <a:off x="0" y="0"/>
                    <a:ext cx="1407386" cy="859473"/>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36973" w14:textId="77777777" w:rsidR="001034A3" w:rsidRDefault="001034A3">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37FC6"/>
    <w:multiLevelType w:val="multilevel"/>
    <w:tmpl w:val="234A31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1FA5EFA"/>
    <w:multiLevelType w:val="multilevel"/>
    <w:tmpl w:val="E86652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C646B67"/>
    <w:multiLevelType w:val="multilevel"/>
    <w:tmpl w:val="347A7E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A2B5DAC"/>
    <w:multiLevelType w:val="multilevel"/>
    <w:tmpl w:val="CC96179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4AFC79D9"/>
    <w:multiLevelType w:val="multilevel"/>
    <w:tmpl w:val="863659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4BD03EC1"/>
    <w:multiLevelType w:val="multilevel"/>
    <w:tmpl w:val="797855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6B612610"/>
    <w:multiLevelType w:val="multilevel"/>
    <w:tmpl w:val="D81C65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6E8A6952"/>
    <w:multiLevelType w:val="multilevel"/>
    <w:tmpl w:val="7020D5F0"/>
    <w:lvl w:ilvl="0">
      <w:start w:val="1"/>
      <w:numFmt w:val="bullet"/>
      <w:pStyle w:val="Nivel1"/>
      <w:lvlText w:val="●"/>
      <w:lvlJc w:val="left"/>
      <w:pPr>
        <w:ind w:left="1440" w:hanging="360"/>
      </w:pPr>
      <w:rPr>
        <w:u w:val="none"/>
      </w:rPr>
    </w:lvl>
    <w:lvl w:ilvl="1">
      <w:start w:val="1"/>
      <w:numFmt w:val="bullet"/>
      <w:pStyle w:val="Nivel2"/>
      <w:lvlText w:val="○"/>
      <w:lvlJc w:val="left"/>
      <w:pPr>
        <w:ind w:left="2160" w:hanging="360"/>
      </w:pPr>
      <w:rPr>
        <w:u w:val="none"/>
      </w:rPr>
    </w:lvl>
    <w:lvl w:ilvl="2">
      <w:start w:val="1"/>
      <w:numFmt w:val="bullet"/>
      <w:pStyle w:val="Nivel3"/>
      <w:lvlText w:val="■"/>
      <w:lvlJc w:val="left"/>
      <w:pPr>
        <w:ind w:left="2880" w:hanging="360"/>
      </w:pPr>
      <w:rPr>
        <w:u w:val="none"/>
      </w:rPr>
    </w:lvl>
    <w:lvl w:ilvl="3">
      <w:start w:val="1"/>
      <w:numFmt w:val="bullet"/>
      <w:pStyle w:val="Nivel4"/>
      <w:lvlText w:val="●"/>
      <w:lvlJc w:val="left"/>
      <w:pPr>
        <w:ind w:left="3600" w:hanging="360"/>
      </w:pPr>
      <w:rPr>
        <w:u w:val="none"/>
      </w:rPr>
    </w:lvl>
    <w:lvl w:ilvl="4">
      <w:start w:val="1"/>
      <w:numFmt w:val="bullet"/>
      <w:pStyle w:val="Nivel5"/>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2130121196">
    <w:abstractNumId w:val="7"/>
  </w:num>
  <w:num w:numId="2" w16cid:durableId="458575299">
    <w:abstractNumId w:val="2"/>
  </w:num>
  <w:num w:numId="3" w16cid:durableId="2026007546">
    <w:abstractNumId w:val="1"/>
  </w:num>
  <w:num w:numId="4" w16cid:durableId="3362178">
    <w:abstractNumId w:val="3"/>
  </w:num>
  <w:num w:numId="5" w16cid:durableId="272128636">
    <w:abstractNumId w:val="0"/>
  </w:num>
  <w:num w:numId="6" w16cid:durableId="1837919079">
    <w:abstractNumId w:val="6"/>
  </w:num>
  <w:num w:numId="7" w16cid:durableId="659843807">
    <w:abstractNumId w:val="4"/>
  </w:num>
  <w:num w:numId="8" w16cid:durableId="2359366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4A3"/>
    <w:rsid w:val="00003758"/>
    <w:rsid w:val="001034A3"/>
    <w:rsid w:val="001E1958"/>
    <w:rsid w:val="001F36C7"/>
    <w:rsid w:val="002B5ADA"/>
    <w:rsid w:val="004E515C"/>
    <w:rsid w:val="006D4D32"/>
    <w:rsid w:val="00822F65"/>
    <w:rsid w:val="008A7980"/>
    <w:rsid w:val="009D3BEC"/>
    <w:rsid w:val="00B33681"/>
    <w:rsid w:val="00B9524A"/>
    <w:rsid w:val="00C06F85"/>
    <w:rsid w:val="00CB13DA"/>
    <w:rsid w:val="00D568F3"/>
    <w:rsid w:val="00F15D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FBD5713"/>
  <w15:docId w15:val="{91E858B5-1FEA-4744-9C9C-60AE8DC35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lang w:eastAsia="es-ES"/>
    </w:rPr>
  </w:style>
  <w:style w:type="paragraph" w:styleId="Ttulo1">
    <w:name w:val="heading 1"/>
    <w:aliases w:val="ARTICULO 1º,Negrita"/>
    <w:basedOn w:val="Normal"/>
    <w:next w:val="Normal"/>
    <w:link w:val="Ttulo1Car"/>
    <w:uiPriority w:val="9"/>
    <w:qFormat/>
    <w:rsid w:val="002628DB"/>
    <w:pPr>
      <w:keepNext/>
      <w:jc w:val="both"/>
      <w:outlineLvl w:val="0"/>
    </w:pPr>
    <w:rPr>
      <w:szCs w:val="20"/>
      <w:lang w:val="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link w:val="PiedepginaCar"/>
    <w:uiPriority w:val="99"/>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Descripcin">
    <w:name w:val="caption"/>
    <w:basedOn w:val="Normal"/>
    <w:next w:val="Normal"/>
    <w:uiPriority w:val="35"/>
    <w:unhideWhenUsed/>
    <w:qFormat/>
    <w:rsid w:val="005E085D"/>
    <w:pPr>
      <w:spacing w:after="200"/>
    </w:pPr>
    <w:rPr>
      <w:rFonts w:asciiTheme="minorHAnsi" w:eastAsiaTheme="minorHAnsi" w:hAnsiTheme="minorHAnsi" w:cstheme="minorBidi"/>
      <w:i/>
      <w:iCs/>
      <w:color w:val="1F497D" w:themeColor="text2"/>
      <w:sz w:val="18"/>
      <w:szCs w:val="18"/>
      <w:lang w:eastAsia="en-US"/>
    </w:rPr>
  </w:style>
  <w:style w:type="character" w:customStyle="1" w:styleId="Ttulo1Car">
    <w:name w:val="Título 1 Car"/>
    <w:aliases w:val="ARTICULO 1º Car,Negrita Car"/>
    <w:basedOn w:val="Fuentedeprrafopredeter"/>
    <w:link w:val="Ttulo1"/>
    <w:uiPriority w:val="9"/>
    <w:rsid w:val="006B1E44"/>
    <w:rPr>
      <w:szCs w:val="20"/>
      <w:lang w:val="es-MX" w:eastAsia="es-ES"/>
    </w:rPr>
  </w:style>
  <w:style w:type="character" w:customStyle="1" w:styleId="TtuloCar">
    <w:name w:val="Título Car"/>
    <w:basedOn w:val="Fuentedeprrafopredeter"/>
    <w:link w:val="Ttulo"/>
    <w:uiPriority w:val="10"/>
    <w:rsid w:val="006B1E44"/>
    <w:rPr>
      <w:b/>
      <w:sz w:val="72"/>
      <w:szCs w:val="72"/>
      <w:lang w:eastAsia="es-ES"/>
    </w:rPr>
  </w:style>
  <w:style w:type="paragraph" w:styleId="Encabezadodemensaje">
    <w:name w:val="Message Header"/>
    <w:basedOn w:val="Normal"/>
    <w:link w:val="EncabezadodemensajeCar"/>
    <w:uiPriority w:val="99"/>
    <w:unhideWhenUsed/>
    <w:rsid w:val="006B1E4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eastAsia="es-ES_tradnl"/>
    </w:rPr>
  </w:style>
  <w:style w:type="character" w:customStyle="1" w:styleId="EncabezadodemensajeCar">
    <w:name w:val="Encabezado de mensaje Car"/>
    <w:basedOn w:val="Fuentedeprrafopredeter"/>
    <w:link w:val="Encabezadodemensaje"/>
    <w:uiPriority w:val="99"/>
    <w:rsid w:val="006B1E44"/>
    <w:rPr>
      <w:rFonts w:asciiTheme="majorHAnsi" w:eastAsiaTheme="majorEastAsia" w:hAnsiTheme="majorHAnsi" w:cstheme="majorBidi"/>
      <w:shd w:val="pct20" w:color="auto" w:fill="auto"/>
      <w:lang w:eastAsia="es-ES_tradnl"/>
    </w:rPr>
  </w:style>
  <w:style w:type="paragraph" w:customStyle="1" w:styleId="Textoindependiente32">
    <w:name w:val="Texto independiente 32"/>
    <w:basedOn w:val="Normal"/>
    <w:rsid w:val="0045597B"/>
    <w:pPr>
      <w:suppressAutoHyphens/>
      <w:jc w:val="both"/>
    </w:pPr>
    <w:rPr>
      <w:rFonts w:ascii="Verdana" w:hAnsi="Verdana"/>
      <w:b/>
      <w:bCs/>
      <w:caps/>
      <w:sz w:val="20"/>
      <w:szCs w:val="20"/>
      <w:lang w:eastAsia="es-CO"/>
    </w:rPr>
  </w:style>
  <w:style w:type="character" w:customStyle="1" w:styleId="Mencinsinresolver1">
    <w:name w:val="Mención sin resolver1"/>
    <w:basedOn w:val="Fuentedeprrafopredeter"/>
    <w:uiPriority w:val="99"/>
    <w:semiHidden/>
    <w:unhideWhenUsed/>
    <w:rsid w:val="00D439AA"/>
    <w:rPr>
      <w:color w:val="605E5C"/>
      <w:shd w:val="clear" w:color="auto" w:fill="E1DFDD"/>
    </w:rPr>
  </w:style>
  <w:style w:type="character" w:styleId="Textoennegrita">
    <w:name w:val="Strong"/>
    <w:basedOn w:val="Fuentedeprrafopredeter"/>
    <w:uiPriority w:val="22"/>
    <w:qFormat/>
    <w:rsid w:val="002D06DA"/>
    <w:rPr>
      <w:b/>
      <w:bCs/>
    </w:rPr>
  </w:style>
  <w:style w:type="paragraph" w:customStyle="1" w:styleId="Default">
    <w:name w:val="Default"/>
    <w:rsid w:val="003D2A49"/>
    <w:pPr>
      <w:autoSpaceDE w:val="0"/>
      <w:autoSpaceDN w:val="0"/>
      <w:adjustRightInd w:val="0"/>
    </w:pPr>
    <w:rPr>
      <w:rFonts w:ascii="Montserrat" w:hAnsi="Montserrat" w:cs="Montserrat"/>
      <w:color w:val="000000"/>
    </w:rPr>
  </w:style>
  <w:style w:type="paragraph" w:styleId="Revisin">
    <w:name w:val="Revision"/>
    <w:hidden/>
    <w:uiPriority w:val="99"/>
    <w:semiHidden/>
    <w:rsid w:val="00DA7E94"/>
    <w:rPr>
      <w:lang w:eastAsia="es-ES"/>
    </w:rPr>
  </w:style>
  <w:style w:type="character" w:customStyle="1" w:styleId="PiedepginaCar">
    <w:name w:val="Pie de página Car"/>
    <w:basedOn w:val="Fuentedeprrafopredeter"/>
    <w:link w:val="Piedepgina"/>
    <w:uiPriority w:val="99"/>
    <w:rsid w:val="00FE5E9E"/>
    <w:rPr>
      <w:lang w:eastAsia="es-ES"/>
    </w:rPr>
  </w:style>
  <w:style w:type="table" w:customStyle="1" w:styleId="a">
    <w:basedOn w:val="TableNormale"/>
    <w:tblPr>
      <w:tblStyleRowBandSize w:val="1"/>
      <w:tblStyleColBandSize w:val="1"/>
      <w:tblCellMar>
        <w:top w:w="100" w:type="dxa"/>
        <w:left w:w="100" w:type="dxa"/>
        <w:bottom w:w="100" w:type="dxa"/>
        <w:right w:w="100" w:type="dxa"/>
      </w:tblCellMar>
    </w:tblPr>
  </w:style>
  <w:style w:type="table" w:customStyle="1" w:styleId="a0">
    <w:basedOn w:val="TableNormalc"/>
    <w:tblPr>
      <w:tblStyleRowBandSize w:val="1"/>
      <w:tblStyleColBandSize w:val="1"/>
      <w:tblCellMar>
        <w:top w:w="100" w:type="dxa"/>
        <w:left w:w="100" w:type="dxa"/>
        <w:bottom w:w="100" w:type="dxa"/>
        <w:right w:w="100" w:type="dxa"/>
      </w:tblCellMar>
    </w:tblPr>
  </w:style>
  <w:style w:type="table" w:customStyle="1" w:styleId="a1">
    <w:basedOn w:val="TableNormal8"/>
    <w:tblPr>
      <w:tblStyleRowBandSize w:val="1"/>
      <w:tblStyleColBandSize w:val="1"/>
      <w:tblCellMar>
        <w:top w:w="100" w:type="dxa"/>
        <w:left w:w="100" w:type="dxa"/>
        <w:bottom w:w="100" w:type="dxa"/>
        <w:right w:w="100" w:type="dxa"/>
      </w:tblCellMar>
    </w:tblPr>
  </w:style>
  <w:style w:type="table" w:customStyle="1" w:styleId="a2">
    <w:basedOn w:val="TableNormal7"/>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P5w1imFg/U5k3sQhEpQ44I1OgDw==">AMUW2mXtySd/ao0U8jBGVJnkGK+7h1u+oz6t6Ei6mMLR4lmEYf0m1/i+aOpLqUIHf9a9nqqisgy1XJDslQhPNuCp2edAb8mWkm5M4diyp5AuOZFDq1tCug0=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3133</Words>
  <Characters>17237</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 CNO</dc:creator>
  <cp:lastModifiedBy>Alberto Olarte</cp:lastModifiedBy>
  <cp:revision>2</cp:revision>
  <dcterms:created xsi:type="dcterms:W3CDTF">2023-11-09T12:31:00Z</dcterms:created>
  <dcterms:modified xsi:type="dcterms:W3CDTF">2023-11-09T12:31:00Z</dcterms:modified>
</cp:coreProperties>
</file>